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beforeAutospacing="0" w:after="0" w:afterAutospacing="0" w:line="596" w:lineRule="exact"/>
        <w:jc w:val="center"/>
        <w:rPr>
          <w:rFonts w:hint="default" w:ascii="方正小标宋_GBK" w:hAnsi="方正小标宋_GBK" w:eastAsia="方正小标宋_GBK" w:cs="方正小标宋_GBK"/>
          <w:sz w:val="44"/>
          <w:szCs w:val="44"/>
        </w:rPr>
      </w:pPr>
      <w:bookmarkStart w:id="0" w:name="_GoBack"/>
      <w:r>
        <w:rPr>
          <w:rFonts w:ascii="方正小标宋_GBK" w:hAnsi="方正小标宋_GBK" w:eastAsia="方正小标宋_GBK" w:cs="方正小标宋_GBK"/>
          <w:sz w:val="44"/>
          <w:szCs w:val="44"/>
        </w:rPr>
        <w:t>丰都县财政投资评审中心</w:t>
      </w:r>
    </w:p>
    <w:p>
      <w:pPr>
        <w:pStyle w:val="10"/>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594" w:lineRule="exact"/>
        <w:ind w:firstLine="640" w:firstLineChars="200"/>
        <w:rPr>
          <w:rFonts w:hint="default" w:ascii="Times New Roman" w:hAnsi="Times New Roman" w:eastAsia="方正黑体_GBK"/>
          <w:sz w:val="32"/>
          <w:szCs w:val="32"/>
        </w:rPr>
      </w:pPr>
      <w:r>
        <w:rPr>
          <w:rFonts w:ascii="Times New Roman" w:hAnsi="Times New Roman" w:eastAsia="方正黑体_GBK"/>
          <w:sz w:val="32"/>
          <w:szCs w:val="32"/>
        </w:rPr>
        <w:t>一、单位基本情况</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（一）职能职责</w:t>
      </w:r>
    </w:p>
    <w:p>
      <w:pPr>
        <w:spacing w:line="594" w:lineRule="exact"/>
        <w:ind w:firstLine="640" w:firstLineChars="200"/>
        <w:rPr>
          <w:rFonts w:hint="default" w:ascii="Times New Roman" w:hAnsi="Times New Roman" w:eastAsia="方正仿宋_GBK"/>
          <w:bCs/>
          <w:sz w:val="32"/>
          <w:szCs w:val="32"/>
        </w:rPr>
      </w:pPr>
      <w:r>
        <w:rPr>
          <w:rFonts w:ascii="Times New Roman" w:hAnsi="Times New Roman" w:eastAsia="方正仿宋_GBK"/>
          <w:bCs/>
          <w:sz w:val="32"/>
          <w:szCs w:val="32"/>
        </w:rPr>
        <w:t>负责财政性投资（含政府性融资、贷款）项目的工程概（预）算、决算的审查，对财政投资建设项目年度财务决算、材料设备降价处理和工程报废签署评审意见。负责财政性投资项目的评估、审查、咨询及招标标底的编制、评审。研究提出财政性投资项目的综合定额和项目评审的收费标准；参与财政投资项目的财务资金管理和监督检查；参与工程造价管理工作。承担财政投资相关课题的研究，为财政投资决策提供信息资料；开展财政投资评审业务培训。组织制订和实施财政投资评审操作规程和指标体系。</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（二）机构设置</w:t>
      </w:r>
    </w:p>
    <w:p>
      <w:pPr>
        <w:spacing w:line="594" w:lineRule="exact"/>
        <w:ind w:firstLine="640" w:firstLineChars="200"/>
        <w:rPr>
          <w:rFonts w:hint="default" w:ascii="Times New Roman" w:hAnsi="Times New Roman" w:eastAsia="方正仿宋_GBK"/>
          <w:b/>
          <w:bCs/>
          <w:sz w:val="32"/>
          <w:szCs w:val="32"/>
          <w:highlight w:val="yellow"/>
        </w:rPr>
      </w:pPr>
      <w:r>
        <w:rPr>
          <w:rFonts w:ascii="Times New Roman" w:hAnsi="Times New Roman" w:eastAsia="方正仿宋_GBK"/>
          <w:bCs/>
          <w:sz w:val="32"/>
          <w:szCs w:val="32"/>
        </w:rPr>
        <w:t>丰都县财政投资评审中心为公益一类事业单位，本单位内设4个科室，分别是预算评审核科、综合科、结（决）算科、内审科。</w:t>
      </w:r>
    </w:p>
    <w:p>
      <w:pPr>
        <w:spacing w:line="594" w:lineRule="exact"/>
        <w:ind w:firstLine="640" w:firstLineChars="200"/>
        <w:rPr>
          <w:rFonts w:hint="default" w:ascii="Times New Roman" w:hAnsi="Times New Roman" w:eastAsia="方正黑体_GBK"/>
          <w:sz w:val="32"/>
          <w:szCs w:val="32"/>
          <w:highlight w:val="yellow"/>
        </w:rPr>
      </w:pPr>
      <w:r>
        <w:rPr>
          <w:rFonts w:ascii="Times New Roman" w:hAnsi="Times New Roman" w:eastAsia="方正黑体_GBK"/>
          <w:sz w:val="32"/>
          <w:szCs w:val="32"/>
        </w:rPr>
        <w:t>二、单位决算收支情况说明</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（一）收入支出决算总体情况说明。</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2024年度收、支总计均为1449.64万元。收、支与2023年度相比，增加387.47万元，增长36.5%，主要原因是工资福利支出、公用经费等支出增加。</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1．收入情况。2024年度收入合计1444.74万元，与2023年度相比，增加383.89万元，增长36.2%，主要原因是工资福利支出、公用经费等支出增加。其中：财政拨款收入1444.74万元，占100.0%；事业收入0.00万元，占0.0%；经营收入0.00万元，占0.0%；其他收入0.00万元，占0.0%。此外，使用非财政拨款结余（含专用结余）0.00万元，年初结转和结余4.90万元。</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2．支出情况。2024年度支出合计1446.77万元，与2023年度相比，增加389.50万元，增长36.8%，主要原因是工资福利支出、公用经费等支出增加。其中：基本支出245.46万元，占17.0%；项目支出1201.31万元，占83.0%；经营支出0.00万元，占0.0%。此外，结余分配0.00万元。</w:t>
      </w:r>
    </w:p>
    <w:p>
      <w:pPr>
        <w:spacing w:line="594" w:lineRule="exact"/>
        <w:ind w:firstLine="640" w:firstLineChars="200"/>
        <w:rPr>
          <w:rFonts w:hint="default" w:ascii="Times New Roman" w:hAnsi="Times New Roman" w:eastAsia="方正仿宋_GBK"/>
          <w:b/>
          <w:bCs/>
          <w:sz w:val="32"/>
          <w:szCs w:val="32"/>
        </w:rPr>
      </w:pPr>
      <w:r>
        <w:rPr>
          <w:rFonts w:ascii="Times New Roman" w:hAnsi="Times New Roman" w:eastAsia="方正仿宋_GBK"/>
          <w:sz w:val="32"/>
          <w:szCs w:val="32"/>
        </w:rPr>
        <w:t>3．结转结余情况。2024年度年末结转和结余2.86万元，与2023年度相比，减少2.04万元，下降41.6%，主要原因是项目评审咨询服务费等项目支出增加。</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(二)财政拨款收入支出决算总体情况说明。</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 xml:space="preserve">2024年度财政拨款收、支总计均为1449.64万元。与2023年度相比，财政拨款收、支总计各增加387.47万元，增长36.5%。主要原因是人员增加、调资晋级增加工资福利待遇支出、公用经费支出增加、评审项目增加评审费用支出增加。  </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（三）一般公共预算财政拨款收入支出决算情况说明。</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1．收入情况。2024年度一般公共预算财政拨款收入1444.74万元，与2023年度相比，增加383.89万元，增长36.2%。主要原因是人员增加、调资晋级增加工资福利待遇支出、公用经费支出增加、评审项目增加评审费用支出增加。较年初预算数增加45.33万元，增长3.2%。主要原因是人员增加、调资晋级增加工资福利待遇支出。此外，年初财政拨款结转和结余4.90万元。</w:t>
      </w:r>
    </w:p>
    <w:p>
      <w:pPr>
        <w:spacing w:line="594" w:lineRule="exact"/>
        <w:ind w:firstLine="640" w:firstLineChars="200"/>
        <w:rPr>
          <w:rFonts w:hint="default" w:ascii="Times New Roman" w:hAnsi="Times New Roman" w:eastAsia="方正仿宋_GBK"/>
          <w:bCs/>
          <w:sz w:val="32"/>
          <w:szCs w:val="32"/>
        </w:rPr>
      </w:pPr>
      <w:r>
        <w:rPr>
          <w:rFonts w:ascii="Times New Roman" w:hAnsi="Times New Roman" w:eastAsia="方正仿宋_GBK"/>
          <w:bCs/>
          <w:sz w:val="32"/>
          <w:szCs w:val="32"/>
        </w:rPr>
        <w:t>2．支出情况。</w:t>
      </w:r>
      <w:r>
        <w:rPr>
          <w:rFonts w:ascii="Times New Roman" w:hAnsi="Times New Roman" w:eastAsia="方正仿宋_GBK"/>
          <w:sz w:val="32"/>
          <w:szCs w:val="32"/>
        </w:rPr>
        <w:t>2024年度一般公共预算财政拨款支出1446.77万元，与2023年度相比，增加389.50万元，增长36.8%。主要原因是人员增加、调资晋级增加工资福利待遇支出、公用经费支出增加、评审项目增加评审费用支出增加。较年初预算数增加47.36万元，增长3.4%。主要原因是人员增加、调资晋级增加工资福利待遇支出。</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一般公共预算财政拨款支出主要用途如下：</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（1）一般公共服务支出1393.33万元，占96.3%，较年初预算数增加31.90万元，增长2.3%，主要原因是投资评审项目经费、事业运行等支出增多。</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（2）社会保障和就业支出32.38万元，占2.2%，较年初预算数增加13.53万元，增长71.8%，主要原因是政策性养老福利待遇支出增加。</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（3）卫生健康支出10.59万元，占0.7%，较年初预算数增加0.90万元，增长9.3%，主要原因是政策性医疗福利待遇支出增加。</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（4）住房保障支出10.47万元，占0.7%，较年初预算数增加1.04万元，增长11.0%，主要原因是政策性公积金福利待遇支出增加。</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 xml:space="preserve">3. 结转结余情况。2024年度年末一般公共预算财政拨款结转和结余2.86万元，与2023年度相比，减少2.04万元，下降41.6%，主要原因是支付项目评审咨询服务费增加。  </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（四）一般公共预算财政拨款基本支出决算情况说明。</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2024年度一般公共财政拨款基本支出245.46万元。其中：</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人员经费223.38万元，与2023年度相比，增加41.58万元，增长22.9%，主要原因是人员增加、调资晋级增加工资福利待遇支出。人员经费用途主要包括基本工资、津贴补贴、社会保障缴费等。</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公用经费22.08万元，与2023年度相比，增加9.75万元，增长79.1%，主要原因是人员增加、公用经费支出增加。公用经费用途主要包括办公费、印刷费、咨询费、手续费等。</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（五）政府性基金预算收支决算情况说明。</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本单位2024年度无政府性基金预算财政拨款收支。</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（六）国有资本经营预算财政拨款支出决算情况说明</w:t>
      </w:r>
    </w:p>
    <w:p>
      <w:pPr>
        <w:pStyle w:val="10"/>
        <w:shd w:val="clear" w:color="auto" w:fill="FFFFFF"/>
        <w:spacing w:before="0" w:beforeAutospacing="0" w:after="0" w:afterAutospacing="0" w:line="594" w:lineRule="exact"/>
        <w:ind w:firstLine="540" w:firstLineChars="200"/>
        <w:rPr>
          <w:rFonts w:hint="default" w:ascii="Times New Roman" w:hAnsi="Times New Roman" w:eastAsia="方正仿宋_GBK"/>
          <w:b/>
          <w:bCs/>
          <w:kern w:val="2"/>
          <w:sz w:val="32"/>
          <w:szCs w:val="32"/>
        </w:rPr>
      </w:pPr>
      <w:r>
        <w:rPr>
          <w:rFonts w:ascii="Times New Roman" w:hAnsi="Times New Roman"/>
          <w:sz w:val="27"/>
          <w:szCs w:val="27"/>
        </w:rPr>
        <w:t xml:space="preserve">  </w:t>
      </w:r>
      <w:r>
        <w:rPr>
          <w:rFonts w:ascii="Times New Roman" w:hAnsi="Times New Roman" w:eastAsia="方正仿宋_GBK"/>
          <w:kern w:val="2"/>
          <w:sz w:val="32"/>
          <w:szCs w:val="32"/>
        </w:rPr>
        <w:t>本单位2024年度无国有资本经营预算财政拨款支出。</w:t>
      </w:r>
    </w:p>
    <w:p>
      <w:pPr>
        <w:spacing w:line="594" w:lineRule="exact"/>
        <w:ind w:firstLine="640" w:firstLineChars="200"/>
        <w:rPr>
          <w:rFonts w:hint="default" w:ascii="Times New Roman" w:hAnsi="Times New Roman" w:eastAsia="方正黑体_GBK"/>
          <w:sz w:val="32"/>
          <w:szCs w:val="32"/>
        </w:rPr>
      </w:pPr>
      <w:r>
        <w:rPr>
          <w:rFonts w:ascii="Times New Roman" w:hAnsi="Times New Roman" w:eastAsia="方正黑体_GBK"/>
          <w:sz w:val="32"/>
          <w:szCs w:val="32"/>
        </w:rPr>
        <w:t>三、财政拨款“三公”经费情况说明</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（一）“三公”经费支出总体情况说明。</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较年初预算数减少0.50万元，下降100.0%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贯彻落实过“紧日子”政策</w:t>
      </w:r>
      <w:r>
        <w:rPr>
          <w:rFonts w:hint="eastAsia" w:ascii="Times New Roman" w:hAnsi="Times New Roman" w:eastAsia="方正仿宋_GBK" w:cs="Times New Roman"/>
          <w:kern w:val="2"/>
          <w:sz w:val="32"/>
          <w:szCs w:val="32"/>
          <w:lang w:val="en-US" w:eastAsia="zh-CN" w:bidi="ar-SA"/>
        </w:rPr>
        <w:t>，财政压缩“三公”经费预算。</w:t>
      </w:r>
      <w:r>
        <w:rPr>
          <w:rFonts w:hint="default" w:ascii="Times New Roman" w:hAnsi="Times New Roman" w:eastAsia="方正仿宋_GBK" w:cs="Times New Roman"/>
          <w:kern w:val="2"/>
          <w:sz w:val="32"/>
          <w:szCs w:val="32"/>
          <w:lang w:val="en-US" w:eastAsia="zh-CN" w:bidi="ar-SA"/>
        </w:rPr>
        <w:t>较上年支出数无增减</w:t>
      </w:r>
      <w:r>
        <w:rPr>
          <w:rFonts w:hint="eastAsia" w:ascii="Times New Roman" w:hAnsi="Times New Roman" w:eastAsia="方正仿宋_GBK" w:cs="Times New Roman"/>
          <w:kern w:val="2"/>
          <w:sz w:val="32"/>
          <w:szCs w:val="32"/>
          <w:lang w:val="en-US" w:eastAsia="zh-CN" w:bidi="ar-SA"/>
        </w:rPr>
        <w:t>，主要原因是贯彻落实过“紧日子”政策，财政压缩“三公”经费预算</w:t>
      </w:r>
      <w:r>
        <w:rPr>
          <w:rFonts w:ascii="Times New Roman" w:hAnsi="Times New Roman" w:eastAsia="方正仿宋_GBK"/>
          <w:sz w:val="32"/>
          <w:szCs w:val="32"/>
        </w:rPr>
        <w:t>。</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（二）“三公”经费分项支出情况。</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2024年度本单位未发生因公出国（境）费用，与年初预算数及上年支出数持平。</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2024年度本单位未发生公务车购置费，与年初预算数及上年支出数持平。</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  2024年度本单位未发生公务车运行维护费与年初预算数及上年支出数持平。</w:t>
      </w:r>
    </w:p>
    <w:p>
      <w:pPr>
        <w:pStyle w:val="10"/>
        <w:shd w:val="clear" w:color="auto" w:fill="FFFFFF"/>
        <w:spacing w:before="0" w:beforeAutospacing="0" w:after="0" w:afterAutospacing="0" w:line="594" w:lineRule="exact"/>
        <w:ind w:firstLine="640" w:firstLineChars="200"/>
        <w:rPr>
          <w:rFonts w:hint="default" w:ascii="Times New Roman" w:hAnsi="Times New Roman" w:eastAsia="方正仿宋_GBK"/>
          <w:kern w:val="2"/>
          <w:sz w:val="32"/>
          <w:szCs w:val="32"/>
        </w:rPr>
      </w:pPr>
      <w:r>
        <w:rPr>
          <w:rFonts w:ascii="Times New Roman" w:hAnsi="Times New Roman" w:eastAsia="方正仿宋_GBK"/>
          <w:kern w:val="2"/>
          <w:sz w:val="32"/>
          <w:szCs w:val="32"/>
        </w:rPr>
        <w:t>2024年度本单位未发生公务接待费，费用支出较年初预算数减少0.50万元，下降100.0%，主要原因是贯彻落实过“紧日子”政策，财政压缩“三公”经费</w:t>
      </w:r>
      <w:r>
        <w:rPr>
          <w:rFonts w:ascii="Times New Roman" w:hAnsi="Times New Roman" w:eastAsia="方正仿宋_GBK"/>
          <w:kern w:val="2"/>
          <w:sz w:val="32"/>
          <w:szCs w:val="32"/>
        </w:rPr>
        <w:t>预算。与上年决算数持平。</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（三）</w:t>
      </w:r>
      <w:r>
        <w:rPr>
          <w:rFonts w:eastAsia="方正楷体_GBK"/>
          <w:sz w:val="32"/>
          <w:szCs w:val="32"/>
        </w:rPr>
        <w:t>“</w:t>
      </w:r>
      <w:r>
        <w:rPr>
          <w:rFonts w:ascii="Times New Roman" w:hAnsi="Times New Roman" w:eastAsia="方正楷体_GBK"/>
          <w:sz w:val="32"/>
          <w:szCs w:val="32"/>
        </w:rPr>
        <w:t>三公”经费实物量情况。</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2024年度本</w:t>
      </w:r>
      <w:r>
        <w:rPr>
          <w:rFonts w:eastAsia="方正仿宋_GBK"/>
          <w:sz w:val="32"/>
          <w:szCs w:val="32"/>
        </w:rPr>
        <w:t>单位</w:t>
      </w:r>
      <w:r>
        <w:rPr>
          <w:rFonts w:ascii="Times New Roman" w:hAnsi="Times New Roman" w:eastAsia="方正仿宋_GBK"/>
          <w:sz w:val="32"/>
          <w:szCs w:val="32"/>
        </w:rPr>
        <w:t>因公出国（境）共计0个团组，0人；公务用车购置0辆，公务车保有量为0辆；国内公务接待0批次0人，其中：国内外事接待0批次，0人；国（境）外公务接待0批次，0人。2024年本</w:t>
      </w:r>
      <w:r>
        <w:rPr>
          <w:rFonts w:eastAsia="方正仿宋_GBK"/>
          <w:sz w:val="32"/>
          <w:szCs w:val="32"/>
        </w:rPr>
        <w:t>单位</w:t>
      </w:r>
      <w:r>
        <w:rPr>
          <w:rFonts w:ascii="Times New Roman" w:hAnsi="Times New Roman" w:eastAsia="方正仿宋_GBK"/>
          <w:sz w:val="32"/>
          <w:szCs w:val="32"/>
        </w:rPr>
        <w:t>人均接待费0元，车均购置费0万元，车均维护费0万元。</w:t>
      </w:r>
    </w:p>
    <w:p>
      <w:pPr>
        <w:spacing w:line="594" w:lineRule="exact"/>
        <w:ind w:firstLine="640" w:firstLineChars="200"/>
        <w:rPr>
          <w:rFonts w:hint="default" w:ascii="Times New Roman" w:hAnsi="Times New Roman" w:eastAsia="方正黑体_GBK"/>
          <w:sz w:val="32"/>
          <w:szCs w:val="32"/>
        </w:rPr>
      </w:pPr>
      <w:r>
        <w:rPr>
          <w:rFonts w:ascii="Times New Roman" w:hAnsi="Times New Roman" w:eastAsia="方正黑体_GBK"/>
          <w:sz w:val="32"/>
          <w:szCs w:val="32"/>
        </w:rPr>
        <w:t>四、其他需要说明的事项</w:t>
      </w:r>
    </w:p>
    <w:p>
      <w:pPr>
        <w:spacing w:line="594" w:lineRule="exact"/>
        <w:ind w:firstLine="640" w:firstLineChars="200"/>
        <w:rPr>
          <w:rFonts w:hint="default" w:ascii="方正楷体_GBK" w:hAnsi="Times New Roman" w:eastAsia="方正楷体_GBK"/>
          <w:sz w:val="32"/>
          <w:szCs w:val="32"/>
        </w:rPr>
      </w:pPr>
      <w:r>
        <w:rPr>
          <w:rFonts w:ascii="方正楷体_GBK" w:hAnsi="Times New Roman" w:eastAsia="方正楷体_GBK"/>
          <w:sz w:val="32"/>
          <w:szCs w:val="32"/>
        </w:rPr>
        <w:t>（一）财政拨款会议费、培训费和差旅费情况说明。</w:t>
      </w:r>
    </w:p>
    <w:p>
      <w:pPr>
        <w:pStyle w:val="10"/>
        <w:shd w:val="clear" w:color="auto" w:fill="FFFFFF"/>
        <w:spacing w:before="0" w:beforeAutospacing="0" w:after="0" w:afterAutospacing="0" w:line="594" w:lineRule="exact"/>
        <w:ind w:firstLine="640" w:firstLineChars="200"/>
        <w:rPr>
          <w:rFonts w:hint="default" w:ascii="Times New Roman" w:hAnsi="Times New Roman" w:eastAsia="方正仿宋_GBK"/>
          <w:kern w:val="2"/>
          <w:sz w:val="32"/>
          <w:szCs w:val="32"/>
        </w:rPr>
      </w:pPr>
      <w:r>
        <w:rPr>
          <w:rFonts w:ascii="Times New Roman" w:hAnsi="Times New Roman" w:eastAsia="方正仿宋_GBK"/>
          <w:kern w:val="2"/>
          <w:sz w:val="32"/>
          <w:szCs w:val="32"/>
        </w:rPr>
        <w:t>本年度会议费支出0.00万元，与2023年度相比，无增减，主要原因是贯彻落实过“紧日子”政策，财政压缩“三公”经费</w:t>
      </w:r>
      <w:r>
        <w:rPr>
          <w:rFonts w:ascii="Times New Roman" w:hAnsi="Times New Roman" w:eastAsia="方正仿宋_GBK"/>
          <w:kern w:val="2"/>
          <w:sz w:val="32"/>
          <w:szCs w:val="32"/>
        </w:rPr>
        <w:t>预算。本年度培训费支出0.12万元，与2023年度相比，减少0.77万元，下降86.5%，主要原因是贯彻落实过“紧日子”政策。本年度差旅费支出2.89万元，与2023年度相比，减少1.69万元，下降36.9%，主要原因是贯彻落实过“紧日子”政策。</w:t>
      </w:r>
    </w:p>
    <w:p>
      <w:pPr>
        <w:spacing w:line="594" w:lineRule="exact"/>
        <w:ind w:firstLine="640" w:firstLineChars="200"/>
        <w:rPr>
          <w:rFonts w:hint="default" w:ascii="方正楷体_GBK" w:hAnsi="Times New Roman" w:eastAsia="方正楷体_GBK"/>
          <w:sz w:val="32"/>
          <w:szCs w:val="32"/>
        </w:rPr>
      </w:pPr>
      <w:r>
        <w:rPr>
          <w:rFonts w:ascii="方正楷体_GBK" w:hAnsi="Times New Roman" w:eastAsia="方正楷体_GBK"/>
          <w:sz w:val="32"/>
          <w:szCs w:val="32"/>
        </w:rPr>
        <w:t>（二）机关运行经费情况说明。</w:t>
      </w:r>
    </w:p>
    <w:p>
      <w:pPr>
        <w:pStyle w:val="10"/>
        <w:shd w:val="clear" w:color="auto" w:fill="FFFFFF"/>
        <w:spacing w:before="0" w:beforeAutospacing="0" w:after="0" w:afterAutospacing="0" w:line="594" w:lineRule="exact"/>
        <w:ind w:firstLine="640" w:firstLineChars="200"/>
        <w:rPr>
          <w:rFonts w:hint="default" w:ascii="Times New Roman" w:hAnsi="Times New Roman" w:eastAsia="方正仿宋_GBK"/>
          <w:b/>
          <w:bCs/>
          <w:kern w:val="2"/>
          <w:sz w:val="32"/>
          <w:szCs w:val="32"/>
        </w:rPr>
      </w:pPr>
      <w:r>
        <w:rPr>
          <w:rFonts w:hint="default" w:ascii="Times New Roman" w:hAnsi="Times New Roman" w:eastAsia="方正仿宋_GBK"/>
          <w:sz w:val="32"/>
          <w:szCs w:val="32"/>
          <w:shd w:val="clear" w:color="auto" w:fill="FFFFFF"/>
        </w:rPr>
        <w:t>按照部门决算列报口径，我</w:t>
      </w:r>
      <w:r>
        <w:rPr>
          <w:rFonts w:eastAsia="方正仿宋_GBK"/>
          <w:sz w:val="32"/>
          <w:szCs w:val="32"/>
        </w:rPr>
        <w:t>单位</w:t>
      </w:r>
      <w:r>
        <w:rPr>
          <w:rFonts w:hint="default" w:ascii="Times New Roman" w:hAnsi="Times New Roman" w:eastAsia="方正仿宋_GBK"/>
          <w:sz w:val="32"/>
          <w:szCs w:val="32"/>
          <w:shd w:val="clear" w:color="auto" w:fill="FFFFFF"/>
        </w:rPr>
        <w:t>不在机关运行经费统计范围之内</w:t>
      </w:r>
      <w:r>
        <w:rPr>
          <w:rFonts w:ascii="Times New Roman" w:hAnsi="Times New Roman" w:eastAsia="方正仿宋_GBK"/>
          <w:sz w:val="32"/>
          <w:szCs w:val="32"/>
          <w:shd w:val="clear" w:color="auto" w:fill="FFFFFF"/>
        </w:rPr>
        <w:t>。</w:t>
      </w:r>
    </w:p>
    <w:p>
      <w:pPr>
        <w:spacing w:line="594" w:lineRule="exact"/>
        <w:ind w:firstLine="640" w:firstLineChars="200"/>
        <w:rPr>
          <w:rFonts w:hint="default" w:ascii="方正楷体_GBK" w:hAnsi="Times New Roman" w:eastAsia="方正楷体_GBK"/>
          <w:sz w:val="32"/>
          <w:szCs w:val="32"/>
        </w:rPr>
      </w:pPr>
      <w:r>
        <w:rPr>
          <w:rFonts w:ascii="方正楷体_GBK" w:hAnsi="Times New Roman" w:eastAsia="方正楷体_GBK"/>
          <w:sz w:val="32"/>
          <w:szCs w:val="32"/>
        </w:rPr>
        <w:t>（三）国有资产占用情况说明。</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截至2024年12月31日，本</w:t>
      </w:r>
      <w:r>
        <w:rPr>
          <w:rFonts w:eastAsia="方正仿宋_GBK"/>
          <w:sz w:val="32"/>
          <w:szCs w:val="32"/>
        </w:rPr>
        <w:t>单位</w:t>
      </w:r>
      <w:r>
        <w:rPr>
          <w:rFonts w:ascii="Times New Roman" w:hAnsi="Times New Roman" w:eastAsia="方正仿宋_GBK"/>
          <w:sz w:val="32"/>
          <w:szCs w:val="32"/>
        </w:rPr>
        <w:t>共有车辆0辆，其中，副部（省）级及以上领导用车0辆、主要负责人用车0辆、机要通信用车0辆、应急保障用车0辆、执法执勤用车0辆，特种专业技术用车0辆，离退休干部用车0辆。单价100万元（含）以上专用设备0台（套）。</w:t>
      </w:r>
    </w:p>
    <w:p>
      <w:pPr>
        <w:spacing w:line="594" w:lineRule="exact"/>
        <w:ind w:firstLine="640" w:firstLineChars="200"/>
        <w:rPr>
          <w:rFonts w:hint="default" w:ascii="方正楷体_GBK" w:hAnsi="Times New Roman" w:eastAsia="方正楷体_GBK"/>
          <w:sz w:val="32"/>
          <w:szCs w:val="32"/>
        </w:rPr>
      </w:pPr>
      <w:r>
        <w:rPr>
          <w:rFonts w:ascii="方正楷体_GBK" w:hAnsi="Times New Roman" w:eastAsia="方正楷体_GBK"/>
          <w:sz w:val="32"/>
          <w:szCs w:val="32"/>
        </w:rPr>
        <w:t>（四）政府采购支出情况说明。</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2024年度本</w:t>
      </w:r>
      <w:r>
        <w:rPr>
          <w:rFonts w:eastAsia="方正仿宋_GBK"/>
          <w:sz w:val="32"/>
          <w:szCs w:val="32"/>
        </w:rPr>
        <w:t>单位</w:t>
      </w:r>
      <w:r>
        <w:rPr>
          <w:rFonts w:ascii="Times New Roman" w:hAnsi="Times New Roman" w:eastAsia="方正仿宋_GBK"/>
          <w:sz w:val="32"/>
          <w:szCs w:val="32"/>
        </w:rPr>
        <w:t>政府采购支出总额1.49万元，其中：政府采购货物支出1.49万元、政府采购工程支出0.00万元、政府采购服务支出0.00万元。授予中小企业合同金额1.49万元，占政府采购支出总额的100.0%，其中：授予小微企业合同金额1.49万元，占政府采购支出总额的100.0 %。主要用于采购日常办公用品等。</w:t>
      </w:r>
    </w:p>
    <w:p>
      <w:pPr>
        <w:spacing w:line="594" w:lineRule="exact"/>
        <w:ind w:firstLine="640" w:firstLineChars="200"/>
        <w:rPr>
          <w:rFonts w:hint="default" w:ascii="Times New Roman" w:hAnsi="Times New Roman" w:eastAsia="方正黑体_GBK"/>
          <w:sz w:val="32"/>
          <w:szCs w:val="32"/>
        </w:rPr>
      </w:pPr>
      <w:r>
        <w:rPr>
          <w:rFonts w:ascii="Times New Roman" w:hAnsi="Times New Roman" w:eastAsia="方正仿宋_GBK"/>
          <w:sz w:val="32"/>
          <w:szCs w:val="32"/>
        </w:rPr>
        <w:t xml:space="preserve">  </w:t>
      </w:r>
      <w:r>
        <w:rPr>
          <w:rFonts w:ascii="Times New Roman" w:hAnsi="Times New Roman" w:eastAsia="方正黑体_GBK"/>
          <w:sz w:val="32"/>
          <w:szCs w:val="32"/>
        </w:rPr>
        <w:t>五、2024年度预算绩效管理情况说明</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（一）单位自评情况</w:t>
      </w:r>
    </w:p>
    <w:p>
      <w:pPr>
        <w:pStyle w:val="17"/>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Times New Roman" w:hAnsi="Times New Roman" w:eastAsia="方正仿宋_GBK"/>
          <w:kern w:val="2"/>
          <w:sz w:val="32"/>
          <w:szCs w:val="32"/>
        </w:rPr>
        <w:t>根据预算绩效管理要求，我单位对2个项目开展了绩效自评，涉及财政拨款项目支出资金1201.31万元</w:t>
      </w:r>
      <w:r>
        <w:rPr>
          <w:rFonts w:hint="eastAsia" w:ascii="方正仿宋_GBK" w:hAnsi="方正仿宋_GBK" w:eastAsia="方正仿宋_GBK" w:cs="方正仿宋_GBK"/>
          <w:sz w:val="32"/>
          <w:szCs w:val="32"/>
          <w:shd w:val="clear" w:color="auto" w:fill="FFFFFF"/>
        </w:rPr>
        <w:t>。</w:t>
      </w:r>
    </w:p>
    <w:tbl>
      <w:tblPr>
        <w:tblStyle w:val="12"/>
        <w:tblW w:w="5000" w:type="pct"/>
        <w:tblInd w:w="0" w:type="dxa"/>
        <w:tblLayout w:type="autofit"/>
        <w:tblCellMar>
          <w:top w:w="0" w:type="dxa"/>
          <w:left w:w="108" w:type="dxa"/>
          <w:bottom w:w="0" w:type="dxa"/>
          <w:right w:w="108" w:type="dxa"/>
        </w:tblCellMar>
      </w:tblPr>
      <w:tblGrid>
        <w:gridCol w:w="1328"/>
        <w:gridCol w:w="619"/>
        <w:gridCol w:w="581"/>
        <w:gridCol w:w="702"/>
        <w:gridCol w:w="568"/>
        <w:gridCol w:w="666"/>
        <w:gridCol w:w="668"/>
        <w:gridCol w:w="666"/>
        <w:gridCol w:w="494"/>
        <w:gridCol w:w="633"/>
        <w:gridCol w:w="1606"/>
      </w:tblGrid>
      <w:tr>
        <w:tblPrEx>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2024年度项目绩效自评表</w:t>
            </w:r>
          </w:p>
        </w:tc>
      </w:tr>
      <w:tr>
        <w:tblPrEx>
          <w:tblCellMar>
            <w:top w:w="0" w:type="dxa"/>
            <w:left w:w="108" w:type="dxa"/>
            <w:bottom w:w="0" w:type="dxa"/>
            <w:right w:w="108" w:type="dxa"/>
          </w:tblCellMar>
        </w:tblPrEx>
        <w:trPr>
          <w:trHeight w:val="500" w:hRule="atLeast"/>
        </w:trPr>
        <w:tc>
          <w:tcPr>
            <w:tcW w:w="852" w:type="pct"/>
            <w:tcBorders>
              <w:top w:val="single" w:color="000000" w:sz="4" w:space="0"/>
              <w:left w:val="single" w:color="000000" w:sz="4" w:space="0"/>
              <w:bottom w:val="single" w:color="000000" w:sz="4" w:space="0"/>
              <w:right w:val="single" w:color="000000" w:sz="4" w:space="0"/>
            </w:tcBorders>
            <w:noWrap/>
            <w:vAlign w:val="center"/>
          </w:tcPr>
          <w:p>
            <w:pPr>
              <w:jc w:val="right"/>
              <w:textAlignment w:val="center"/>
              <w:rPr>
                <w:rFonts w:hint="default" w:cs="宋体"/>
                <w:b/>
                <w:bCs/>
                <w:color w:val="000000"/>
                <w:sz w:val="22"/>
                <w:szCs w:val="22"/>
              </w:rPr>
            </w:pPr>
            <w:r>
              <w:rPr>
                <w:rFonts w:cs="宋体"/>
                <w:b/>
                <w:bCs/>
                <w:color w:val="000000"/>
                <w:sz w:val="22"/>
                <w:szCs w:val="22"/>
                <w:lang w:bidi="ar"/>
              </w:rPr>
              <w:t>项目名称：</w:t>
            </w:r>
          </w:p>
        </w:tc>
        <w:tc>
          <w:tcPr>
            <w:tcW w:w="651" w:type="pct"/>
            <w:gridSpan w:val="2"/>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财政投资评审咨询服务费</w:t>
            </w:r>
          </w:p>
        </w:tc>
        <w:tc>
          <w:tcPr>
            <w:tcW w:w="403" w:type="pct"/>
            <w:tcBorders>
              <w:top w:val="single" w:color="000000" w:sz="4" w:space="0"/>
              <w:left w:val="single" w:color="000000" w:sz="4" w:space="0"/>
              <w:bottom w:val="single" w:color="000000" w:sz="4" w:space="0"/>
              <w:right w:val="single" w:color="000000" w:sz="4" w:space="0"/>
            </w:tcBorders>
            <w:noWrap/>
            <w:vAlign w:val="center"/>
          </w:tcPr>
          <w:p>
            <w:pPr>
              <w:jc w:val="right"/>
              <w:textAlignment w:val="center"/>
              <w:rPr>
                <w:rFonts w:hint="default" w:cs="宋体"/>
                <w:b/>
                <w:bCs/>
                <w:color w:val="000000"/>
                <w:sz w:val="22"/>
                <w:szCs w:val="22"/>
              </w:rPr>
            </w:pPr>
            <w:r>
              <w:rPr>
                <w:rFonts w:cs="宋体"/>
                <w:b/>
                <w:bCs/>
                <w:color w:val="000000"/>
                <w:sz w:val="22"/>
                <w:szCs w:val="22"/>
                <w:lang w:bidi="ar"/>
              </w:rPr>
              <w:t>项目编码：</w:t>
            </w:r>
          </w:p>
        </w:tc>
        <w:tc>
          <w:tcPr>
            <w:tcW w:w="678" w:type="pct"/>
            <w:gridSpan w:val="2"/>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50023022T000000146388</w:t>
            </w:r>
          </w:p>
        </w:tc>
        <w:tc>
          <w:tcPr>
            <w:tcW w:w="378" w:type="pct"/>
            <w:tcBorders>
              <w:top w:val="single" w:color="000000" w:sz="4" w:space="0"/>
              <w:left w:val="single" w:color="000000" w:sz="4" w:space="0"/>
              <w:bottom w:val="single" w:color="000000" w:sz="4" w:space="0"/>
              <w:right w:val="single" w:color="000000" w:sz="4" w:space="0"/>
            </w:tcBorders>
            <w:noWrap/>
            <w:vAlign w:val="center"/>
          </w:tcPr>
          <w:p>
            <w:pPr>
              <w:jc w:val="right"/>
              <w:textAlignment w:val="center"/>
              <w:rPr>
                <w:rFonts w:hint="default" w:cs="宋体"/>
                <w:b/>
                <w:bCs/>
                <w:color w:val="000000"/>
                <w:sz w:val="22"/>
                <w:szCs w:val="22"/>
              </w:rPr>
            </w:pPr>
            <w:r>
              <w:rPr>
                <w:rFonts w:cs="宋体"/>
                <w:b/>
                <w:bCs/>
                <w:color w:val="000000"/>
                <w:sz w:val="22"/>
                <w:szCs w:val="22"/>
                <w:lang w:bidi="ar"/>
              </w:rPr>
              <w:t>自评总分：</w:t>
            </w:r>
          </w:p>
        </w:tc>
        <w:tc>
          <w:tcPr>
            <w:tcW w:w="628" w:type="pct"/>
            <w:gridSpan w:val="2"/>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80.00</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default" w:cs="宋体"/>
                <w:b/>
                <w:bCs/>
                <w:color w:val="000000"/>
                <w:sz w:val="22"/>
                <w:szCs w:val="22"/>
              </w:rPr>
            </w:pPr>
          </w:p>
        </w:tc>
        <w:tc>
          <w:tcPr>
            <w:tcW w:w="1055" w:type="pct"/>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852" w:type="pct"/>
            <w:tcBorders>
              <w:top w:val="single" w:color="000000" w:sz="4" w:space="0"/>
              <w:left w:val="single" w:color="000000" w:sz="4" w:space="0"/>
              <w:bottom w:val="single" w:color="000000" w:sz="4" w:space="0"/>
              <w:right w:val="single" w:color="000000" w:sz="4" w:space="0"/>
            </w:tcBorders>
            <w:noWrap/>
            <w:vAlign w:val="center"/>
          </w:tcPr>
          <w:p>
            <w:pPr>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651" w:type="pct"/>
            <w:gridSpan w:val="2"/>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117-丰都县财政局</w:t>
            </w:r>
          </w:p>
        </w:tc>
        <w:tc>
          <w:tcPr>
            <w:tcW w:w="403" w:type="pct"/>
            <w:tcBorders>
              <w:top w:val="single" w:color="000000" w:sz="4" w:space="0"/>
              <w:left w:val="single" w:color="000000" w:sz="4" w:space="0"/>
              <w:bottom w:val="single" w:color="000000" w:sz="4" w:space="0"/>
              <w:right w:val="single" w:color="000000" w:sz="4" w:space="0"/>
            </w:tcBorders>
            <w:noWrap/>
            <w:vAlign w:val="center"/>
          </w:tcPr>
          <w:p>
            <w:pPr>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678" w:type="pct"/>
            <w:gridSpan w:val="2"/>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001-行政政法科</w:t>
            </w:r>
          </w:p>
        </w:tc>
        <w:tc>
          <w:tcPr>
            <w:tcW w:w="378" w:type="pct"/>
            <w:tcBorders>
              <w:top w:val="single" w:color="000000" w:sz="4" w:space="0"/>
              <w:left w:val="single" w:color="000000" w:sz="4" w:space="0"/>
              <w:bottom w:val="single" w:color="000000" w:sz="4" w:space="0"/>
              <w:right w:val="single" w:color="000000" w:sz="4" w:space="0"/>
            </w:tcBorders>
            <w:noWrap/>
            <w:vAlign w:val="center"/>
          </w:tcPr>
          <w:p>
            <w:pPr>
              <w:jc w:val="right"/>
              <w:textAlignment w:val="center"/>
              <w:rPr>
                <w:rFonts w:hint="default" w:cs="宋体"/>
                <w:b/>
                <w:bCs/>
                <w:color w:val="000000"/>
                <w:sz w:val="22"/>
                <w:szCs w:val="22"/>
              </w:rPr>
            </w:pPr>
            <w:r>
              <w:rPr>
                <w:rFonts w:cs="宋体"/>
                <w:b/>
                <w:bCs/>
                <w:color w:val="000000"/>
                <w:sz w:val="22"/>
                <w:szCs w:val="22"/>
                <w:lang w:bidi="ar"/>
              </w:rPr>
              <w:t>部门联系人：</w:t>
            </w:r>
          </w:p>
        </w:tc>
        <w:tc>
          <w:tcPr>
            <w:tcW w:w="628" w:type="pct"/>
            <w:gridSpan w:val="2"/>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贺琳杰</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jc w:val="right"/>
              <w:textAlignment w:val="center"/>
              <w:rPr>
                <w:rFonts w:hint="default" w:cs="宋体"/>
                <w:b/>
                <w:bCs/>
                <w:color w:val="000000"/>
                <w:sz w:val="22"/>
                <w:szCs w:val="22"/>
              </w:rPr>
            </w:pPr>
            <w:r>
              <w:rPr>
                <w:rFonts w:cs="宋体"/>
                <w:b/>
                <w:bCs/>
                <w:color w:val="000000"/>
                <w:sz w:val="22"/>
                <w:szCs w:val="22"/>
                <w:lang w:bidi="ar"/>
              </w:rPr>
              <w:t>联系电话：</w:t>
            </w:r>
          </w:p>
        </w:tc>
        <w:tc>
          <w:tcPr>
            <w:tcW w:w="1055" w:type="pct"/>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color w:val="000000"/>
                <w:sz w:val="22"/>
                <w:szCs w:val="22"/>
              </w:rPr>
            </w:pPr>
            <w:r>
              <w:rPr>
                <w:rFonts w:cs="宋体"/>
                <w:color w:val="000000"/>
                <w:sz w:val="22"/>
                <w:szCs w:val="22"/>
                <w:lang w:bidi="ar"/>
              </w:rPr>
              <w:t>70606947</w:t>
            </w: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tblPrEx>
          <w:tblCellMar>
            <w:top w:w="0" w:type="dxa"/>
            <w:left w:w="108" w:type="dxa"/>
            <w:bottom w:w="0" w:type="dxa"/>
            <w:right w:w="108" w:type="dxa"/>
          </w:tblCellMar>
        </w:tblPrEx>
        <w:trPr>
          <w:trHeight w:val="500" w:hRule="atLeast"/>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cs="宋体"/>
                <w:color w:val="000000"/>
                <w:sz w:val="22"/>
                <w:szCs w:val="22"/>
              </w:rPr>
            </w:pPr>
          </w:p>
        </w:tc>
        <w:tc>
          <w:tcPr>
            <w:tcW w:w="715" w:type="pct"/>
            <w:gridSpan w:val="2"/>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678" w:type="pct"/>
            <w:gridSpan w:val="2"/>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754" w:type="pct"/>
            <w:gridSpan w:val="2"/>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251"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执行率</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textAlignment w:val="center"/>
              <w:rPr>
                <w:rFonts w:hint="default" w:cs="宋体"/>
                <w:b/>
                <w:bCs/>
                <w:color w:val="000000"/>
                <w:sz w:val="22"/>
                <w:szCs w:val="22"/>
              </w:rPr>
            </w:pPr>
            <w:r>
              <w:rPr>
                <w:rFonts w:cs="宋体"/>
                <w:b/>
                <w:bCs/>
                <w:color w:val="000000"/>
                <w:sz w:val="22"/>
                <w:szCs w:val="22"/>
                <w:lang w:bidi="ar"/>
              </w:rPr>
              <w:t>执行率权重</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执行率得分</w:t>
            </w:r>
          </w:p>
        </w:tc>
      </w:tr>
      <w:tr>
        <w:trPr>
          <w:trHeight w:val="500" w:hRule="atLeast"/>
        </w:trPr>
        <w:tc>
          <w:tcPr>
            <w:tcW w:w="852" w:type="pct"/>
            <w:tcBorders>
              <w:top w:val="single" w:color="000000" w:sz="4" w:space="0"/>
              <w:left w:val="single" w:color="000000" w:sz="4" w:space="0"/>
              <w:bottom w:val="single" w:color="000000" w:sz="4" w:space="0"/>
              <w:right w:val="nil"/>
            </w:tcBorders>
            <w:vAlign w:val="center"/>
          </w:tcPr>
          <w:p>
            <w:pPr>
              <w:textAlignment w:val="center"/>
              <w:rPr>
                <w:rFonts w:hint="default" w:cs="宋体"/>
                <w:color w:val="000000"/>
                <w:sz w:val="22"/>
                <w:szCs w:val="22"/>
              </w:rPr>
            </w:pPr>
            <w:r>
              <w:rPr>
                <w:rFonts w:cs="宋体"/>
                <w:color w:val="000000"/>
                <w:sz w:val="22"/>
                <w:szCs w:val="22"/>
                <w:lang w:bidi="ar"/>
              </w:rPr>
              <w:t>年度总金额</w:t>
            </w:r>
          </w:p>
        </w:tc>
        <w:tc>
          <w:tcPr>
            <w:tcW w:w="338" w:type="pct"/>
            <w:tcBorders>
              <w:top w:val="single" w:color="000000" w:sz="4" w:space="0"/>
              <w:left w:val="nil"/>
              <w:bottom w:val="single" w:color="000000" w:sz="4" w:space="0"/>
              <w:right w:val="single" w:color="000000" w:sz="4" w:space="0"/>
            </w:tcBorders>
            <w:noWrap/>
            <w:vAlign w:val="center"/>
          </w:tcPr>
          <w:p>
            <w:pPr>
              <w:rPr>
                <w:rFonts w:hint="default" w:cs="宋体"/>
                <w:color w:val="000000"/>
                <w:sz w:val="22"/>
                <w:szCs w:val="22"/>
              </w:rPr>
            </w:pPr>
          </w:p>
        </w:tc>
        <w:tc>
          <w:tcPr>
            <w:tcW w:w="312" w:type="pct"/>
            <w:tcBorders>
              <w:top w:val="single" w:color="000000" w:sz="4" w:space="0"/>
              <w:left w:val="single" w:color="000000" w:sz="4" w:space="0"/>
              <w:bottom w:val="single" w:color="000000" w:sz="4" w:space="0"/>
              <w:right w:val="nil"/>
            </w:tcBorders>
            <w:noWrap/>
            <w:vAlign w:val="center"/>
          </w:tcPr>
          <w:p>
            <w:pPr>
              <w:rPr>
                <w:rFonts w:hint="default" w:cs="宋体"/>
                <w:color w:val="000000"/>
                <w:sz w:val="22"/>
                <w:szCs w:val="22"/>
              </w:rPr>
            </w:pPr>
          </w:p>
        </w:tc>
        <w:tc>
          <w:tcPr>
            <w:tcW w:w="403" w:type="pct"/>
            <w:tcBorders>
              <w:top w:val="single" w:color="000000" w:sz="4" w:space="0"/>
              <w:left w:val="nil"/>
              <w:bottom w:val="single" w:color="000000" w:sz="4" w:space="0"/>
              <w:right w:val="single" w:color="000000" w:sz="4" w:space="0"/>
            </w:tcBorders>
            <w:noWrap/>
            <w:vAlign w:val="center"/>
          </w:tcPr>
          <w:p>
            <w:pPr>
              <w:jc w:val="right"/>
              <w:textAlignment w:val="center"/>
              <w:rPr>
                <w:rFonts w:hint="default" w:cs="宋体"/>
                <w:color w:val="000000"/>
                <w:sz w:val="22"/>
                <w:szCs w:val="22"/>
              </w:rPr>
            </w:pPr>
            <w:r>
              <w:rPr>
                <w:rFonts w:cs="宋体"/>
                <w:color w:val="000000"/>
                <w:sz w:val="22"/>
                <w:szCs w:val="22"/>
                <w:lang w:bidi="ar"/>
              </w:rPr>
              <w:t xml:space="preserve">12,000,000.00 </w:t>
            </w:r>
          </w:p>
        </w:tc>
        <w:tc>
          <w:tcPr>
            <w:tcW w:w="301" w:type="pct"/>
            <w:tcBorders>
              <w:top w:val="single" w:color="000000" w:sz="4" w:space="0"/>
              <w:left w:val="single" w:color="000000" w:sz="4" w:space="0"/>
              <w:bottom w:val="single" w:color="000000" w:sz="4" w:space="0"/>
              <w:right w:val="nil"/>
            </w:tcBorders>
            <w:noWrap/>
            <w:vAlign w:val="center"/>
          </w:tcPr>
          <w:p>
            <w:pPr>
              <w:rPr>
                <w:rFonts w:hint="default" w:cs="宋体"/>
                <w:color w:val="000000"/>
                <w:sz w:val="22"/>
                <w:szCs w:val="22"/>
              </w:rPr>
            </w:pPr>
          </w:p>
        </w:tc>
        <w:tc>
          <w:tcPr>
            <w:tcW w:w="376" w:type="pct"/>
            <w:tcBorders>
              <w:top w:val="single" w:color="000000" w:sz="4" w:space="0"/>
              <w:left w:val="nil"/>
              <w:bottom w:val="single" w:color="000000" w:sz="4" w:space="0"/>
              <w:right w:val="single" w:color="000000" w:sz="4" w:space="0"/>
            </w:tcBorders>
            <w:vAlign w:val="center"/>
          </w:tcPr>
          <w:p>
            <w:pPr>
              <w:jc w:val="right"/>
              <w:textAlignment w:val="center"/>
              <w:rPr>
                <w:rFonts w:hint="default" w:cs="宋体"/>
                <w:color w:val="000000"/>
                <w:sz w:val="22"/>
                <w:szCs w:val="22"/>
              </w:rPr>
            </w:pPr>
            <w:r>
              <w:rPr>
                <w:rFonts w:cs="宋体"/>
                <w:color w:val="000000"/>
                <w:sz w:val="22"/>
                <w:szCs w:val="22"/>
                <w:lang w:bidi="ar"/>
              </w:rPr>
              <w:t xml:space="preserve">11,999,867.73 </w:t>
            </w:r>
          </w:p>
        </w:tc>
        <w:tc>
          <w:tcPr>
            <w:tcW w:w="378" w:type="pct"/>
            <w:tcBorders>
              <w:top w:val="single" w:color="000000" w:sz="4" w:space="0"/>
              <w:left w:val="single" w:color="000000" w:sz="4" w:space="0"/>
              <w:bottom w:val="single" w:color="000000" w:sz="4" w:space="0"/>
              <w:right w:val="nil"/>
            </w:tcBorders>
            <w:noWrap/>
            <w:vAlign w:val="center"/>
          </w:tcPr>
          <w:p>
            <w:pPr>
              <w:rPr>
                <w:rFonts w:hint="default" w:cs="宋体"/>
                <w:color w:val="000000"/>
                <w:sz w:val="22"/>
                <w:szCs w:val="22"/>
              </w:rPr>
            </w:pPr>
          </w:p>
        </w:tc>
        <w:tc>
          <w:tcPr>
            <w:tcW w:w="376" w:type="pct"/>
            <w:tcBorders>
              <w:top w:val="single" w:color="000000" w:sz="4" w:space="0"/>
              <w:left w:val="nil"/>
              <w:bottom w:val="single" w:color="000000" w:sz="4" w:space="0"/>
              <w:right w:val="single" w:color="000000" w:sz="4" w:space="0"/>
            </w:tcBorders>
            <w:noWrap/>
            <w:vAlign w:val="center"/>
          </w:tcPr>
          <w:p>
            <w:pPr>
              <w:jc w:val="right"/>
              <w:textAlignment w:val="center"/>
              <w:rPr>
                <w:rFonts w:hint="default" w:cs="宋体"/>
                <w:color w:val="000000"/>
                <w:sz w:val="22"/>
                <w:szCs w:val="22"/>
              </w:rPr>
            </w:pPr>
            <w:r>
              <w:rPr>
                <w:rFonts w:cs="宋体"/>
                <w:color w:val="000000"/>
                <w:sz w:val="22"/>
                <w:szCs w:val="22"/>
                <w:lang w:bidi="ar"/>
              </w:rPr>
              <w:t xml:space="preserve">11,999,867.73 </w:t>
            </w:r>
          </w:p>
        </w:tc>
        <w:tc>
          <w:tcPr>
            <w:tcW w:w="251" w:type="pct"/>
            <w:tcBorders>
              <w:top w:val="single" w:color="000000" w:sz="4" w:space="0"/>
              <w:left w:val="single" w:color="000000" w:sz="4" w:space="0"/>
              <w:bottom w:val="single" w:color="000000" w:sz="4" w:space="0"/>
              <w:right w:val="single" w:color="000000" w:sz="4" w:space="0"/>
            </w:tcBorders>
            <w:noWrap/>
            <w:vAlign w:val="center"/>
          </w:tcPr>
          <w:p>
            <w:pPr>
              <w:rPr>
                <w:rFonts w:hint="default" w:cs="宋体"/>
                <w:color w:val="000000"/>
                <w:sz w:val="22"/>
                <w:szCs w:val="22"/>
              </w:rPr>
            </w:pPr>
          </w:p>
        </w:tc>
        <w:tc>
          <w:tcPr>
            <w:tcW w:w="352" w:type="pct"/>
            <w:tcBorders>
              <w:top w:val="single" w:color="000000" w:sz="4" w:space="0"/>
              <w:left w:val="single" w:color="000000" w:sz="4" w:space="0"/>
              <w:bottom w:val="single" w:color="000000" w:sz="4" w:space="0"/>
              <w:right w:val="single" w:color="000000" w:sz="4" w:space="0"/>
            </w:tcBorders>
            <w:noWrap/>
            <w:vAlign w:val="center"/>
          </w:tcPr>
          <w:p>
            <w:pPr>
              <w:rPr>
                <w:rFonts w:hint="default" w:cs="宋体"/>
                <w:color w:val="000000"/>
                <w:sz w:val="22"/>
                <w:szCs w:val="22"/>
              </w:rPr>
            </w:pPr>
          </w:p>
        </w:tc>
        <w:tc>
          <w:tcPr>
            <w:tcW w:w="105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852" w:type="pct"/>
            <w:tcBorders>
              <w:top w:val="single" w:color="000000" w:sz="4" w:space="0"/>
              <w:left w:val="single" w:color="000000" w:sz="4" w:space="0"/>
              <w:bottom w:val="single" w:color="000000" w:sz="4" w:space="0"/>
              <w:right w:val="nil"/>
            </w:tcBorders>
            <w:vAlign w:val="center"/>
          </w:tcPr>
          <w:p>
            <w:pPr>
              <w:textAlignment w:val="center"/>
              <w:rPr>
                <w:rFonts w:hint="default" w:cs="宋体"/>
                <w:color w:val="000000"/>
                <w:sz w:val="22"/>
                <w:szCs w:val="22"/>
              </w:rPr>
            </w:pPr>
            <w:r>
              <w:rPr>
                <w:rFonts w:cs="宋体"/>
                <w:color w:val="000000"/>
                <w:sz w:val="22"/>
                <w:szCs w:val="22"/>
                <w:lang w:bidi="ar"/>
              </w:rPr>
              <w:t>其中：财政拨款</w:t>
            </w:r>
          </w:p>
        </w:tc>
        <w:tc>
          <w:tcPr>
            <w:tcW w:w="338" w:type="pct"/>
            <w:tcBorders>
              <w:top w:val="single" w:color="000000" w:sz="4" w:space="0"/>
              <w:left w:val="nil"/>
              <w:bottom w:val="single" w:color="000000" w:sz="4" w:space="0"/>
              <w:right w:val="single" w:color="000000" w:sz="4" w:space="0"/>
            </w:tcBorders>
            <w:noWrap/>
            <w:vAlign w:val="center"/>
          </w:tcPr>
          <w:p>
            <w:pPr>
              <w:rPr>
                <w:rFonts w:hint="default" w:cs="宋体"/>
                <w:color w:val="000000"/>
                <w:sz w:val="22"/>
                <w:szCs w:val="22"/>
              </w:rPr>
            </w:pPr>
          </w:p>
        </w:tc>
        <w:tc>
          <w:tcPr>
            <w:tcW w:w="312" w:type="pct"/>
            <w:tcBorders>
              <w:top w:val="single" w:color="000000" w:sz="4" w:space="0"/>
              <w:left w:val="single" w:color="000000" w:sz="4" w:space="0"/>
              <w:bottom w:val="single" w:color="000000" w:sz="4" w:space="0"/>
              <w:right w:val="nil"/>
            </w:tcBorders>
            <w:noWrap/>
            <w:vAlign w:val="center"/>
          </w:tcPr>
          <w:p>
            <w:pPr>
              <w:rPr>
                <w:rFonts w:hint="default" w:cs="宋体"/>
                <w:color w:val="000000"/>
                <w:sz w:val="22"/>
                <w:szCs w:val="22"/>
              </w:rPr>
            </w:pPr>
          </w:p>
        </w:tc>
        <w:tc>
          <w:tcPr>
            <w:tcW w:w="403" w:type="pct"/>
            <w:tcBorders>
              <w:top w:val="single" w:color="000000" w:sz="4" w:space="0"/>
              <w:left w:val="nil"/>
              <w:bottom w:val="single" w:color="000000" w:sz="4" w:space="0"/>
              <w:right w:val="single" w:color="000000" w:sz="4" w:space="0"/>
            </w:tcBorders>
            <w:noWrap/>
            <w:vAlign w:val="center"/>
          </w:tcPr>
          <w:p>
            <w:pPr>
              <w:jc w:val="right"/>
              <w:textAlignment w:val="center"/>
              <w:rPr>
                <w:rFonts w:hint="default" w:cs="宋体"/>
                <w:color w:val="000000"/>
                <w:sz w:val="22"/>
                <w:szCs w:val="22"/>
              </w:rPr>
            </w:pPr>
            <w:r>
              <w:rPr>
                <w:rFonts w:cs="宋体"/>
                <w:color w:val="000000"/>
                <w:sz w:val="22"/>
                <w:szCs w:val="22"/>
                <w:lang w:bidi="ar"/>
              </w:rPr>
              <w:t xml:space="preserve">12,000,000.00 </w:t>
            </w:r>
          </w:p>
        </w:tc>
        <w:tc>
          <w:tcPr>
            <w:tcW w:w="301" w:type="pct"/>
            <w:tcBorders>
              <w:top w:val="single" w:color="000000" w:sz="4" w:space="0"/>
              <w:left w:val="single" w:color="000000" w:sz="4" w:space="0"/>
              <w:bottom w:val="single" w:color="000000" w:sz="4" w:space="0"/>
              <w:right w:val="nil"/>
            </w:tcBorders>
            <w:noWrap/>
            <w:vAlign w:val="center"/>
          </w:tcPr>
          <w:p>
            <w:pPr>
              <w:rPr>
                <w:rFonts w:hint="default" w:cs="宋体"/>
                <w:color w:val="000000"/>
                <w:sz w:val="22"/>
                <w:szCs w:val="22"/>
              </w:rPr>
            </w:pPr>
          </w:p>
        </w:tc>
        <w:tc>
          <w:tcPr>
            <w:tcW w:w="376" w:type="pct"/>
            <w:tcBorders>
              <w:top w:val="single" w:color="000000" w:sz="4" w:space="0"/>
              <w:left w:val="nil"/>
              <w:bottom w:val="single" w:color="000000" w:sz="4" w:space="0"/>
              <w:right w:val="single" w:color="000000" w:sz="4" w:space="0"/>
            </w:tcBorders>
            <w:vAlign w:val="center"/>
          </w:tcPr>
          <w:p>
            <w:pPr>
              <w:jc w:val="right"/>
              <w:textAlignment w:val="center"/>
              <w:rPr>
                <w:rFonts w:hint="default" w:cs="宋体"/>
                <w:color w:val="000000"/>
                <w:sz w:val="22"/>
                <w:szCs w:val="22"/>
              </w:rPr>
            </w:pPr>
            <w:r>
              <w:rPr>
                <w:rFonts w:cs="宋体"/>
                <w:color w:val="000000"/>
                <w:sz w:val="22"/>
                <w:szCs w:val="22"/>
                <w:lang w:bidi="ar"/>
              </w:rPr>
              <w:t xml:space="preserve">11,999,867.73 </w:t>
            </w:r>
          </w:p>
        </w:tc>
        <w:tc>
          <w:tcPr>
            <w:tcW w:w="378" w:type="pct"/>
            <w:tcBorders>
              <w:top w:val="single" w:color="000000" w:sz="4" w:space="0"/>
              <w:left w:val="single" w:color="000000" w:sz="4" w:space="0"/>
              <w:bottom w:val="single" w:color="000000" w:sz="4" w:space="0"/>
              <w:right w:val="nil"/>
            </w:tcBorders>
            <w:noWrap/>
            <w:vAlign w:val="center"/>
          </w:tcPr>
          <w:p>
            <w:pPr>
              <w:rPr>
                <w:rFonts w:hint="default" w:cs="宋体"/>
                <w:color w:val="000000"/>
                <w:sz w:val="22"/>
                <w:szCs w:val="22"/>
              </w:rPr>
            </w:pPr>
          </w:p>
        </w:tc>
        <w:tc>
          <w:tcPr>
            <w:tcW w:w="376" w:type="pct"/>
            <w:tcBorders>
              <w:top w:val="single" w:color="000000" w:sz="4" w:space="0"/>
              <w:left w:val="nil"/>
              <w:bottom w:val="single" w:color="000000" w:sz="4" w:space="0"/>
              <w:right w:val="single" w:color="000000" w:sz="4" w:space="0"/>
            </w:tcBorders>
            <w:noWrap/>
            <w:vAlign w:val="center"/>
          </w:tcPr>
          <w:p>
            <w:pPr>
              <w:jc w:val="right"/>
              <w:textAlignment w:val="center"/>
              <w:rPr>
                <w:rFonts w:hint="default" w:cs="宋体"/>
                <w:color w:val="000000"/>
                <w:sz w:val="22"/>
                <w:szCs w:val="22"/>
              </w:rPr>
            </w:pPr>
            <w:r>
              <w:rPr>
                <w:rFonts w:cs="宋体"/>
                <w:color w:val="000000"/>
                <w:sz w:val="22"/>
                <w:szCs w:val="22"/>
                <w:lang w:bidi="ar"/>
              </w:rPr>
              <w:t xml:space="preserve">11,999,867.73 </w:t>
            </w:r>
          </w:p>
        </w:tc>
        <w:tc>
          <w:tcPr>
            <w:tcW w:w="251" w:type="pct"/>
            <w:tcBorders>
              <w:top w:val="single" w:color="000000" w:sz="4" w:space="0"/>
              <w:left w:val="single" w:color="000000" w:sz="4" w:space="0"/>
              <w:bottom w:val="single" w:color="000000" w:sz="4" w:space="0"/>
              <w:right w:val="single" w:color="000000" w:sz="4" w:space="0"/>
            </w:tcBorders>
            <w:noWrap/>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textAlignment w:val="center"/>
              <w:rPr>
                <w:rFonts w:hint="default" w:cs="宋体"/>
                <w:color w:val="000000"/>
                <w:sz w:val="22"/>
                <w:szCs w:val="22"/>
              </w:rPr>
            </w:pPr>
            <w:r>
              <w:rPr>
                <w:rFonts w:cs="宋体"/>
                <w:color w:val="000000"/>
                <w:sz w:val="22"/>
                <w:szCs w:val="22"/>
                <w:lang w:bidi="ar"/>
              </w:rPr>
              <w:t>10.00</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tblPrEx>
          <w:tblCellMar>
            <w:top w:w="0" w:type="dxa"/>
            <w:left w:w="108" w:type="dxa"/>
            <w:bottom w:w="0" w:type="dxa"/>
            <w:right w:w="108" w:type="dxa"/>
          </w:tblCellMar>
        </w:tblPrEx>
        <w:trPr>
          <w:trHeight w:val="500" w:hRule="atLeast"/>
        </w:trPr>
        <w:tc>
          <w:tcPr>
            <w:tcW w:w="852" w:type="pct"/>
            <w:tcBorders>
              <w:top w:val="single" w:color="000000" w:sz="4" w:space="0"/>
              <w:left w:val="single" w:color="000000" w:sz="4" w:space="0"/>
              <w:bottom w:val="single" w:color="000000" w:sz="4" w:space="0"/>
              <w:right w:val="nil"/>
            </w:tcBorders>
            <w:vAlign w:val="center"/>
          </w:tcPr>
          <w:p>
            <w:pPr>
              <w:textAlignment w:val="center"/>
              <w:rPr>
                <w:rFonts w:hint="default" w:cs="宋体"/>
                <w:color w:val="000000"/>
                <w:sz w:val="22"/>
                <w:szCs w:val="22"/>
              </w:rPr>
            </w:pPr>
            <w:r>
              <w:rPr>
                <w:rFonts w:cs="宋体"/>
                <w:color w:val="000000"/>
                <w:sz w:val="22"/>
                <w:szCs w:val="22"/>
                <w:lang w:bidi="ar"/>
              </w:rPr>
              <w:t>一般公共预算</w:t>
            </w:r>
          </w:p>
        </w:tc>
        <w:tc>
          <w:tcPr>
            <w:tcW w:w="338" w:type="pct"/>
            <w:tcBorders>
              <w:top w:val="single" w:color="000000" w:sz="4" w:space="0"/>
              <w:left w:val="nil"/>
              <w:bottom w:val="single" w:color="000000" w:sz="4" w:space="0"/>
              <w:right w:val="single" w:color="000000" w:sz="4" w:space="0"/>
            </w:tcBorders>
            <w:noWrap/>
            <w:vAlign w:val="center"/>
          </w:tcPr>
          <w:p>
            <w:pPr>
              <w:rPr>
                <w:rFonts w:hint="default" w:cs="宋体"/>
                <w:color w:val="000000"/>
                <w:sz w:val="22"/>
                <w:szCs w:val="22"/>
              </w:rPr>
            </w:pPr>
          </w:p>
        </w:tc>
        <w:tc>
          <w:tcPr>
            <w:tcW w:w="312" w:type="pct"/>
            <w:tcBorders>
              <w:top w:val="single" w:color="000000" w:sz="4" w:space="0"/>
              <w:left w:val="single" w:color="000000" w:sz="4" w:space="0"/>
              <w:bottom w:val="single" w:color="000000" w:sz="4" w:space="0"/>
              <w:right w:val="nil"/>
            </w:tcBorders>
            <w:noWrap/>
            <w:vAlign w:val="center"/>
          </w:tcPr>
          <w:p>
            <w:pPr>
              <w:rPr>
                <w:rFonts w:hint="default" w:cs="宋体"/>
                <w:color w:val="000000"/>
                <w:sz w:val="22"/>
                <w:szCs w:val="22"/>
              </w:rPr>
            </w:pPr>
          </w:p>
        </w:tc>
        <w:tc>
          <w:tcPr>
            <w:tcW w:w="403" w:type="pct"/>
            <w:tcBorders>
              <w:top w:val="single" w:color="000000" w:sz="4" w:space="0"/>
              <w:left w:val="nil"/>
              <w:bottom w:val="single" w:color="000000" w:sz="4" w:space="0"/>
              <w:right w:val="single" w:color="000000" w:sz="4" w:space="0"/>
            </w:tcBorders>
            <w:noWrap/>
            <w:vAlign w:val="center"/>
          </w:tcPr>
          <w:p>
            <w:pPr>
              <w:jc w:val="right"/>
              <w:textAlignment w:val="center"/>
              <w:rPr>
                <w:rFonts w:hint="default" w:cs="宋体"/>
                <w:color w:val="000000"/>
                <w:sz w:val="22"/>
                <w:szCs w:val="22"/>
              </w:rPr>
            </w:pPr>
            <w:r>
              <w:rPr>
                <w:rFonts w:cs="宋体"/>
                <w:color w:val="000000"/>
                <w:sz w:val="22"/>
                <w:szCs w:val="22"/>
                <w:lang w:bidi="ar"/>
              </w:rPr>
              <w:t xml:space="preserve">12,000,000.00 </w:t>
            </w:r>
          </w:p>
        </w:tc>
        <w:tc>
          <w:tcPr>
            <w:tcW w:w="301" w:type="pct"/>
            <w:tcBorders>
              <w:top w:val="single" w:color="000000" w:sz="4" w:space="0"/>
              <w:left w:val="single" w:color="000000" w:sz="4" w:space="0"/>
              <w:bottom w:val="single" w:color="000000" w:sz="4" w:space="0"/>
              <w:right w:val="nil"/>
            </w:tcBorders>
            <w:noWrap/>
            <w:vAlign w:val="center"/>
          </w:tcPr>
          <w:p>
            <w:pPr>
              <w:rPr>
                <w:rFonts w:hint="default" w:cs="宋体"/>
                <w:color w:val="000000"/>
                <w:sz w:val="22"/>
                <w:szCs w:val="22"/>
              </w:rPr>
            </w:pPr>
          </w:p>
        </w:tc>
        <w:tc>
          <w:tcPr>
            <w:tcW w:w="376" w:type="pct"/>
            <w:tcBorders>
              <w:top w:val="single" w:color="000000" w:sz="4" w:space="0"/>
              <w:left w:val="nil"/>
              <w:bottom w:val="single" w:color="000000" w:sz="4" w:space="0"/>
              <w:right w:val="single" w:color="000000" w:sz="4" w:space="0"/>
            </w:tcBorders>
            <w:vAlign w:val="center"/>
          </w:tcPr>
          <w:p>
            <w:pPr>
              <w:jc w:val="right"/>
              <w:textAlignment w:val="center"/>
              <w:rPr>
                <w:rFonts w:hint="default" w:cs="宋体"/>
                <w:color w:val="000000"/>
                <w:sz w:val="22"/>
                <w:szCs w:val="22"/>
              </w:rPr>
            </w:pPr>
            <w:r>
              <w:rPr>
                <w:rFonts w:cs="宋体"/>
                <w:color w:val="000000"/>
                <w:sz w:val="22"/>
                <w:szCs w:val="22"/>
                <w:lang w:bidi="ar"/>
              </w:rPr>
              <w:t xml:space="preserve">11,999,867.73 </w:t>
            </w:r>
          </w:p>
        </w:tc>
        <w:tc>
          <w:tcPr>
            <w:tcW w:w="378" w:type="pct"/>
            <w:tcBorders>
              <w:top w:val="single" w:color="000000" w:sz="4" w:space="0"/>
              <w:left w:val="single" w:color="000000" w:sz="4" w:space="0"/>
              <w:bottom w:val="single" w:color="000000" w:sz="4" w:space="0"/>
              <w:right w:val="nil"/>
            </w:tcBorders>
            <w:noWrap/>
            <w:vAlign w:val="center"/>
          </w:tcPr>
          <w:p>
            <w:pPr>
              <w:rPr>
                <w:rFonts w:hint="default" w:cs="宋体"/>
                <w:color w:val="000000"/>
                <w:sz w:val="22"/>
                <w:szCs w:val="22"/>
              </w:rPr>
            </w:pPr>
          </w:p>
        </w:tc>
        <w:tc>
          <w:tcPr>
            <w:tcW w:w="376" w:type="pct"/>
            <w:tcBorders>
              <w:top w:val="single" w:color="000000" w:sz="4" w:space="0"/>
              <w:left w:val="nil"/>
              <w:bottom w:val="single" w:color="000000" w:sz="4" w:space="0"/>
              <w:right w:val="single" w:color="000000" w:sz="4" w:space="0"/>
            </w:tcBorders>
            <w:noWrap/>
            <w:vAlign w:val="center"/>
          </w:tcPr>
          <w:p>
            <w:pPr>
              <w:jc w:val="right"/>
              <w:textAlignment w:val="center"/>
              <w:rPr>
                <w:rFonts w:hint="default" w:cs="宋体"/>
                <w:color w:val="000000"/>
                <w:sz w:val="22"/>
                <w:szCs w:val="22"/>
              </w:rPr>
            </w:pPr>
            <w:r>
              <w:rPr>
                <w:rFonts w:cs="宋体"/>
                <w:color w:val="000000"/>
                <w:sz w:val="22"/>
                <w:szCs w:val="22"/>
                <w:lang w:bidi="ar"/>
              </w:rPr>
              <w:t xml:space="preserve">11,999,867.73 </w:t>
            </w:r>
          </w:p>
        </w:tc>
        <w:tc>
          <w:tcPr>
            <w:tcW w:w="251" w:type="pct"/>
            <w:tcBorders>
              <w:top w:val="single" w:color="000000" w:sz="4" w:space="0"/>
              <w:left w:val="single" w:color="000000" w:sz="4" w:space="0"/>
              <w:bottom w:val="single" w:color="000000" w:sz="4" w:space="0"/>
              <w:right w:val="single" w:color="000000" w:sz="4" w:space="0"/>
            </w:tcBorders>
            <w:noWrap/>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rPr>
                <w:rFonts w:hint="default" w:cs="宋体"/>
                <w:color w:val="000000"/>
                <w:sz w:val="22"/>
                <w:szCs w:val="22"/>
              </w:rPr>
            </w:pPr>
          </w:p>
        </w:tc>
        <w:tc>
          <w:tcPr>
            <w:tcW w:w="105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tblPrEx>
          <w:tblCellMar>
            <w:top w:w="0" w:type="dxa"/>
            <w:left w:w="108" w:type="dxa"/>
            <w:bottom w:w="0" w:type="dxa"/>
            <w:right w:w="108" w:type="dxa"/>
          </w:tblCellMar>
        </w:tblPrEx>
        <w:trPr>
          <w:trHeight w:val="500" w:hRule="atLeast"/>
        </w:trPr>
        <w:tc>
          <w:tcPr>
            <w:tcW w:w="1907" w:type="pct"/>
            <w:gridSpan w:val="4"/>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1433" w:type="pct"/>
            <w:gridSpan w:val="4"/>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1659" w:type="pct"/>
            <w:gridSpan w:val="3"/>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tblPrEx>
          <w:tblCellMar>
            <w:top w:w="0" w:type="dxa"/>
            <w:left w:w="108" w:type="dxa"/>
            <w:bottom w:w="0" w:type="dxa"/>
            <w:right w:w="108" w:type="dxa"/>
          </w:tblCellMar>
        </w:tblPrEx>
        <w:trPr>
          <w:trHeight w:val="1600" w:hRule="atLeast"/>
        </w:trPr>
        <w:tc>
          <w:tcPr>
            <w:tcW w:w="1907" w:type="pct"/>
            <w:gridSpan w:val="4"/>
            <w:tcBorders>
              <w:top w:val="single" w:color="000000" w:sz="4" w:space="0"/>
              <w:left w:val="single" w:color="000000" w:sz="4" w:space="0"/>
              <w:bottom w:val="single" w:color="000000" w:sz="4" w:space="0"/>
              <w:right w:val="single" w:color="000000" w:sz="4" w:space="0"/>
            </w:tcBorders>
          </w:tcPr>
          <w:p>
            <w:pPr>
              <w:textAlignment w:val="top"/>
              <w:rPr>
                <w:rFonts w:hint="default" w:cs="宋体"/>
                <w:color w:val="000000"/>
                <w:sz w:val="22"/>
                <w:szCs w:val="22"/>
              </w:rPr>
            </w:pPr>
            <w:r>
              <w:rPr>
                <w:rFonts w:cs="宋体"/>
                <w:color w:val="000000"/>
                <w:sz w:val="22"/>
                <w:szCs w:val="22"/>
                <w:lang w:bidi="ar"/>
              </w:rPr>
              <w:t>开展全县规模以上项目预算评审及结算审核。</w:t>
            </w:r>
          </w:p>
        </w:tc>
        <w:tc>
          <w:tcPr>
            <w:tcW w:w="1433" w:type="pct"/>
            <w:gridSpan w:val="4"/>
            <w:tcBorders>
              <w:top w:val="single" w:color="000000" w:sz="4" w:space="0"/>
              <w:left w:val="single" w:color="000000" w:sz="4" w:space="0"/>
              <w:bottom w:val="single" w:color="000000" w:sz="4" w:space="0"/>
              <w:right w:val="single" w:color="000000" w:sz="4" w:space="0"/>
            </w:tcBorders>
          </w:tcPr>
          <w:p>
            <w:pPr>
              <w:textAlignment w:val="top"/>
              <w:rPr>
                <w:rFonts w:hint="default" w:cs="宋体"/>
                <w:color w:val="000000"/>
                <w:sz w:val="22"/>
                <w:szCs w:val="22"/>
              </w:rPr>
            </w:pPr>
            <w:r>
              <w:rPr>
                <w:rFonts w:cs="宋体"/>
                <w:color w:val="000000"/>
                <w:sz w:val="22"/>
                <w:szCs w:val="22"/>
                <w:lang w:bidi="ar"/>
              </w:rPr>
              <w:t>全年完成预算评审项目388个，送审金额322034.1万元，审定金额294770.7万元，核减27263.4万元，综合核减率8.47%；完成结算评审项目93个，送审金额253437.3万元，审定金额241505.1万元，核减11932.2万元，综合核减率4.71%。</w:t>
            </w:r>
          </w:p>
        </w:tc>
        <w:tc>
          <w:tcPr>
            <w:tcW w:w="1659" w:type="pct"/>
            <w:gridSpan w:val="3"/>
            <w:tcBorders>
              <w:top w:val="single" w:color="000000" w:sz="4" w:space="0"/>
              <w:left w:val="single" w:color="000000" w:sz="4" w:space="0"/>
              <w:bottom w:val="single" w:color="000000" w:sz="4" w:space="0"/>
              <w:right w:val="single" w:color="000000" w:sz="4" w:space="0"/>
            </w:tcBorders>
          </w:tcPr>
          <w:p>
            <w:pPr>
              <w:textAlignment w:val="top"/>
              <w:rPr>
                <w:rFonts w:hint="default" w:cs="宋体"/>
                <w:color w:val="000000"/>
                <w:sz w:val="22"/>
                <w:szCs w:val="22"/>
              </w:rPr>
            </w:pPr>
            <w:r>
              <w:rPr>
                <w:rFonts w:cs="宋体"/>
                <w:color w:val="000000"/>
                <w:sz w:val="22"/>
                <w:szCs w:val="22"/>
                <w:lang w:bidi="ar"/>
              </w:rPr>
              <w:t>全年完成预算评审项目388个，送审金额322034.1万元，审定金额294770.7万元，核减27263.4万元，综合核减率8.47%；完成结算评审项目93个，送审金额253437.3万元，审定金额241505.1万元，核减11932.2万元，综合核减率4.71%。</w:t>
            </w: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tblPrEx>
          <w:tblCellMar>
            <w:top w:w="0" w:type="dxa"/>
            <w:left w:w="108" w:type="dxa"/>
            <w:bottom w:w="0" w:type="dxa"/>
            <w:right w:w="108" w:type="dxa"/>
          </w:tblCellMar>
        </w:tblPrEx>
        <w:trPr>
          <w:trHeight w:val="500" w:hRule="atLeast"/>
        </w:trPr>
        <w:tc>
          <w:tcPr>
            <w:tcW w:w="852"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338"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403"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指标值</w:t>
            </w:r>
          </w:p>
        </w:tc>
        <w:tc>
          <w:tcPr>
            <w:tcW w:w="301"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偏离度（%）</w:t>
            </w:r>
          </w:p>
        </w:tc>
        <w:tc>
          <w:tcPr>
            <w:tcW w:w="378"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251"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说明</w:t>
            </w:r>
          </w:p>
        </w:tc>
      </w:tr>
      <w:tr>
        <w:tblPrEx>
          <w:tblCellMar>
            <w:top w:w="0" w:type="dxa"/>
            <w:left w:w="108" w:type="dxa"/>
            <w:bottom w:w="0" w:type="dxa"/>
            <w:right w:w="108" w:type="dxa"/>
          </w:tblCellMar>
        </w:tblPrEx>
        <w:trPr>
          <w:trHeight w:val="500" w:hRule="atLeast"/>
        </w:trPr>
        <w:tc>
          <w:tcPr>
            <w:tcW w:w="852"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全年结算项目资金量</w:t>
            </w:r>
          </w:p>
        </w:tc>
        <w:tc>
          <w:tcPr>
            <w:tcW w:w="338"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万元/年</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403"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10000</w:t>
            </w:r>
          </w:p>
        </w:tc>
        <w:tc>
          <w:tcPr>
            <w:tcW w:w="301"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253437.3</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2434.37</w:t>
            </w:r>
          </w:p>
        </w:tc>
        <w:tc>
          <w:tcPr>
            <w:tcW w:w="378"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251"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主要涉及长江二桥项目资金量较大。</w:t>
            </w:r>
          </w:p>
        </w:tc>
      </w:tr>
      <w:tr>
        <w:tblPrEx>
          <w:tblCellMar>
            <w:top w:w="0" w:type="dxa"/>
            <w:left w:w="108" w:type="dxa"/>
            <w:bottom w:w="0" w:type="dxa"/>
            <w:right w:w="108" w:type="dxa"/>
          </w:tblCellMar>
        </w:tblPrEx>
        <w:trPr>
          <w:trHeight w:val="500" w:hRule="atLeast"/>
        </w:trPr>
        <w:tc>
          <w:tcPr>
            <w:tcW w:w="852"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预算评审项目及结算项目审核个数</w:t>
            </w:r>
          </w:p>
        </w:tc>
        <w:tc>
          <w:tcPr>
            <w:tcW w:w="338"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403"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400</w:t>
            </w:r>
          </w:p>
        </w:tc>
        <w:tc>
          <w:tcPr>
            <w:tcW w:w="301"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481</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20.25</w:t>
            </w:r>
          </w:p>
        </w:tc>
        <w:tc>
          <w:tcPr>
            <w:tcW w:w="378"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251"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政府投资项目预算评审增多。</w:t>
            </w:r>
          </w:p>
        </w:tc>
      </w:tr>
      <w:tr>
        <w:tblPrEx>
          <w:tblCellMar>
            <w:top w:w="0" w:type="dxa"/>
            <w:left w:w="108" w:type="dxa"/>
            <w:bottom w:w="0" w:type="dxa"/>
            <w:right w:w="108" w:type="dxa"/>
          </w:tblCellMar>
        </w:tblPrEx>
        <w:trPr>
          <w:trHeight w:val="500" w:hRule="atLeast"/>
        </w:trPr>
        <w:tc>
          <w:tcPr>
            <w:tcW w:w="852"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项目资金审减率</w:t>
            </w:r>
          </w:p>
        </w:tc>
        <w:tc>
          <w:tcPr>
            <w:tcW w:w="338"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403"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8</w:t>
            </w:r>
          </w:p>
        </w:tc>
        <w:tc>
          <w:tcPr>
            <w:tcW w:w="301"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6.81</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14.88</w:t>
            </w:r>
          </w:p>
        </w:tc>
        <w:tc>
          <w:tcPr>
            <w:tcW w:w="378"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251"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结算项目送审金额较大，导致审减率下降。</w:t>
            </w:r>
          </w:p>
        </w:tc>
      </w:tr>
      <w:tr>
        <w:tblPrEx>
          <w:tblCellMar>
            <w:top w:w="0" w:type="dxa"/>
            <w:left w:w="108" w:type="dxa"/>
            <w:bottom w:w="0" w:type="dxa"/>
            <w:right w:w="108" w:type="dxa"/>
          </w:tblCellMar>
        </w:tblPrEx>
        <w:trPr>
          <w:trHeight w:val="500" w:hRule="atLeast"/>
        </w:trPr>
        <w:tc>
          <w:tcPr>
            <w:tcW w:w="852"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节省财政资金</w:t>
            </w:r>
          </w:p>
        </w:tc>
        <w:tc>
          <w:tcPr>
            <w:tcW w:w="338"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万元/年</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403"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5000</w:t>
            </w:r>
          </w:p>
        </w:tc>
        <w:tc>
          <w:tcPr>
            <w:tcW w:w="301"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39195.6</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683.91</w:t>
            </w:r>
          </w:p>
        </w:tc>
        <w:tc>
          <w:tcPr>
            <w:tcW w:w="378"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251"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主要涉及长江二桥项目资金量较大。</w:t>
            </w:r>
          </w:p>
        </w:tc>
      </w:tr>
      <w:tr>
        <w:tblPrEx>
          <w:tblCellMar>
            <w:top w:w="0" w:type="dxa"/>
            <w:left w:w="108" w:type="dxa"/>
            <w:bottom w:w="0" w:type="dxa"/>
            <w:right w:w="108" w:type="dxa"/>
          </w:tblCellMar>
        </w:tblPrEx>
        <w:trPr>
          <w:trHeight w:val="500" w:hRule="atLeast"/>
        </w:trPr>
        <w:tc>
          <w:tcPr>
            <w:tcW w:w="852"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服务对象满意度</w:t>
            </w:r>
          </w:p>
        </w:tc>
        <w:tc>
          <w:tcPr>
            <w:tcW w:w="338"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403"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301"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378"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251"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rPr>
                <w:rFonts w:hint="default" w:cs="宋体"/>
                <w:color w:val="000000"/>
                <w:sz w:val="22"/>
                <w:szCs w:val="22"/>
              </w:rPr>
            </w:pPr>
          </w:p>
        </w:tc>
      </w:tr>
    </w:tbl>
    <w:p>
      <w:pPr>
        <w:spacing w:line="594" w:lineRule="exact"/>
        <w:rPr>
          <w:rFonts w:hint="default" w:ascii="Times New Roman" w:hAnsi="Times New Roman" w:eastAsia="方正楷体_GBK"/>
          <w:sz w:val="32"/>
          <w:szCs w:val="32"/>
        </w:rPr>
      </w:pPr>
    </w:p>
    <w:tbl>
      <w:tblPr>
        <w:tblStyle w:val="12"/>
        <w:tblW w:w="5000" w:type="pct"/>
        <w:tblInd w:w="0" w:type="dxa"/>
        <w:tblLayout w:type="autofit"/>
        <w:tblCellMar>
          <w:top w:w="0" w:type="dxa"/>
          <w:left w:w="108" w:type="dxa"/>
          <w:bottom w:w="0" w:type="dxa"/>
          <w:right w:w="108" w:type="dxa"/>
        </w:tblCellMar>
      </w:tblPr>
      <w:tblGrid>
        <w:gridCol w:w="905"/>
        <w:gridCol w:w="805"/>
        <w:gridCol w:w="803"/>
        <w:gridCol w:w="899"/>
        <w:gridCol w:w="704"/>
        <w:gridCol w:w="801"/>
        <w:gridCol w:w="850"/>
        <w:gridCol w:w="653"/>
        <w:gridCol w:w="606"/>
        <w:gridCol w:w="801"/>
        <w:gridCol w:w="704"/>
      </w:tblGrid>
      <w:tr>
        <w:tblPrEx>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2024年度项目绩效自评表</w:t>
            </w:r>
          </w:p>
        </w:tc>
      </w:tr>
      <w:tr>
        <w:tblPrEx>
          <w:tblCellMar>
            <w:top w:w="0" w:type="dxa"/>
            <w:left w:w="108" w:type="dxa"/>
            <w:bottom w:w="0" w:type="dxa"/>
            <w:right w:w="108" w:type="dxa"/>
          </w:tblCellMar>
        </w:tblPrEx>
        <w:trPr>
          <w:trHeight w:val="500" w:hRule="atLeast"/>
        </w:trPr>
        <w:tc>
          <w:tcPr>
            <w:tcW w:w="662" w:type="pct"/>
            <w:tcBorders>
              <w:top w:val="single" w:color="000000" w:sz="4" w:space="0"/>
              <w:left w:val="single" w:color="000000" w:sz="4" w:space="0"/>
              <w:bottom w:val="single" w:color="000000" w:sz="4" w:space="0"/>
              <w:right w:val="single" w:color="000000" w:sz="4" w:space="0"/>
            </w:tcBorders>
            <w:noWrap/>
            <w:vAlign w:val="center"/>
          </w:tcPr>
          <w:p>
            <w:pPr>
              <w:jc w:val="right"/>
              <w:textAlignment w:val="center"/>
              <w:rPr>
                <w:rFonts w:hint="default" w:cs="宋体"/>
                <w:b/>
                <w:bCs/>
                <w:color w:val="000000"/>
                <w:sz w:val="22"/>
                <w:szCs w:val="22"/>
              </w:rPr>
            </w:pPr>
            <w:r>
              <w:rPr>
                <w:rFonts w:cs="宋体"/>
                <w:b/>
                <w:bCs/>
                <w:color w:val="000000"/>
                <w:sz w:val="22"/>
                <w:szCs w:val="22"/>
                <w:lang w:bidi="ar"/>
              </w:rPr>
              <w:t>项目名称：</w:t>
            </w:r>
          </w:p>
        </w:tc>
        <w:tc>
          <w:tcPr>
            <w:tcW w:w="726" w:type="pct"/>
            <w:gridSpan w:val="2"/>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引进创新人才安家补助经费</w:t>
            </w:r>
          </w:p>
        </w:tc>
        <w:tc>
          <w:tcPr>
            <w:tcW w:w="536" w:type="pct"/>
            <w:tcBorders>
              <w:top w:val="single" w:color="000000" w:sz="4" w:space="0"/>
              <w:left w:val="single" w:color="000000" w:sz="4" w:space="0"/>
              <w:bottom w:val="single" w:color="000000" w:sz="4" w:space="0"/>
              <w:right w:val="single" w:color="000000" w:sz="4" w:space="0"/>
            </w:tcBorders>
            <w:noWrap/>
            <w:vAlign w:val="center"/>
          </w:tcPr>
          <w:p>
            <w:pPr>
              <w:jc w:val="right"/>
              <w:textAlignment w:val="center"/>
              <w:rPr>
                <w:rFonts w:hint="default" w:cs="宋体"/>
                <w:b/>
                <w:bCs/>
                <w:color w:val="000000"/>
                <w:sz w:val="22"/>
                <w:szCs w:val="22"/>
              </w:rPr>
            </w:pPr>
            <w:r>
              <w:rPr>
                <w:rFonts w:cs="宋体"/>
                <w:b/>
                <w:bCs/>
                <w:color w:val="000000"/>
                <w:sz w:val="22"/>
                <w:szCs w:val="22"/>
                <w:lang w:bidi="ar"/>
              </w:rPr>
              <w:t>项目编码：</w:t>
            </w:r>
          </w:p>
        </w:tc>
        <w:tc>
          <w:tcPr>
            <w:tcW w:w="907" w:type="pct"/>
            <w:gridSpan w:val="2"/>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50023023T000002798995</w:t>
            </w:r>
          </w:p>
        </w:tc>
        <w:tc>
          <w:tcPr>
            <w:tcW w:w="503" w:type="pct"/>
            <w:tcBorders>
              <w:top w:val="single" w:color="000000" w:sz="4" w:space="0"/>
              <w:left w:val="single" w:color="000000" w:sz="4" w:space="0"/>
              <w:bottom w:val="single" w:color="000000" w:sz="4" w:space="0"/>
              <w:right w:val="single" w:color="000000" w:sz="4" w:space="0"/>
            </w:tcBorders>
            <w:noWrap/>
            <w:vAlign w:val="center"/>
          </w:tcPr>
          <w:p>
            <w:pPr>
              <w:jc w:val="right"/>
              <w:textAlignment w:val="center"/>
              <w:rPr>
                <w:rFonts w:hint="default" w:cs="宋体"/>
                <w:b/>
                <w:bCs/>
                <w:color w:val="000000"/>
                <w:sz w:val="22"/>
                <w:szCs w:val="22"/>
              </w:rPr>
            </w:pPr>
            <w:r>
              <w:rPr>
                <w:rFonts w:cs="宋体"/>
                <w:b/>
                <w:bCs/>
                <w:color w:val="000000"/>
                <w:sz w:val="22"/>
                <w:szCs w:val="22"/>
                <w:lang w:bidi="ar"/>
              </w:rPr>
              <w:t>自评总分：</w:t>
            </w:r>
          </w:p>
        </w:tc>
        <w:tc>
          <w:tcPr>
            <w:tcW w:w="703" w:type="pct"/>
            <w:gridSpan w:val="2"/>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jc w:val="right"/>
              <w:rPr>
                <w:rFonts w:hint="default" w:cs="宋体"/>
                <w:b/>
                <w:bCs/>
                <w:color w:val="000000"/>
                <w:sz w:val="22"/>
                <w:szCs w:val="22"/>
              </w:rPr>
            </w:pPr>
          </w:p>
        </w:tc>
        <w:tc>
          <w:tcPr>
            <w:tcW w:w="489" w:type="pct"/>
            <w:tcBorders>
              <w:top w:val="single" w:color="000000" w:sz="4" w:space="0"/>
              <w:left w:val="single" w:color="000000" w:sz="4" w:space="0"/>
              <w:bottom w:val="single" w:color="000000" w:sz="4" w:space="0"/>
              <w:right w:val="single" w:color="000000" w:sz="4" w:space="0"/>
            </w:tcBorders>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662" w:type="pct"/>
            <w:tcBorders>
              <w:top w:val="single" w:color="000000" w:sz="4" w:space="0"/>
              <w:left w:val="single" w:color="000000" w:sz="4" w:space="0"/>
              <w:bottom w:val="single" w:color="000000" w:sz="4" w:space="0"/>
              <w:right w:val="single" w:color="000000" w:sz="4" w:space="0"/>
            </w:tcBorders>
            <w:noWrap/>
            <w:vAlign w:val="center"/>
          </w:tcPr>
          <w:p>
            <w:pPr>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726" w:type="pct"/>
            <w:gridSpan w:val="2"/>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117-丰都县财政局</w:t>
            </w:r>
          </w:p>
        </w:tc>
        <w:tc>
          <w:tcPr>
            <w:tcW w:w="536" w:type="pct"/>
            <w:tcBorders>
              <w:top w:val="single" w:color="000000" w:sz="4" w:space="0"/>
              <w:left w:val="single" w:color="000000" w:sz="4" w:space="0"/>
              <w:bottom w:val="single" w:color="000000" w:sz="4" w:space="0"/>
              <w:right w:val="single" w:color="000000" w:sz="4" w:space="0"/>
            </w:tcBorders>
            <w:noWrap/>
            <w:vAlign w:val="center"/>
          </w:tcPr>
          <w:p>
            <w:pPr>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907" w:type="pct"/>
            <w:gridSpan w:val="2"/>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001-行政政法科</w:t>
            </w:r>
          </w:p>
        </w:tc>
        <w:tc>
          <w:tcPr>
            <w:tcW w:w="503" w:type="pct"/>
            <w:tcBorders>
              <w:top w:val="single" w:color="000000" w:sz="4" w:space="0"/>
              <w:left w:val="single" w:color="000000" w:sz="4" w:space="0"/>
              <w:bottom w:val="single" w:color="000000" w:sz="4" w:space="0"/>
              <w:right w:val="single" w:color="000000" w:sz="4" w:space="0"/>
            </w:tcBorders>
            <w:noWrap/>
            <w:vAlign w:val="center"/>
          </w:tcPr>
          <w:p>
            <w:pPr>
              <w:jc w:val="right"/>
              <w:textAlignment w:val="center"/>
              <w:rPr>
                <w:rFonts w:hint="default" w:cs="宋体"/>
                <w:b/>
                <w:bCs/>
                <w:color w:val="000000"/>
                <w:sz w:val="22"/>
                <w:szCs w:val="22"/>
              </w:rPr>
            </w:pPr>
            <w:r>
              <w:rPr>
                <w:rFonts w:cs="宋体"/>
                <w:b/>
                <w:bCs/>
                <w:color w:val="000000"/>
                <w:sz w:val="22"/>
                <w:szCs w:val="22"/>
                <w:lang w:bidi="ar"/>
              </w:rPr>
              <w:t>部门联系人：</w:t>
            </w:r>
          </w:p>
        </w:tc>
        <w:tc>
          <w:tcPr>
            <w:tcW w:w="703" w:type="pct"/>
            <w:gridSpan w:val="2"/>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贺琳杰</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jc w:val="right"/>
              <w:textAlignment w:val="center"/>
              <w:rPr>
                <w:rFonts w:hint="default" w:cs="宋体"/>
                <w:b/>
                <w:bCs/>
                <w:color w:val="000000"/>
                <w:sz w:val="22"/>
                <w:szCs w:val="22"/>
              </w:rPr>
            </w:pPr>
            <w:r>
              <w:rPr>
                <w:rFonts w:cs="宋体"/>
                <w:b/>
                <w:bCs/>
                <w:color w:val="000000"/>
                <w:sz w:val="22"/>
                <w:szCs w:val="22"/>
                <w:lang w:bidi="ar"/>
              </w:rPr>
              <w:t>联系电话：</w:t>
            </w:r>
          </w:p>
        </w:tc>
        <w:tc>
          <w:tcPr>
            <w:tcW w:w="489" w:type="pct"/>
            <w:tcBorders>
              <w:top w:val="single" w:color="000000" w:sz="4" w:space="0"/>
              <w:left w:val="single" w:color="000000" w:sz="4" w:space="0"/>
              <w:bottom w:val="single" w:color="000000" w:sz="4" w:space="0"/>
              <w:right w:val="single" w:color="000000" w:sz="4" w:space="0"/>
            </w:tcBorders>
            <w:vAlign w:val="center"/>
          </w:tcPr>
          <w:p>
            <w:pPr>
              <w:jc w:val="right"/>
              <w:textAlignment w:val="center"/>
              <w:rPr>
                <w:rFonts w:hint="default" w:cs="宋体"/>
                <w:color w:val="000000"/>
                <w:sz w:val="22"/>
                <w:szCs w:val="22"/>
              </w:rPr>
            </w:pPr>
            <w:r>
              <w:rPr>
                <w:rFonts w:cs="宋体"/>
                <w:color w:val="000000"/>
                <w:sz w:val="22"/>
                <w:szCs w:val="22"/>
                <w:lang w:bidi="ar"/>
              </w:rPr>
              <w:t>70606947</w:t>
            </w: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tblPrEx>
          <w:tblCellMar>
            <w:top w:w="0" w:type="dxa"/>
            <w:left w:w="108" w:type="dxa"/>
            <w:bottom w:w="0" w:type="dxa"/>
            <w:right w:w="108" w:type="dxa"/>
          </w:tblCellMar>
        </w:tblPrEx>
        <w:trPr>
          <w:trHeight w:val="500" w:hRule="atLeast"/>
        </w:trPr>
        <w:tc>
          <w:tcPr>
            <w:tcW w:w="1026"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cs="宋体"/>
                <w:color w:val="000000"/>
                <w:sz w:val="22"/>
                <w:szCs w:val="22"/>
              </w:rPr>
            </w:pPr>
          </w:p>
        </w:tc>
        <w:tc>
          <w:tcPr>
            <w:tcW w:w="900" w:type="pct"/>
            <w:gridSpan w:val="2"/>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907" w:type="pct"/>
            <w:gridSpan w:val="2"/>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871" w:type="pct"/>
            <w:gridSpan w:val="2"/>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335"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执行率</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textAlignment w:val="center"/>
              <w:rPr>
                <w:rFonts w:hint="default" w:cs="宋体"/>
                <w:b/>
                <w:bCs/>
                <w:color w:val="000000"/>
                <w:sz w:val="22"/>
                <w:szCs w:val="22"/>
              </w:rPr>
            </w:pPr>
            <w:r>
              <w:rPr>
                <w:rFonts w:cs="宋体"/>
                <w:b/>
                <w:bCs/>
                <w:color w:val="000000"/>
                <w:sz w:val="22"/>
                <w:szCs w:val="22"/>
                <w:lang w:bidi="ar"/>
              </w:rPr>
              <w:t>执行率权重</w:t>
            </w:r>
          </w:p>
        </w:tc>
        <w:tc>
          <w:tcPr>
            <w:tcW w:w="489"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执行率得分</w:t>
            </w:r>
          </w:p>
        </w:tc>
      </w:tr>
      <w:tr>
        <w:tblPrEx>
          <w:tblCellMar>
            <w:top w:w="0" w:type="dxa"/>
            <w:left w:w="108" w:type="dxa"/>
            <w:bottom w:w="0" w:type="dxa"/>
            <w:right w:w="108" w:type="dxa"/>
          </w:tblCellMar>
        </w:tblPrEx>
        <w:trPr>
          <w:trHeight w:val="500" w:hRule="atLeast"/>
        </w:trPr>
        <w:tc>
          <w:tcPr>
            <w:tcW w:w="662" w:type="pct"/>
            <w:tcBorders>
              <w:top w:val="single" w:color="000000" w:sz="4" w:space="0"/>
              <w:left w:val="single" w:color="000000" w:sz="4" w:space="0"/>
              <w:bottom w:val="single" w:color="000000" w:sz="4" w:space="0"/>
              <w:right w:val="nil"/>
            </w:tcBorders>
            <w:vAlign w:val="center"/>
          </w:tcPr>
          <w:p>
            <w:pPr>
              <w:textAlignment w:val="center"/>
              <w:rPr>
                <w:rFonts w:hint="default" w:cs="宋体"/>
                <w:color w:val="000000"/>
                <w:sz w:val="22"/>
                <w:szCs w:val="22"/>
              </w:rPr>
            </w:pPr>
            <w:r>
              <w:rPr>
                <w:rFonts w:cs="宋体"/>
                <w:color w:val="000000"/>
                <w:sz w:val="22"/>
                <w:szCs w:val="22"/>
                <w:lang w:bidi="ar"/>
              </w:rPr>
              <w:t>年度总金额</w:t>
            </w:r>
          </w:p>
        </w:tc>
        <w:tc>
          <w:tcPr>
            <w:tcW w:w="363" w:type="pct"/>
            <w:tcBorders>
              <w:top w:val="single" w:color="000000" w:sz="4" w:space="0"/>
              <w:left w:val="nil"/>
              <w:bottom w:val="single" w:color="000000" w:sz="4" w:space="0"/>
              <w:right w:val="single" w:color="000000" w:sz="4" w:space="0"/>
            </w:tcBorders>
            <w:noWrap/>
            <w:vAlign w:val="center"/>
          </w:tcPr>
          <w:p>
            <w:pPr>
              <w:rPr>
                <w:rFonts w:hint="default" w:cs="宋体"/>
                <w:color w:val="000000"/>
                <w:sz w:val="22"/>
                <w:szCs w:val="22"/>
              </w:rPr>
            </w:pPr>
          </w:p>
        </w:tc>
        <w:tc>
          <w:tcPr>
            <w:tcW w:w="363" w:type="pct"/>
            <w:tcBorders>
              <w:top w:val="single" w:color="000000" w:sz="4" w:space="0"/>
              <w:left w:val="single" w:color="000000" w:sz="4" w:space="0"/>
              <w:bottom w:val="single" w:color="000000" w:sz="4" w:space="0"/>
              <w:right w:val="nil"/>
            </w:tcBorders>
            <w:noWrap/>
            <w:vAlign w:val="center"/>
          </w:tcPr>
          <w:p>
            <w:pPr>
              <w:rPr>
                <w:rFonts w:hint="default" w:cs="宋体"/>
                <w:color w:val="000000"/>
                <w:sz w:val="22"/>
                <w:szCs w:val="22"/>
              </w:rPr>
            </w:pPr>
          </w:p>
        </w:tc>
        <w:tc>
          <w:tcPr>
            <w:tcW w:w="536" w:type="pct"/>
            <w:tcBorders>
              <w:top w:val="single" w:color="000000" w:sz="4" w:space="0"/>
              <w:left w:val="nil"/>
              <w:bottom w:val="single" w:color="000000" w:sz="4" w:space="0"/>
              <w:right w:val="single" w:color="000000" w:sz="4" w:space="0"/>
            </w:tcBorders>
            <w:noWrap/>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402" w:type="pct"/>
            <w:tcBorders>
              <w:top w:val="single" w:color="000000" w:sz="4" w:space="0"/>
              <w:left w:val="single" w:color="000000" w:sz="4" w:space="0"/>
              <w:bottom w:val="single" w:color="000000" w:sz="4" w:space="0"/>
              <w:right w:val="nil"/>
            </w:tcBorders>
            <w:noWrap/>
            <w:vAlign w:val="center"/>
          </w:tcPr>
          <w:p>
            <w:pPr>
              <w:rPr>
                <w:rFonts w:hint="default" w:cs="宋体"/>
                <w:color w:val="000000"/>
                <w:sz w:val="22"/>
                <w:szCs w:val="22"/>
              </w:rPr>
            </w:pPr>
          </w:p>
        </w:tc>
        <w:tc>
          <w:tcPr>
            <w:tcW w:w="504" w:type="pct"/>
            <w:tcBorders>
              <w:top w:val="single" w:color="000000" w:sz="4" w:space="0"/>
              <w:left w:val="nil"/>
              <w:bottom w:val="single" w:color="000000" w:sz="4" w:space="0"/>
              <w:right w:val="single" w:color="000000" w:sz="4" w:space="0"/>
            </w:tcBorders>
            <w:vAlign w:val="center"/>
          </w:tcPr>
          <w:p>
            <w:pPr>
              <w:jc w:val="right"/>
              <w:textAlignment w:val="center"/>
              <w:rPr>
                <w:rFonts w:hint="default" w:cs="宋体"/>
                <w:color w:val="000000"/>
                <w:sz w:val="22"/>
                <w:szCs w:val="22"/>
              </w:rPr>
            </w:pPr>
            <w:r>
              <w:rPr>
                <w:rFonts w:cs="宋体"/>
                <w:color w:val="000000"/>
                <w:sz w:val="22"/>
                <w:szCs w:val="22"/>
                <w:lang w:bidi="ar"/>
              </w:rPr>
              <w:t xml:space="preserve">13,200.00 </w:t>
            </w:r>
          </w:p>
        </w:tc>
        <w:tc>
          <w:tcPr>
            <w:tcW w:w="503" w:type="pct"/>
            <w:tcBorders>
              <w:top w:val="single" w:color="000000" w:sz="4" w:space="0"/>
              <w:left w:val="single" w:color="000000" w:sz="4" w:space="0"/>
              <w:bottom w:val="single" w:color="000000" w:sz="4" w:space="0"/>
              <w:right w:val="nil"/>
            </w:tcBorders>
            <w:noWrap/>
            <w:vAlign w:val="center"/>
          </w:tcPr>
          <w:p>
            <w:pPr>
              <w:rPr>
                <w:rFonts w:hint="default" w:cs="宋体"/>
                <w:color w:val="000000"/>
                <w:sz w:val="22"/>
                <w:szCs w:val="22"/>
              </w:rPr>
            </w:pPr>
          </w:p>
        </w:tc>
        <w:tc>
          <w:tcPr>
            <w:tcW w:w="367" w:type="pct"/>
            <w:tcBorders>
              <w:top w:val="single" w:color="000000" w:sz="4" w:space="0"/>
              <w:left w:val="nil"/>
              <w:bottom w:val="single" w:color="000000" w:sz="4" w:space="0"/>
              <w:right w:val="single" w:color="000000" w:sz="4" w:space="0"/>
            </w:tcBorders>
            <w:noWrap/>
            <w:vAlign w:val="center"/>
          </w:tcPr>
          <w:p>
            <w:pPr>
              <w:jc w:val="right"/>
              <w:textAlignment w:val="center"/>
              <w:rPr>
                <w:rFonts w:hint="default" w:cs="宋体"/>
                <w:color w:val="000000"/>
                <w:sz w:val="22"/>
                <w:szCs w:val="22"/>
              </w:rPr>
            </w:pPr>
            <w:r>
              <w:rPr>
                <w:rFonts w:cs="宋体"/>
                <w:color w:val="000000"/>
                <w:sz w:val="22"/>
                <w:szCs w:val="22"/>
                <w:lang w:bidi="ar"/>
              </w:rPr>
              <w:t xml:space="preserve">13,200.00 </w:t>
            </w:r>
          </w:p>
        </w:tc>
        <w:tc>
          <w:tcPr>
            <w:tcW w:w="335" w:type="pct"/>
            <w:tcBorders>
              <w:top w:val="single" w:color="000000" w:sz="4" w:space="0"/>
              <w:left w:val="single" w:color="000000" w:sz="4" w:space="0"/>
              <w:bottom w:val="single" w:color="000000" w:sz="4" w:space="0"/>
              <w:right w:val="single" w:color="000000" w:sz="4" w:space="0"/>
            </w:tcBorders>
            <w:noWrap/>
            <w:vAlign w:val="center"/>
          </w:tcPr>
          <w:p>
            <w:pPr>
              <w:rPr>
                <w:rFonts w:hint="default" w:cs="宋体"/>
                <w:color w:val="000000"/>
                <w:sz w:val="22"/>
                <w:szCs w:val="22"/>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pPr>
              <w:rPr>
                <w:rFonts w:hint="default" w:cs="宋体"/>
                <w:color w:val="000000"/>
                <w:sz w:val="22"/>
                <w:szCs w:val="22"/>
              </w:rPr>
            </w:pPr>
          </w:p>
        </w:tc>
        <w:tc>
          <w:tcPr>
            <w:tcW w:w="489" w:type="pct"/>
            <w:tcBorders>
              <w:top w:val="single" w:color="000000" w:sz="4" w:space="0"/>
              <w:left w:val="single" w:color="000000" w:sz="4" w:space="0"/>
              <w:bottom w:val="single" w:color="000000" w:sz="4" w:space="0"/>
              <w:right w:val="single" w:color="000000" w:sz="4" w:space="0"/>
            </w:tcBorders>
            <w:noWrap/>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662" w:type="pct"/>
            <w:tcBorders>
              <w:top w:val="single" w:color="000000" w:sz="4" w:space="0"/>
              <w:left w:val="single" w:color="000000" w:sz="4" w:space="0"/>
              <w:bottom w:val="single" w:color="000000" w:sz="4" w:space="0"/>
              <w:right w:val="nil"/>
            </w:tcBorders>
            <w:vAlign w:val="center"/>
          </w:tcPr>
          <w:p>
            <w:pPr>
              <w:textAlignment w:val="center"/>
              <w:rPr>
                <w:rFonts w:hint="default" w:cs="宋体"/>
                <w:color w:val="000000"/>
                <w:sz w:val="22"/>
                <w:szCs w:val="22"/>
              </w:rPr>
            </w:pPr>
            <w:r>
              <w:rPr>
                <w:rFonts w:cs="宋体"/>
                <w:color w:val="000000"/>
                <w:sz w:val="22"/>
                <w:szCs w:val="22"/>
                <w:lang w:bidi="ar"/>
              </w:rPr>
              <w:t>其中：财政拨款</w:t>
            </w:r>
          </w:p>
        </w:tc>
        <w:tc>
          <w:tcPr>
            <w:tcW w:w="363" w:type="pct"/>
            <w:tcBorders>
              <w:top w:val="single" w:color="000000" w:sz="4" w:space="0"/>
              <w:left w:val="nil"/>
              <w:bottom w:val="single" w:color="000000" w:sz="4" w:space="0"/>
              <w:right w:val="single" w:color="000000" w:sz="4" w:space="0"/>
            </w:tcBorders>
            <w:noWrap/>
            <w:vAlign w:val="center"/>
          </w:tcPr>
          <w:p>
            <w:pPr>
              <w:rPr>
                <w:rFonts w:hint="default" w:cs="宋体"/>
                <w:color w:val="000000"/>
                <w:sz w:val="22"/>
                <w:szCs w:val="22"/>
              </w:rPr>
            </w:pPr>
          </w:p>
        </w:tc>
        <w:tc>
          <w:tcPr>
            <w:tcW w:w="363" w:type="pct"/>
            <w:tcBorders>
              <w:top w:val="single" w:color="000000" w:sz="4" w:space="0"/>
              <w:left w:val="single" w:color="000000" w:sz="4" w:space="0"/>
              <w:bottom w:val="single" w:color="000000" w:sz="4" w:space="0"/>
              <w:right w:val="nil"/>
            </w:tcBorders>
            <w:noWrap/>
            <w:vAlign w:val="center"/>
          </w:tcPr>
          <w:p>
            <w:pPr>
              <w:rPr>
                <w:rFonts w:hint="default" w:cs="宋体"/>
                <w:color w:val="000000"/>
                <w:sz w:val="22"/>
                <w:szCs w:val="22"/>
              </w:rPr>
            </w:pPr>
          </w:p>
        </w:tc>
        <w:tc>
          <w:tcPr>
            <w:tcW w:w="536" w:type="pct"/>
            <w:tcBorders>
              <w:top w:val="single" w:color="000000" w:sz="4" w:space="0"/>
              <w:left w:val="nil"/>
              <w:bottom w:val="single" w:color="000000" w:sz="4" w:space="0"/>
              <w:right w:val="single" w:color="000000" w:sz="4" w:space="0"/>
            </w:tcBorders>
            <w:noWrap/>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402" w:type="pct"/>
            <w:tcBorders>
              <w:top w:val="single" w:color="000000" w:sz="4" w:space="0"/>
              <w:left w:val="single" w:color="000000" w:sz="4" w:space="0"/>
              <w:bottom w:val="single" w:color="000000" w:sz="4" w:space="0"/>
              <w:right w:val="nil"/>
            </w:tcBorders>
            <w:noWrap/>
            <w:vAlign w:val="center"/>
          </w:tcPr>
          <w:p>
            <w:pPr>
              <w:rPr>
                <w:rFonts w:hint="default" w:cs="宋体"/>
                <w:color w:val="000000"/>
                <w:sz w:val="22"/>
                <w:szCs w:val="22"/>
              </w:rPr>
            </w:pPr>
          </w:p>
        </w:tc>
        <w:tc>
          <w:tcPr>
            <w:tcW w:w="504" w:type="pct"/>
            <w:tcBorders>
              <w:top w:val="single" w:color="000000" w:sz="4" w:space="0"/>
              <w:left w:val="nil"/>
              <w:bottom w:val="single" w:color="000000" w:sz="4" w:space="0"/>
              <w:right w:val="single" w:color="000000" w:sz="4" w:space="0"/>
            </w:tcBorders>
            <w:vAlign w:val="center"/>
          </w:tcPr>
          <w:p>
            <w:pPr>
              <w:jc w:val="right"/>
              <w:textAlignment w:val="center"/>
              <w:rPr>
                <w:rFonts w:hint="default" w:cs="宋体"/>
                <w:color w:val="000000"/>
                <w:sz w:val="22"/>
                <w:szCs w:val="22"/>
              </w:rPr>
            </w:pPr>
            <w:r>
              <w:rPr>
                <w:rFonts w:cs="宋体"/>
                <w:color w:val="000000"/>
                <w:sz w:val="22"/>
                <w:szCs w:val="22"/>
                <w:lang w:bidi="ar"/>
              </w:rPr>
              <w:t xml:space="preserve">13,200.00 </w:t>
            </w:r>
          </w:p>
        </w:tc>
        <w:tc>
          <w:tcPr>
            <w:tcW w:w="503" w:type="pct"/>
            <w:tcBorders>
              <w:top w:val="single" w:color="000000" w:sz="4" w:space="0"/>
              <w:left w:val="single" w:color="000000" w:sz="4" w:space="0"/>
              <w:bottom w:val="single" w:color="000000" w:sz="4" w:space="0"/>
              <w:right w:val="nil"/>
            </w:tcBorders>
            <w:noWrap/>
            <w:vAlign w:val="center"/>
          </w:tcPr>
          <w:p>
            <w:pPr>
              <w:rPr>
                <w:rFonts w:hint="default" w:cs="宋体"/>
                <w:color w:val="000000"/>
                <w:sz w:val="22"/>
                <w:szCs w:val="22"/>
              </w:rPr>
            </w:pPr>
          </w:p>
        </w:tc>
        <w:tc>
          <w:tcPr>
            <w:tcW w:w="367" w:type="pct"/>
            <w:tcBorders>
              <w:top w:val="single" w:color="000000" w:sz="4" w:space="0"/>
              <w:left w:val="nil"/>
              <w:bottom w:val="single" w:color="000000" w:sz="4" w:space="0"/>
              <w:right w:val="single" w:color="000000" w:sz="4" w:space="0"/>
            </w:tcBorders>
            <w:noWrap/>
            <w:vAlign w:val="center"/>
          </w:tcPr>
          <w:p>
            <w:pPr>
              <w:jc w:val="right"/>
              <w:textAlignment w:val="center"/>
              <w:rPr>
                <w:rFonts w:hint="default" w:cs="宋体"/>
                <w:color w:val="000000"/>
                <w:sz w:val="22"/>
                <w:szCs w:val="22"/>
              </w:rPr>
            </w:pPr>
            <w:r>
              <w:rPr>
                <w:rFonts w:cs="宋体"/>
                <w:color w:val="000000"/>
                <w:sz w:val="22"/>
                <w:szCs w:val="22"/>
                <w:lang w:bidi="ar"/>
              </w:rPr>
              <w:t xml:space="preserve">13,200.00 </w:t>
            </w:r>
          </w:p>
        </w:tc>
        <w:tc>
          <w:tcPr>
            <w:tcW w:w="335" w:type="pct"/>
            <w:tcBorders>
              <w:top w:val="single" w:color="000000" w:sz="4" w:space="0"/>
              <w:left w:val="single" w:color="000000" w:sz="4" w:space="0"/>
              <w:bottom w:val="single" w:color="000000" w:sz="4" w:space="0"/>
              <w:right w:val="single" w:color="000000" w:sz="4" w:space="0"/>
            </w:tcBorders>
            <w:noWrap/>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textAlignment w:val="center"/>
              <w:rPr>
                <w:rFonts w:hint="default" w:cs="宋体"/>
                <w:color w:val="000000"/>
                <w:sz w:val="22"/>
                <w:szCs w:val="22"/>
              </w:rPr>
            </w:pPr>
            <w:r>
              <w:rPr>
                <w:rFonts w:cs="宋体"/>
                <w:color w:val="000000"/>
                <w:sz w:val="22"/>
                <w:szCs w:val="22"/>
                <w:lang w:bidi="ar"/>
              </w:rPr>
              <w:t>10.00</w:t>
            </w:r>
          </w:p>
        </w:tc>
        <w:tc>
          <w:tcPr>
            <w:tcW w:w="489"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tblPrEx>
          <w:tblCellMar>
            <w:top w:w="0" w:type="dxa"/>
            <w:left w:w="108" w:type="dxa"/>
            <w:bottom w:w="0" w:type="dxa"/>
            <w:right w:w="108" w:type="dxa"/>
          </w:tblCellMar>
        </w:tblPrEx>
        <w:trPr>
          <w:trHeight w:val="500" w:hRule="atLeast"/>
        </w:trPr>
        <w:tc>
          <w:tcPr>
            <w:tcW w:w="662" w:type="pct"/>
            <w:tcBorders>
              <w:top w:val="single" w:color="000000" w:sz="4" w:space="0"/>
              <w:left w:val="single" w:color="000000" w:sz="4" w:space="0"/>
              <w:bottom w:val="single" w:color="000000" w:sz="4" w:space="0"/>
              <w:right w:val="nil"/>
            </w:tcBorders>
            <w:vAlign w:val="center"/>
          </w:tcPr>
          <w:p>
            <w:pPr>
              <w:textAlignment w:val="center"/>
              <w:rPr>
                <w:rFonts w:hint="default" w:cs="宋体"/>
                <w:color w:val="000000"/>
                <w:sz w:val="22"/>
                <w:szCs w:val="22"/>
              </w:rPr>
            </w:pPr>
            <w:r>
              <w:rPr>
                <w:rFonts w:cs="宋体"/>
                <w:color w:val="000000"/>
                <w:sz w:val="22"/>
                <w:szCs w:val="22"/>
                <w:lang w:bidi="ar"/>
              </w:rPr>
              <w:t>一般公共预算</w:t>
            </w:r>
          </w:p>
        </w:tc>
        <w:tc>
          <w:tcPr>
            <w:tcW w:w="363" w:type="pct"/>
            <w:tcBorders>
              <w:top w:val="single" w:color="000000" w:sz="4" w:space="0"/>
              <w:left w:val="nil"/>
              <w:bottom w:val="single" w:color="000000" w:sz="4" w:space="0"/>
              <w:right w:val="single" w:color="000000" w:sz="4" w:space="0"/>
            </w:tcBorders>
            <w:noWrap/>
            <w:vAlign w:val="center"/>
          </w:tcPr>
          <w:p>
            <w:pPr>
              <w:rPr>
                <w:rFonts w:hint="default" w:cs="宋体"/>
                <w:color w:val="000000"/>
                <w:sz w:val="22"/>
                <w:szCs w:val="22"/>
              </w:rPr>
            </w:pPr>
          </w:p>
        </w:tc>
        <w:tc>
          <w:tcPr>
            <w:tcW w:w="363" w:type="pct"/>
            <w:tcBorders>
              <w:top w:val="single" w:color="000000" w:sz="4" w:space="0"/>
              <w:left w:val="single" w:color="000000" w:sz="4" w:space="0"/>
              <w:bottom w:val="single" w:color="000000" w:sz="4" w:space="0"/>
              <w:right w:val="nil"/>
            </w:tcBorders>
            <w:noWrap/>
            <w:vAlign w:val="center"/>
          </w:tcPr>
          <w:p>
            <w:pPr>
              <w:rPr>
                <w:rFonts w:hint="default" w:cs="宋体"/>
                <w:color w:val="000000"/>
                <w:sz w:val="22"/>
                <w:szCs w:val="22"/>
              </w:rPr>
            </w:pPr>
          </w:p>
        </w:tc>
        <w:tc>
          <w:tcPr>
            <w:tcW w:w="536" w:type="pct"/>
            <w:tcBorders>
              <w:top w:val="single" w:color="000000" w:sz="4" w:space="0"/>
              <w:left w:val="nil"/>
              <w:bottom w:val="single" w:color="000000" w:sz="4" w:space="0"/>
              <w:right w:val="single" w:color="000000" w:sz="4" w:space="0"/>
            </w:tcBorders>
            <w:noWrap/>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402" w:type="pct"/>
            <w:tcBorders>
              <w:top w:val="single" w:color="000000" w:sz="4" w:space="0"/>
              <w:left w:val="single" w:color="000000" w:sz="4" w:space="0"/>
              <w:bottom w:val="single" w:color="000000" w:sz="4" w:space="0"/>
              <w:right w:val="nil"/>
            </w:tcBorders>
            <w:noWrap/>
            <w:vAlign w:val="center"/>
          </w:tcPr>
          <w:p>
            <w:pPr>
              <w:rPr>
                <w:rFonts w:hint="default" w:cs="宋体"/>
                <w:color w:val="000000"/>
                <w:sz w:val="22"/>
                <w:szCs w:val="22"/>
              </w:rPr>
            </w:pPr>
          </w:p>
        </w:tc>
        <w:tc>
          <w:tcPr>
            <w:tcW w:w="504" w:type="pct"/>
            <w:tcBorders>
              <w:top w:val="single" w:color="000000" w:sz="4" w:space="0"/>
              <w:left w:val="nil"/>
              <w:bottom w:val="single" w:color="000000" w:sz="4" w:space="0"/>
              <w:right w:val="single" w:color="000000" w:sz="4" w:space="0"/>
            </w:tcBorders>
            <w:vAlign w:val="center"/>
          </w:tcPr>
          <w:p>
            <w:pPr>
              <w:jc w:val="right"/>
              <w:textAlignment w:val="center"/>
              <w:rPr>
                <w:rFonts w:hint="default" w:cs="宋体"/>
                <w:color w:val="000000"/>
                <w:sz w:val="22"/>
                <w:szCs w:val="22"/>
              </w:rPr>
            </w:pPr>
            <w:r>
              <w:rPr>
                <w:rFonts w:cs="宋体"/>
                <w:color w:val="000000"/>
                <w:sz w:val="22"/>
                <w:szCs w:val="22"/>
                <w:lang w:bidi="ar"/>
              </w:rPr>
              <w:t xml:space="preserve">13,200.00 </w:t>
            </w:r>
          </w:p>
        </w:tc>
        <w:tc>
          <w:tcPr>
            <w:tcW w:w="503" w:type="pct"/>
            <w:tcBorders>
              <w:top w:val="single" w:color="000000" w:sz="4" w:space="0"/>
              <w:left w:val="single" w:color="000000" w:sz="4" w:space="0"/>
              <w:bottom w:val="single" w:color="000000" w:sz="4" w:space="0"/>
              <w:right w:val="nil"/>
            </w:tcBorders>
            <w:noWrap/>
            <w:vAlign w:val="center"/>
          </w:tcPr>
          <w:p>
            <w:pPr>
              <w:rPr>
                <w:rFonts w:hint="default" w:cs="宋体"/>
                <w:color w:val="000000"/>
                <w:sz w:val="22"/>
                <w:szCs w:val="22"/>
              </w:rPr>
            </w:pPr>
          </w:p>
        </w:tc>
        <w:tc>
          <w:tcPr>
            <w:tcW w:w="367" w:type="pct"/>
            <w:tcBorders>
              <w:top w:val="single" w:color="000000" w:sz="4" w:space="0"/>
              <w:left w:val="nil"/>
              <w:bottom w:val="single" w:color="000000" w:sz="4" w:space="0"/>
              <w:right w:val="single" w:color="000000" w:sz="4" w:space="0"/>
            </w:tcBorders>
            <w:noWrap/>
            <w:vAlign w:val="center"/>
          </w:tcPr>
          <w:p>
            <w:pPr>
              <w:jc w:val="right"/>
              <w:textAlignment w:val="center"/>
              <w:rPr>
                <w:rFonts w:hint="default" w:cs="宋体"/>
                <w:color w:val="000000"/>
                <w:sz w:val="22"/>
                <w:szCs w:val="22"/>
              </w:rPr>
            </w:pPr>
            <w:r>
              <w:rPr>
                <w:rFonts w:cs="宋体"/>
                <w:color w:val="000000"/>
                <w:sz w:val="22"/>
                <w:szCs w:val="22"/>
                <w:lang w:bidi="ar"/>
              </w:rPr>
              <w:t xml:space="preserve">13,200.00 </w:t>
            </w:r>
          </w:p>
        </w:tc>
        <w:tc>
          <w:tcPr>
            <w:tcW w:w="335" w:type="pct"/>
            <w:tcBorders>
              <w:top w:val="single" w:color="000000" w:sz="4" w:space="0"/>
              <w:left w:val="single" w:color="000000" w:sz="4" w:space="0"/>
              <w:bottom w:val="single" w:color="000000" w:sz="4" w:space="0"/>
              <w:right w:val="single" w:color="000000" w:sz="4" w:space="0"/>
            </w:tcBorders>
            <w:noWrap/>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rPr>
                <w:rFonts w:hint="default" w:cs="宋体"/>
                <w:color w:val="000000"/>
                <w:sz w:val="22"/>
                <w:szCs w:val="22"/>
              </w:rPr>
            </w:pPr>
          </w:p>
        </w:tc>
        <w:tc>
          <w:tcPr>
            <w:tcW w:w="489" w:type="pct"/>
            <w:tcBorders>
              <w:top w:val="single" w:color="000000" w:sz="4" w:space="0"/>
              <w:left w:val="single" w:color="000000" w:sz="4" w:space="0"/>
              <w:bottom w:val="single" w:color="000000" w:sz="4" w:space="0"/>
              <w:right w:val="single" w:color="000000" w:sz="4" w:space="0"/>
            </w:tcBorders>
            <w:noWrap/>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tblPrEx>
          <w:tblCellMar>
            <w:top w:w="0" w:type="dxa"/>
            <w:left w:w="108" w:type="dxa"/>
            <w:bottom w:w="0" w:type="dxa"/>
            <w:right w:w="108" w:type="dxa"/>
          </w:tblCellMar>
        </w:tblPrEx>
        <w:trPr>
          <w:trHeight w:val="500" w:hRule="atLeast"/>
        </w:trPr>
        <w:tc>
          <w:tcPr>
            <w:tcW w:w="1926" w:type="pct"/>
            <w:gridSpan w:val="4"/>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1778" w:type="pct"/>
            <w:gridSpan w:val="4"/>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1294" w:type="pct"/>
            <w:gridSpan w:val="3"/>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tblPrEx>
          <w:tblCellMar>
            <w:top w:w="0" w:type="dxa"/>
            <w:left w:w="108" w:type="dxa"/>
            <w:bottom w:w="0" w:type="dxa"/>
            <w:right w:w="108" w:type="dxa"/>
          </w:tblCellMar>
        </w:tblPrEx>
        <w:trPr>
          <w:trHeight w:val="1600" w:hRule="atLeast"/>
        </w:trPr>
        <w:tc>
          <w:tcPr>
            <w:tcW w:w="1926" w:type="pct"/>
            <w:gridSpan w:val="4"/>
            <w:tcBorders>
              <w:top w:val="single" w:color="000000" w:sz="4" w:space="0"/>
              <w:left w:val="single" w:color="000000" w:sz="4" w:space="0"/>
              <w:bottom w:val="single" w:color="000000" w:sz="4" w:space="0"/>
              <w:right w:val="single" w:color="000000" w:sz="4" w:space="0"/>
            </w:tcBorders>
          </w:tcPr>
          <w:p>
            <w:pPr>
              <w:textAlignment w:val="top"/>
              <w:rPr>
                <w:rFonts w:hint="default" w:cs="宋体"/>
                <w:color w:val="000000"/>
                <w:sz w:val="22"/>
                <w:szCs w:val="22"/>
              </w:rPr>
            </w:pPr>
            <w:r>
              <w:rPr>
                <w:rFonts w:cs="宋体"/>
                <w:color w:val="000000"/>
                <w:sz w:val="22"/>
                <w:szCs w:val="22"/>
                <w:lang w:bidi="ar"/>
              </w:rPr>
              <w:t>完成创新人才安家经费补助。</w:t>
            </w:r>
          </w:p>
        </w:tc>
        <w:tc>
          <w:tcPr>
            <w:tcW w:w="1778" w:type="pct"/>
            <w:gridSpan w:val="4"/>
            <w:tcBorders>
              <w:top w:val="single" w:color="000000" w:sz="4" w:space="0"/>
              <w:left w:val="single" w:color="000000" w:sz="4" w:space="0"/>
              <w:bottom w:val="single" w:color="000000" w:sz="4" w:space="0"/>
              <w:right w:val="single" w:color="000000" w:sz="4" w:space="0"/>
            </w:tcBorders>
          </w:tcPr>
          <w:p>
            <w:pPr>
              <w:textAlignment w:val="top"/>
              <w:rPr>
                <w:rFonts w:hint="default" w:cs="宋体"/>
                <w:color w:val="000000"/>
                <w:sz w:val="22"/>
                <w:szCs w:val="22"/>
              </w:rPr>
            </w:pPr>
            <w:r>
              <w:rPr>
                <w:rFonts w:cs="宋体"/>
                <w:color w:val="000000"/>
                <w:sz w:val="22"/>
                <w:szCs w:val="22"/>
                <w:lang w:bidi="ar"/>
              </w:rPr>
              <w:t>全额支付创新人才安家补助。</w:t>
            </w:r>
          </w:p>
        </w:tc>
        <w:tc>
          <w:tcPr>
            <w:tcW w:w="1294" w:type="pct"/>
            <w:gridSpan w:val="3"/>
            <w:tcBorders>
              <w:top w:val="single" w:color="000000" w:sz="4" w:space="0"/>
              <w:left w:val="single" w:color="000000" w:sz="4" w:space="0"/>
              <w:bottom w:val="single" w:color="000000" w:sz="4" w:space="0"/>
              <w:right w:val="single" w:color="000000" w:sz="4" w:space="0"/>
            </w:tcBorders>
          </w:tcPr>
          <w:p>
            <w:pPr>
              <w:textAlignment w:val="top"/>
              <w:rPr>
                <w:rFonts w:hint="default" w:cs="宋体"/>
                <w:color w:val="000000"/>
                <w:sz w:val="22"/>
                <w:szCs w:val="22"/>
              </w:rPr>
            </w:pPr>
            <w:r>
              <w:rPr>
                <w:rFonts w:cs="宋体"/>
                <w:color w:val="000000"/>
                <w:sz w:val="22"/>
                <w:szCs w:val="22"/>
                <w:lang w:bidi="ar"/>
              </w:rPr>
              <w:t>全额支付创新人才安家补助。</w:t>
            </w: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tblPrEx>
          <w:tblCellMar>
            <w:top w:w="0" w:type="dxa"/>
            <w:left w:w="108" w:type="dxa"/>
            <w:bottom w:w="0" w:type="dxa"/>
            <w:right w:w="108" w:type="dxa"/>
          </w:tblCellMar>
        </w:tblPrEx>
        <w:trPr>
          <w:trHeight w:val="500" w:hRule="atLeast"/>
        </w:trPr>
        <w:tc>
          <w:tcPr>
            <w:tcW w:w="662"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363"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363"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536"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指标值</w:t>
            </w:r>
          </w:p>
        </w:tc>
        <w:tc>
          <w:tcPr>
            <w:tcW w:w="402"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偏离度（%）</w:t>
            </w:r>
          </w:p>
        </w:tc>
        <w:tc>
          <w:tcPr>
            <w:tcW w:w="503"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335"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489"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cs="宋体"/>
                <w:b/>
                <w:bCs/>
                <w:color w:val="000000"/>
                <w:sz w:val="22"/>
                <w:szCs w:val="22"/>
              </w:rPr>
            </w:pPr>
            <w:r>
              <w:rPr>
                <w:rFonts w:cs="宋体"/>
                <w:b/>
                <w:bCs/>
                <w:color w:val="000000"/>
                <w:sz w:val="22"/>
                <w:szCs w:val="22"/>
                <w:lang w:bidi="ar"/>
              </w:rPr>
              <w:t>说明</w:t>
            </w:r>
          </w:p>
        </w:tc>
      </w:tr>
      <w:tr>
        <w:tblPrEx>
          <w:tblCellMar>
            <w:top w:w="0" w:type="dxa"/>
            <w:left w:w="108" w:type="dxa"/>
            <w:bottom w:w="0" w:type="dxa"/>
            <w:right w:w="108" w:type="dxa"/>
          </w:tblCellMar>
        </w:tblPrEx>
        <w:trPr>
          <w:trHeight w:val="500" w:hRule="atLeast"/>
        </w:trPr>
        <w:tc>
          <w:tcPr>
            <w:tcW w:w="662"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服务对象满意</w:t>
            </w:r>
          </w:p>
        </w:tc>
        <w:tc>
          <w:tcPr>
            <w:tcW w:w="363" w:type="pct"/>
            <w:tcBorders>
              <w:top w:val="single" w:color="000000" w:sz="4" w:space="0"/>
              <w:left w:val="single" w:color="000000" w:sz="4" w:space="0"/>
              <w:bottom w:val="single" w:color="000000" w:sz="4" w:space="0"/>
              <w:right w:val="single" w:color="000000" w:sz="4" w:space="0"/>
            </w:tcBorders>
            <w:noWrap/>
            <w:vAlign w:val="center"/>
          </w:tcPr>
          <w:p>
            <w:pPr>
              <w:rPr>
                <w:rFonts w:hint="default" w:cs="宋体"/>
                <w:color w:val="000000"/>
                <w:sz w:val="22"/>
                <w:szCs w:val="22"/>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536"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13200</w:t>
            </w:r>
          </w:p>
        </w:tc>
        <w:tc>
          <w:tcPr>
            <w:tcW w:w="402"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03"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50</w:t>
            </w:r>
          </w:p>
        </w:tc>
        <w:tc>
          <w:tcPr>
            <w:tcW w:w="335"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50</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489" w:type="pct"/>
            <w:tcBorders>
              <w:top w:val="single" w:color="000000" w:sz="4" w:space="0"/>
              <w:left w:val="single" w:color="000000" w:sz="4" w:space="0"/>
              <w:bottom w:val="single" w:color="000000" w:sz="4" w:space="0"/>
              <w:right w:val="single" w:color="000000" w:sz="4" w:space="0"/>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662"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服务对象满意</w:t>
            </w:r>
          </w:p>
        </w:tc>
        <w:tc>
          <w:tcPr>
            <w:tcW w:w="363" w:type="pct"/>
            <w:tcBorders>
              <w:top w:val="single" w:color="000000" w:sz="4" w:space="0"/>
              <w:left w:val="single" w:color="000000" w:sz="4" w:space="0"/>
              <w:bottom w:val="single" w:color="000000" w:sz="4" w:space="0"/>
              <w:right w:val="single" w:color="000000" w:sz="4" w:space="0"/>
            </w:tcBorders>
            <w:noWrap/>
            <w:vAlign w:val="center"/>
          </w:tcPr>
          <w:p>
            <w:pPr>
              <w:rPr>
                <w:rFonts w:hint="default" w:cs="宋体"/>
                <w:color w:val="000000"/>
                <w:sz w:val="22"/>
                <w:szCs w:val="22"/>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536"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满意</w:t>
            </w:r>
          </w:p>
        </w:tc>
        <w:tc>
          <w:tcPr>
            <w:tcW w:w="402"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03"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30</w:t>
            </w:r>
          </w:p>
        </w:tc>
        <w:tc>
          <w:tcPr>
            <w:tcW w:w="335"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30</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489" w:type="pct"/>
            <w:tcBorders>
              <w:top w:val="single" w:color="000000" w:sz="4" w:space="0"/>
              <w:left w:val="single" w:color="000000" w:sz="4" w:space="0"/>
              <w:bottom w:val="single" w:color="000000" w:sz="4" w:space="0"/>
              <w:right w:val="single" w:color="000000" w:sz="4" w:space="0"/>
            </w:tcBorders>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662"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服务对象满意</w:t>
            </w:r>
          </w:p>
        </w:tc>
        <w:tc>
          <w:tcPr>
            <w:tcW w:w="363" w:type="pct"/>
            <w:tcBorders>
              <w:top w:val="single" w:color="000000" w:sz="4" w:space="0"/>
              <w:left w:val="single" w:color="000000" w:sz="4" w:space="0"/>
              <w:bottom w:val="single" w:color="000000" w:sz="4" w:space="0"/>
              <w:right w:val="single" w:color="000000" w:sz="4" w:space="0"/>
            </w:tcBorders>
            <w:noWrap/>
            <w:vAlign w:val="center"/>
          </w:tcPr>
          <w:p>
            <w:pPr>
              <w:rPr>
                <w:rFonts w:hint="default" w:cs="宋体"/>
                <w:color w:val="000000"/>
                <w:sz w:val="22"/>
                <w:szCs w:val="22"/>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536"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402"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03"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335"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489" w:type="pct"/>
            <w:tcBorders>
              <w:top w:val="single" w:color="000000" w:sz="4" w:space="0"/>
              <w:left w:val="single" w:color="000000" w:sz="4" w:space="0"/>
              <w:bottom w:val="single" w:color="000000" w:sz="4" w:space="0"/>
              <w:right w:val="single" w:color="000000" w:sz="4" w:space="0"/>
            </w:tcBorders>
            <w:noWrap/>
            <w:vAlign w:val="center"/>
          </w:tcPr>
          <w:p>
            <w:pPr>
              <w:rPr>
                <w:rFonts w:hint="default" w:cs="宋体"/>
                <w:color w:val="000000"/>
                <w:sz w:val="22"/>
                <w:szCs w:val="22"/>
              </w:rPr>
            </w:pPr>
          </w:p>
        </w:tc>
      </w:tr>
    </w:tbl>
    <w:p>
      <w:pPr>
        <w:spacing w:line="594" w:lineRule="exact"/>
        <w:rPr>
          <w:rFonts w:hint="default" w:ascii="Times New Roman" w:hAnsi="Times New Roman" w:eastAsia="方正楷体_GBK"/>
          <w:sz w:val="32"/>
          <w:szCs w:val="32"/>
        </w:rPr>
      </w:pP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（二）单位绩效评价情况</w:t>
      </w:r>
    </w:p>
    <w:p>
      <w:pPr>
        <w:pStyle w:val="19"/>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19"/>
        <w:autoSpaceDE w:val="0"/>
        <w:ind w:firstLine="640"/>
        <w:rPr>
          <w:rFonts w:ascii="Times New Roman" w:hAnsi="Times New Roman" w:eastAsia="方正楷体_GBK"/>
          <w:sz w:val="32"/>
          <w:szCs w:val="32"/>
        </w:rPr>
      </w:pPr>
      <w:r>
        <w:rPr>
          <w:rFonts w:hint="eastAsia" w:ascii="Times New Roman" w:hAnsi="Times New Roman" w:eastAsia="方正楷体_GBK"/>
          <w:sz w:val="32"/>
          <w:szCs w:val="32"/>
        </w:rPr>
        <w:t>（三）财政绩效评价情况</w:t>
      </w:r>
    </w:p>
    <w:p>
      <w:pPr>
        <w:spacing w:line="57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570" w:lineRule="exact"/>
        <w:ind w:firstLine="640" w:firstLineChars="200"/>
        <w:rPr>
          <w:rFonts w:hint="default" w:ascii="Times New Roman" w:hAnsi="Times New Roman" w:eastAsia="方正黑体_GBK"/>
          <w:sz w:val="32"/>
          <w:szCs w:val="32"/>
        </w:rPr>
      </w:pPr>
      <w:r>
        <w:rPr>
          <w:rFonts w:ascii="Times New Roman" w:hAnsi="Times New Roman" w:eastAsia="方正黑体_GBK"/>
          <w:sz w:val="32"/>
          <w:szCs w:val="32"/>
        </w:rPr>
        <w:t>六、专有名词解释</w:t>
      </w:r>
    </w:p>
    <w:p>
      <w:pPr>
        <w:spacing w:line="570"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（一）财政拨款收入：</w:t>
      </w:r>
      <w:r>
        <w:rPr>
          <w:rFonts w:ascii="方正仿宋_GBK" w:hAnsi="方正仿宋_GBK" w:eastAsia="方正仿宋_GBK" w:cs="方正仿宋_GBK"/>
          <w:kern w:val="2"/>
          <w:sz w:val="32"/>
          <w:szCs w:val="32"/>
          <w:shd w:val="clear" w:color="auto" w:fill="FFFFFF"/>
        </w:rPr>
        <w:t>指本年度从本级财政部门取得的财政拨款，包括一般公共预算财政拨款和政府性基金预算财政拨款。</w:t>
      </w:r>
    </w:p>
    <w:p>
      <w:pPr>
        <w:spacing w:line="570"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 （二）事业收入：</w:t>
      </w:r>
      <w:r>
        <w:rPr>
          <w:rFonts w:ascii="方正仿宋_GBK" w:hAnsi="方正仿宋_GBK" w:eastAsia="方正仿宋_GBK" w:cs="方正仿宋_GBK"/>
          <w:kern w:val="2"/>
          <w:sz w:val="32"/>
          <w:szCs w:val="32"/>
          <w:shd w:val="clear" w:color="auto" w:fill="FFFFFF"/>
        </w:rPr>
        <w:t>指事业单位开展专业业务活动及其辅助活动取得的现金流入；事业单位收到的财政专户实际核拨的教育收费等资金在此反映。</w:t>
      </w:r>
    </w:p>
    <w:p>
      <w:pPr>
        <w:spacing w:line="570"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 （三）经营收入：</w:t>
      </w:r>
      <w:r>
        <w:rPr>
          <w:rFonts w:ascii="方正仿宋_GBK" w:hAnsi="方正仿宋_GBK" w:eastAsia="方正仿宋_GBK" w:cs="方正仿宋_GBK"/>
          <w:kern w:val="2"/>
          <w:sz w:val="32"/>
          <w:szCs w:val="32"/>
          <w:shd w:val="clear" w:color="auto" w:fill="FFFFFF"/>
        </w:rPr>
        <w:t>指事业单位在专业业务活动及其辅助活动之外开展非独立核算经营活动取得的现金流入。</w:t>
      </w:r>
    </w:p>
    <w:p>
      <w:pPr>
        <w:spacing w:line="570"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 （四）其他收入：</w:t>
      </w:r>
      <w:r>
        <w:rPr>
          <w:rFonts w:ascii="方正仿宋_GBK" w:hAnsi="方正仿宋_GBK" w:eastAsia="方正仿宋_GBK" w:cs="方正仿宋_GBK"/>
          <w:kern w:val="2"/>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spacing w:line="570" w:lineRule="exact"/>
        <w:ind w:firstLine="640" w:firstLineChars="200"/>
        <w:rPr>
          <w:rFonts w:hint="default" w:ascii="方正仿宋_GBK" w:hAnsi="方正仿宋_GBK" w:eastAsia="方正仿宋_GBK" w:cs="方正仿宋_GBK"/>
          <w:kern w:val="2"/>
          <w:sz w:val="32"/>
          <w:szCs w:val="32"/>
          <w:shd w:val="clear" w:color="auto" w:fill="FFFFFF"/>
        </w:rPr>
      </w:pPr>
      <w:r>
        <w:rPr>
          <w:rFonts w:ascii="Times New Roman" w:hAnsi="Times New Roman" w:eastAsia="方正楷体_GBK"/>
          <w:sz w:val="32"/>
          <w:szCs w:val="32"/>
        </w:rPr>
        <w:t>（五）使用非财政拨款结余：</w:t>
      </w:r>
      <w:r>
        <w:rPr>
          <w:rFonts w:ascii="方正仿宋_GBK" w:hAnsi="方正仿宋_GBK" w:eastAsia="方正仿宋_GBK" w:cs="方正仿宋_GBK"/>
          <w:kern w:val="2"/>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spacing w:line="570"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 （六）年初结转和结余：</w:t>
      </w:r>
      <w:r>
        <w:rPr>
          <w:rFonts w:ascii="方正仿宋_GBK" w:hAnsi="方正仿宋_GBK" w:eastAsia="方正仿宋_GBK" w:cs="方正仿宋_GBK"/>
          <w:kern w:val="2"/>
          <w:sz w:val="32"/>
          <w:szCs w:val="32"/>
          <w:shd w:val="clear" w:color="auto" w:fill="FFFFFF"/>
        </w:rPr>
        <w:t>指单位上年结转本年使用的基本支出结转、项目支出结转和结余、经营结余。</w:t>
      </w:r>
    </w:p>
    <w:p>
      <w:pPr>
        <w:spacing w:line="570"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 （七）结余分配：</w:t>
      </w:r>
      <w:r>
        <w:rPr>
          <w:rFonts w:ascii="方正仿宋_GBK" w:hAnsi="方正仿宋_GBK" w:eastAsia="方正仿宋_GBK" w:cs="方正仿宋_GBK"/>
          <w:kern w:val="2"/>
          <w:sz w:val="32"/>
          <w:szCs w:val="32"/>
          <w:shd w:val="clear" w:color="auto" w:fill="FFFFFF"/>
        </w:rPr>
        <w:t>指单位按照国家有关规定，缴纳所得税、提取专用基金、转入非财政拨款结余等当年结余的分配情况。</w:t>
      </w:r>
    </w:p>
    <w:p>
      <w:pPr>
        <w:spacing w:line="570"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 （八）年末结转和结余：</w:t>
      </w:r>
      <w:r>
        <w:rPr>
          <w:rFonts w:ascii="方正仿宋_GBK" w:hAnsi="方正仿宋_GBK" w:eastAsia="方正仿宋_GBK" w:cs="方正仿宋_GBK"/>
          <w:kern w:val="2"/>
          <w:sz w:val="32"/>
          <w:szCs w:val="32"/>
          <w:shd w:val="clear" w:color="auto" w:fill="FFFFFF"/>
        </w:rPr>
        <w:t>指单位结转下年的基本支出结转、项目支出结转和结余、经营结余。</w:t>
      </w:r>
    </w:p>
    <w:p>
      <w:pPr>
        <w:spacing w:line="570"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 （九）基本支出：</w:t>
      </w:r>
      <w:r>
        <w:rPr>
          <w:rFonts w:ascii="方正仿宋_GBK" w:hAnsi="方正仿宋_GBK" w:eastAsia="方正仿宋_GBK" w:cs="方正仿宋_GBK"/>
          <w:kern w:val="2"/>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line="570"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 （十）项目支出：</w:t>
      </w:r>
      <w:r>
        <w:rPr>
          <w:rFonts w:ascii="方正仿宋_GBK" w:hAnsi="方正仿宋_GBK" w:eastAsia="方正仿宋_GBK" w:cs="方正仿宋_GBK"/>
          <w:kern w:val="2"/>
          <w:sz w:val="32"/>
          <w:szCs w:val="32"/>
          <w:shd w:val="clear" w:color="auto" w:fill="FFFFFF"/>
        </w:rPr>
        <w:t>指在基本支出之外为完成特定行政任务和事业发展目标所发生的支出。</w:t>
      </w:r>
    </w:p>
    <w:p>
      <w:pPr>
        <w:spacing w:line="570"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 （十一）经营支出：</w:t>
      </w:r>
      <w:r>
        <w:rPr>
          <w:rFonts w:ascii="方正仿宋_GBK" w:hAnsi="方正仿宋_GBK" w:eastAsia="方正仿宋_GBK" w:cs="方正仿宋_GBK"/>
          <w:kern w:val="2"/>
          <w:sz w:val="32"/>
          <w:szCs w:val="32"/>
          <w:shd w:val="clear" w:color="auto" w:fill="FFFFFF"/>
        </w:rPr>
        <w:t>指事业单位在专业业务活动及其辅助活动之外开展非独立核算经营活动发生的支出。</w:t>
      </w:r>
    </w:p>
    <w:p>
      <w:pPr>
        <w:spacing w:line="570"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 （十二）“三公”经费：</w:t>
      </w:r>
      <w:r>
        <w:rPr>
          <w:rFonts w:ascii="方正仿宋_GBK" w:hAnsi="方正仿宋_GBK" w:eastAsia="方正仿宋_GBK" w:cs="方正仿宋_GBK"/>
          <w:kern w:val="2"/>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70" w:lineRule="exact"/>
        <w:ind w:firstLine="640" w:firstLineChars="200"/>
        <w:rPr>
          <w:rFonts w:hint="default" w:ascii="方正仿宋_GBK" w:hAnsi="方正仿宋_GBK" w:eastAsia="方正仿宋_GBK" w:cs="方正仿宋_GBK"/>
          <w:kern w:val="2"/>
          <w:sz w:val="32"/>
          <w:szCs w:val="32"/>
          <w:shd w:val="clear" w:color="auto" w:fill="FFFFFF"/>
        </w:rPr>
      </w:pPr>
      <w:r>
        <w:rPr>
          <w:rFonts w:ascii="Times New Roman" w:hAnsi="Times New Roman" w:eastAsia="方正楷体_GBK"/>
          <w:sz w:val="32"/>
          <w:szCs w:val="32"/>
        </w:rPr>
        <w:t> （十三）机关运行经费：</w:t>
      </w:r>
      <w:r>
        <w:rPr>
          <w:rFonts w:ascii="方正仿宋_GBK" w:hAnsi="方正仿宋_GBK" w:eastAsia="方正仿宋_GBK" w:cs="方正仿宋_GBK"/>
          <w:kern w:val="2"/>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spacing w:line="570"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 （十四）工资福利支出（支出经济分类科目类级）：</w:t>
      </w:r>
      <w:r>
        <w:rPr>
          <w:rFonts w:ascii="方正仿宋_GBK" w:hAnsi="方正仿宋_GBK" w:eastAsia="方正仿宋_GBK" w:cs="方正仿宋_GBK"/>
          <w:kern w:val="2"/>
          <w:sz w:val="32"/>
          <w:szCs w:val="32"/>
          <w:shd w:val="clear" w:color="auto" w:fill="FFFFFF"/>
        </w:rPr>
        <w:t>反映单位开支的在职职工和编制外长期聘用人员的各类劳动报酬，以及为上述人员缴纳的各项社会保险费等。</w:t>
      </w:r>
    </w:p>
    <w:p>
      <w:pPr>
        <w:spacing w:line="570" w:lineRule="exact"/>
        <w:ind w:firstLine="640" w:firstLineChars="200"/>
        <w:rPr>
          <w:rFonts w:hint="default" w:ascii="方正仿宋_GBK" w:hAnsi="方正仿宋_GBK" w:eastAsia="方正仿宋_GBK" w:cs="方正仿宋_GBK"/>
          <w:kern w:val="2"/>
          <w:sz w:val="32"/>
          <w:szCs w:val="32"/>
          <w:shd w:val="clear" w:color="auto" w:fill="FFFFFF"/>
        </w:rPr>
      </w:pPr>
      <w:r>
        <w:rPr>
          <w:rFonts w:ascii="Times New Roman" w:hAnsi="Times New Roman" w:eastAsia="方正楷体_GBK"/>
          <w:sz w:val="32"/>
          <w:szCs w:val="32"/>
        </w:rPr>
        <w:t> （十五）商品和服务支出（支出经济分类科目类级）：</w:t>
      </w:r>
      <w:r>
        <w:rPr>
          <w:rFonts w:ascii="方正仿宋_GBK" w:hAnsi="方正仿宋_GBK" w:eastAsia="方正仿宋_GBK" w:cs="方正仿宋_GBK"/>
          <w:kern w:val="2"/>
          <w:sz w:val="32"/>
          <w:szCs w:val="32"/>
          <w:shd w:val="clear" w:color="auto" w:fill="FFFFFF"/>
        </w:rPr>
        <w:t>反映单位购买商品和服务的支出（不包括用于购置固定资产的支出、战略性和应急储备支出）。</w:t>
      </w:r>
    </w:p>
    <w:p>
      <w:pPr>
        <w:spacing w:line="570"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 （十六）对个人和家庭的补助（支出经济分类科目类级）：</w:t>
      </w:r>
      <w:r>
        <w:rPr>
          <w:rFonts w:ascii="方正仿宋_GBK" w:hAnsi="方正仿宋_GBK" w:eastAsia="方正仿宋_GBK" w:cs="方正仿宋_GBK"/>
          <w:kern w:val="2"/>
          <w:sz w:val="32"/>
          <w:szCs w:val="32"/>
          <w:shd w:val="clear" w:color="auto" w:fill="FFFFFF"/>
        </w:rPr>
        <w:t>反映用于对个人和家庭的补助支出。</w:t>
      </w:r>
    </w:p>
    <w:p>
      <w:pPr>
        <w:spacing w:line="570" w:lineRule="exact"/>
        <w:ind w:firstLine="640" w:firstLineChars="200"/>
        <w:rPr>
          <w:rFonts w:hint="default" w:ascii="Times New Roman" w:hAnsi="Times New Roman" w:eastAsia="方正黑体_GBK"/>
          <w:sz w:val="32"/>
          <w:szCs w:val="32"/>
        </w:rPr>
      </w:pPr>
      <w:r>
        <w:rPr>
          <w:rFonts w:ascii="Times New Roman" w:hAnsi="Times New Roman" w:eastAsia="方正黑体_GBK"/>
          <w:sz w:val="32"/>
          <w:szCs w:val="32"/>
        </w:rPr>
        <w:t>七、决算公开联系方式及信息反馈渠道</w:t>
      </w:r>
    </w:p>
    <w:p>
      <w:pPr>
        <w:spacing w:line="570" w:lineRule="exact"/>
        <w:ind w:firstLine="640" w:firstLineChars="200"/>
        <w:rPr>
          <w:rFonts w:hint="default" w:ascii="Times New Roman" w:hAnsi="Times New Roman" w:eastAsia="方正仿宋_GBK"/>
          <w:kern w:val="2"/>
          <w:sz w:val="32"/>
          <w:szCs w:val="32"/>
        </w:rPr>
      </w:pPr>
      <w:r>
        <w:rPr>
          <w:rFonts w:ascii="Times New Roman" w:hAnsi="Times New Roman" w:eastAsia="方正仿宋_GBK"/>
          <w:kern w:val="2"/>
          <w:sz w:val="32"/>
          <w:szCs w:val="32"/>
        </w:rPr>
        <w:t>本单位决算公开信息反馈和联系方式：</w:t>
      </w:r>
    </w:p>
    <w:p>
      <w:pPr>
        <w:pStyle w:val="16"/>
        <w:autoSpaceDE w:val="0"/>
        <w:spacing w:line="596" w:lineRule="exact"/>
        <w:ind w:firstLine="640"/>
        <w:jc w:val="both"/>
        <w:rPr>
          <w:rStyle w:val="15"/>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kern w:val="2"/>
          <w:sz w:val="32"/>
          <w:szCs w:val="32"/>
        </w:rPr>
        <w:t>贺琳杰</w:t>
      </w:r>
      <w:r>
        <w:rPr>
          <w:rFonts w:hint="eastAsia" w:ascii="Times New Roman" w:hAnsi="Times New Roman" w:eastAsia="方正楷体_GBK"/>
          <w:sz w:val="32"/>
          <w:szCs w:val="32"/>
        </w:rPr>
        <w:t xml:space="preserve">       </w:t>
      </w:r>
      <w:r>
        <w:rPr>
          <w:rFonts w:hint="eastAsia" w:ascii="Times New Roman" w:hAnsi="Times New Roman" w:eastAsia="方正仿宋_GBK"/>
          <w:kern w:val="2"/>
          <w:sz w:val="32"/>
          <w:szCs w:val="32"/>
        </w:rPr>
        <w:t>02370606947</w:t>
      </w:r>
      <w:bookmarkEnd w:id="0"/>
    </w:p>
    <w:tbl>
      <w:tblPr>
        <w:tblStyle w:val="12"/>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丰都县财政投资评审中心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1,444.74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1,393.33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1,444.74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1,446.77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1,449.64</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1,449.64</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丰都县财政投资评审中心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1,444.74</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1,444.74</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1,391.30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1,391.30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1,391.30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1,391.30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财政委托业务支出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1,199.99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1,199.99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189.99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189.99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其他财政事务支出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丰都县财政投资评审中心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1,446.77</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245.46</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1,201.31</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1,393.33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192.03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1,201.31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1,393.33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192.03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1,201.31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财政委托业务支出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1,199.99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1,199.99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192.03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192.03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其他财政事务支出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丰都县财政投资评审中心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1,444.74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1,393.33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1,393.33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1,444.74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1,446.77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1,446.77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1,449.64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1,449.64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1,449.64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丰都县财政投资评审中心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1,446.77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245.46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1,201.31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1,393.33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192.03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1,201.31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1,393.33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192.03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1,201.31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财政委托业务支出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1,199.99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1,199.99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192.03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192.03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其他财政事务支出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丰都县财政投资评审中心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223.38</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22.08</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丰都县财政投资评审中心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丰都县财政投资评审中心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丰都县财政投资评审中心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- 5 -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7"/>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95046"/>
    <w:rsid w:val="001D3BB7"/>
    <w:rsid w:val="001F649B"/>
    <w:rsid w:val="00230BF1"/>
    <w:rsid w:val="002B254B"/>
    <w:rsid w:val="0034050A"/>
    <w:rsid w:val="0044504F"/>
    <w:rsid w:val="00461A1E"/>
    <w:rsid w:val="00466C9B"/>
    <w:rsid w:val="00486CFC"/>
    <w:rsid w:val="00491DDD"/>
    <w:rsid w:val="00550ABE"/>
    <w:rsid w:val="00623A85"/>
    <w:rsid w:val="0073325B"/>
    <w:rsid w:val="00770383"/>
    <w:rsid w:val="007819D4"/>
    <w:rsid w:val="0079616B"/>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2263D"/>
    <w:rsid w:val="00E368E9"/>
    <w:rsid w:val="00EE1E33"/>
    <w:rsid w:val="00F3424C"/>
    <w:rsid w:val="00F73F90"/>
    <w:rsid w:val="00FB4B3B"/>
    <w:rsid w:val="01474EBF"/>
    <w:rsid w:val="01F3521E"/>
    <w:rsid w:val="02621F77"/>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BED2A5F"/>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070CA4"/>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annotation text"/>
    <w:basedOn w:val="1"/>
    <w:link w:val="22"/>
    <w:qFormat/>
    <w:uiPriority w:val="0"/>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paragraph" w:styleId="11">
    <w:name w:val="annotation subject"/>
    <w:basedOn w:val="5"/>
    <w:next w:val="5"/>
    <w:link w:val="23"/>
    <w:unhideWhenUsed/>
    <w:qFormat/>
    <w:uiPriority w:val="99"/>
    <w:pPr>
      <w:widowControl w:val="0"/>
    </w:pPr>
    <w:rPr>
      <w:rFonts w:hint="default" w:ascii="Times New Roman" w:hAnsi="Times New Roman"/>
      <w:b/>
      <w:bCs/>
      <w:kern w:val="2"/>
      <w:sz w:val="21"/>
      <w:szCs w:val="2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basedOn w:val="14"/>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Char"/>
    <w:basedOn w:val="14"/>
    <w:link w:val="6"/>
    <w:qFormat/>
    <w:uiPriority w:val="0"/>
    <w:rPr>
      <w:rFonts w:ascii="宋体" w:hAnsi="宋体"/>
      <w:sz w:val="18"/>
      <w:szCs w:val="18"/>
    </w:rPr>
  </w:style>
  <w:style w:type="paragraph" w:customStyle="1" w:styleId="21">
    <w:name w:val="列出段落3"/>
    <w:basedOn w:val="1"/>
    <w:qFormat/>
    <w:uiPriority w:val="99"/>
    <w:pPr>
      <w:ind w:firstLine="420" w:firstLineChars="200"/>
    </w:pPr>
  </w:style>
  <w:style w:type="character" w:customStyle="1" w:styleId="22">
    <w:name w:val="批注文字 Char"/>
    <w:basedOn w:val="14"/>
    <w:link w:val="5"/>
    <w:qFormat/>
    <w:uiPriority w:val="0"/>
    <w:rPr>
      <w:rFonts w:ascii="宋体" w:hAnsi="宋体"/>
      <w:sz w:val="24"/>
      <w:szCs w:val="24"/>
    </w:rPr>
  </w:style>
  <w:style w:type="character" w:customStyle="1" w:styleId="23">
    <w:name w:val="批注主题 Char"/>
    <w:basedOn w:val="22"/>
    <w:link w:val="11"/>
    <w:qFormat/>
    <w:uiPriority w:val="99"/>
    <w:rPr>
      <w:rFonts w:ascii="宋体" w:hAnsi="宋体"/>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24</Pages>
  <Words>2252</Words>
  <Characters>12837</Characters>
  <Lines>106</Lines>
  <Paragraphs>30</Paragraphs>
  <TotalTime>156</TotalTime>
  <ScaleCrop>false</ScaleCrop>
  <LinksUpToDate>false</LinksUpToDate>
  <CharactersWithSpaces>15059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2025-09-15T06:56:32Z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BB46EABDBB2749749395447164B066B3_12</vt:lpwstr>
  </property>
  <property fmtid="{D5CDD505-2E9C-101B-9397-08002B2CF9AE}" pid="4" name="KSOTemplateDocerSaveRecord">
    <vt:lpwstr>eyJoZGlkIjoiMDUzZDZhMzAxZjU1NDQ5MmQ1NWRmOTU3YmYzNzE2N2IiLCJ1c2VySWQiOiI4OTQ3NDUzMTcifQ==</vt:lpwstr>
  </property>
</Properties>
</file>