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/>
          <w:bCs/>
          <w:color w:val="000000"/>
          <w:szCs w:val="32"/>
        </w:rPr>
        <w:t>丰都财政发〔</w:t>
      </w:r>
      <w:r>
        <w:rPr>
          <w:bCs/>
          <w:color w:val="000000"/>
          <w:szCs w:val="32"/>
        </w:rPr>
        <w:t>202</w:t>
      </w:r>
      <w:r>
        <w:rPr>
          <w:rFonts w:hint="eastAsia"/>
          <w:bCs/>
          <w:color w:val="000000"/>
          <w:szCs w:val="32"/>
        </w:rPr>
        <w:t>5〕23号</w:t>
      </w:r>
    </w:p>
    <w:p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丰都县财政局 中共丰都县委组织部</w:t>
      </w:r>
    </w:p>
    <w:p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关于调整惠民惠农财政补贴资金“一卡通”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小标宋_GBK" w:eastAsia="方正小标宋_GBK"/>
          <w:sz w:val="44"/>
          <w:szCs w:val="44"/>
        </w:rPr>
        <w:t>政策清单（规定部分）的通知</w:t>
      </w:r>
    </w:p>
    <w:p>
      <w:pPr>
        <w:spacing w:line="520" w:lineRule="exact"/>
      </w:pPr>
      <w:r>
        <w:rPr>
          <w:rFonts w:hint="eastAsia"/>
        </w:rPr>
        <w:t>各乡镇人民政府，街道办事处：</w:t>
      </w:r>
    </w:p>
    <w:p>
      <w:pPr>
        <w:spacing w:line="520" w:lineRule="exact"/>
        <w:ind w:firstLine="628" w:firstLineChars="200"/>
      </w:pPr>
      <w:r>
        <w:rPr>
          <w:rFonts w:hint="eastAsia"/>
        </w:rPr>
        <w:t>根据财政部等七部委《关于进一步加强惠民惠农财政补贴资</w:t>
      </w:r>
    </w:p>
    <w:p>
      <w:pPr>
        <w:spacing w:line="520" w:lineRule="exact"/>
      </w:pPr>
      <w:r>
        <w:rPr>
          <w:rFonts w:hint="eastAsia"/>
        </w:rPr>
        <w:t>金“一卡通”管理的指导意见》（财办〔2020〕37 号）、《财政部</w:t>
      </w:r>
    </w:p>
    <w:p>
      <w:pPr>
        <w:spacing w:line="520" w:lineRule="exact"/>
      </w:pPr>
      <w:r>
        <w:rPr>
          <w:rFonts w:hint="eastAsia"/>
        </w:rPr>
        <w:t>中共中央组织部关于建立正常增长机制、进一步加强村级组织运</w:t>
      </w:r>
    </w:p>
    <w:p>
      <w:pPr>
        <w:spacing w:line="520" w:lineRule="exact"/>
      </w:pPr>
      <w:r>
        <w:rPr>
          <w:rFonts w:hint="eastAsia"/>
        </w:rPr>
        <w:t>转经费保障工作的通知》（财农〔2020〕41 号）、重庆市财政局</w:t>
      </w:r>
    </w:p>
    <w:p>
      <w:pPr>
        <w:spacing w:line="520" w:lineRule="exact"/>
      </w:pPr>
      <w:r>
        <w:rPr>
          <w:rFonts w:hint="eastAsia"/>
        </w:rPr>
        <w:t>等十二部门《关于进一步加强惠民惠农财政补贴资金“一卡通”</w:t>
      </w:r>
    </w:p>
    <w:p>
      <w:pPr>
        <w:spacing w:line="520" w:lineRule="exact"/>
      </w:pPr>
      <w:r>
        <w:rPr>
          <w:rFonts w:hint="eastAsia"/>
        </w:rPr>
        <w:t>管理的通知》（渝财农〔2021〕61 号）、重庆市财政局等十二部</w:t>
      </w:r>
    </w:p>
    <w:p>
      <w:pPr>
        <w:spacing w:line="520" w:lineRule="exact"/>
      </w:pPr>
      <w:r>
        <w:rPr>
          <w:rFonts w:hint="eastAsia"/>
        </w:rPr>
        <w:t>门《关于做好惠民惠农财政补贴信息公开工作的通知》（渝财农</w:t>
      </w:r>
    </w:p>
    <w:p>
      <w:pPr>
        <w:spacing w:line="520" w:lineRule="exact"/>
      </w:pPr>
      <w:r>
        <w:rPr>
          <w:rFonts w:hint="eastAsia"/>
        </w:rPr>
        <w:t>〔2023〕9 号）、重庆市财政局等十三部门《关于印发重庆市惠</w:t>
      </w:r>
    </w:p>
    <w:p>
      <w:pPr>
        <w:spacing w:line="520" w:lineRule="exact"/>
      </w:pPr>
      <w:r>
        <w:rPr>
          <w:rFonts w:hint="eastAsia"/>
        </w:rPr>
        <w:t>民惠农财政补贴资金“一卡通”管理暂行办法的通知》（渝财规</w:t>
      </w:r>
    </w:p>
    <w:p>
      <w:pPr>
        <w:spacing w:line="520" w:lineRule="exact"/>
      </w:pPr>
      <w:r>
        <w:rPr>
          <w:rFonts w:hint="eastAsia"/>
        </w:rPr>
        <w:t>〔2023〕6 号）、重庆市财政局 中共重庆市委组织部《关于调整惠民惠农财政补贴资金“一卡通”政策清单（规定部分）的通知》（渝财农〔2025〕18 号）等文件规定，结合我县实际，现对《丰都县纳入惠民惠农财政补贴资金“一卡通”政策清单（规定部分）》进行动态调整：</w:t>
      </w:r>
    </w:p>
    <w:p>
      <w:pPr>
        <w:spacing w:line="520" w:lineRule="exact"/>
        <w:ind w:firstLine="628" w:firstLineChars="200"/>
      </w:pPr>
      <w:r>
        <w:rPr>
          <w:rFonts w:hint="eastAsia"/>
        </w:rPr>
        <w:t>新增一项：村干部基本报酬财政补助资金。</w:t>
      </w:r>
    </w:p>
    <w:p>
      <w:pPr>
        <w:spacing w:line="520" w:lineRule="exact"/>
        <w:ind w:firstLine="628" w:firstLineChars="200"/>
      </w:pPr>
      <w:r>
        <w:rPr>
          <w:rFonts w:hint="eastAsia"/>
        </w:rPr>
        <w:t>各乡镇（街道）要按照财政部等七部委《关于进一步加强惠民惠农财政补贴资金“一卡通”管理的指导意见》（财办〔2020〕37 号）、丰都县财政局关于印发《惠民惠农财政补贴资金“一卡通”发放管理信息系统实施方案》的通知（丰都财政发〔2022〕26 号）等文件规定，进一步提高认识、明确责任、严格管理，切实抓好惠民惠农财政补贴资金“一卡通”管理各项工作要求的落实，确保各项惠民惠农政策落地见效。</w:t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  <w:ind w:firstLine="471" w:firstLineChars="150"/>
      </w:pPr>
      <w:r>
        <w:rPr>
          <w:rFonts w:hint="eastAsia"/>
        </w:rPr>
        <w:t>附件：重庆市丰都县纳入惠民惠农财政补贴资金“一卡通”政策清单（规定部分）</w:t>
      </w:r>
    </w:p>
    <w:p>
      <w:pPr>
        <w:spacing w:line="520" w:lineRule="exact"/>
        <w:jc w:val="left"/>
      </w:pPr>
    </w:p>
    <w:p>
      <w:pPr>
        <w:spacing w:line="520" w:lineRule="exact"/>
        <w:ind w:firstLine="785" w:firstLineChars="250"/>
        <w:jc w:val="left"/>
      </w:pPr>
      <w:r>
        <w:rPr>
          <w:rFonts w:hint="eastAsia"/>
        </w:rPr>
        <w:t>丰都县财政局                  中共丰都县委组织部</w:t>
      </w:r>
    </w:p>
    <w:p>
      <w:pPr>
        <w:spacing w:line="520" w:lineRule="exact"/>
        <w:ind w:firstLine="5652" w:firstLineChars="1800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5年6月2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>
      <w:pPr>
        <w:spacing w:line="520" w:lineRule="exact"/>
        <w:ind w:firstLine="628" w:firstLineChars="200"/>
      </w:pPr>
      <w:r>
        <w:rPr>
          <w:rFonts w:hint="eastAsia"/>
        </w:rPr>
        <w:t>（此件主动公开</w:t>
      </w:r>
      <w:r>
        <w:t>）</w:t>
      </w: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ind w:left="0" w:leftChars="0" w:firstLine="0" w:firstLineChars="0"/>
        <w:rPr>
          <w:rFonts w:hint="eastAsia" w:ascii="方正小标宋_GBK" w:hAnsi="宋体" w:eastAsia="方正小标宋_GBK" w:cs="仿宋_GB2312"/>
          <w:sz w:val="44"/>
          <w:szCs w:val="44"/>
        </w:rPr>
      </w:pPr>
      <w:bookmarkStart w:id="0" w:name="_GoBack"/>
      <w:bookmarkEnd w:id="0"/>
    </w:p>
    <w:p>
      <w:pPr>
        <w:spacing w:line="600" w:lineRule="exact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eastAsia="zh-CN"/>
        </w:rPr>
        <w:t>：</w:t>
      </w:r>
    </w:p>
    <w:p>
      <w:pPr>
        <w:pStyle w:val="2"/>
        <w:tabs>
          <w:tab w:val="clear" w:pos="735"/>
        </w:tabs>
        <w:spacing w:line="600" w:lineRule="exact"/>
        <w:rPr>
          <w:rFonts w:hint="eastAsia" w:ascii="方正小标宋_GBK" w:hAnsi="宋体" w:eastAsia="方正小标宋_GBK" w:cs="仿宋_GB2312"/>
          <w:sz w:val="44"/>
          <w:szCs w:val="44"/>
        </w:rPr>
      </w:pPr>
    </w:p>
    <w:p>
      <w:pPr>
        <w:pStyle w:val="2"/>
        <w:tabs>
          <w:tab w:val="clear" w:pos="735"/>
        </w:tabs>
        <w:spacing w:line="600" w:lineRule="exact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重庆市丰都县纳入惠民惠农财政补贴资金</w:t>
      </w:r>
    </w:p>
    <w:p>
      <w:pPr>
        <w:pStyle w:val="2"/>
        <w:tabs>
          <w:tab w:val="clear" w:pos="735"/>
        </w:tabs>
        <w:spacing w:line="600" w:lineRule="exact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“一卡通”政策公示清单（规定部分）</w:t>
      </w:r>
    </w:p>
    <w:p>
      <w:pPr>
        <w:pStyle w:val="2"/>
        <w:tabs>
          <w:tab w:val="clear" w:pos="735"/>
        </w:tabs>
        <w:spacing w:line="600" w:lineRule="exact"/>
        <w:rPr>
          <w:rFonts w:ascii="方正小标宋_GBK" w:hAnsi="宋体" w:eastAsia="方正小标宋_GBK" w:cs="仿宋_GB2312"/>
          <w:sz w:val="44"/>
          <w:szCs w:val="44"/>
        </w:rPr>
      </w:pPr>
    </w:p>
    <w:tbl>
      <w:tblPr>
        <w:tblStyle w:val="5"/>
        <w:tblW w:w="10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1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序号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补贴资金名称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以工代赈专项项目劳务报酬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困难群众救助补助－城乡居民最低生活保障金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困难群众救助补助－特困人员救助供养保障金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困难群众救助补助－临时救助金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经济困难高龄失能养老服务补贴资金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残疾人两项补贴－重度残疾人护理补贴资金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残疾人两项补贴－困难残疾人生活补贴资金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困难群众救助补助资金－散居孤儿、事实无人抚养儿童补助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困难群众慰问补助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tabs>
                <w:tab w:val="left" w:pos="735"/>
              </w:tabs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福彩圆梦 孤儿助学工程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耕地地力保护补贴资金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农机购置补贴资金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实际种粮农民一次性补贴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种粮大户补贴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强制免疫（先打后报）补助资金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集中无害化处理（养殖环节）补助资金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强制扑杀补助资金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农村危房改造补助资金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大中型水库移民后期扶持资金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农村部分计划生育家庭奖励扶助资金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计划生育家庭特别扶助资金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自然灾害生活补助资金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第一轮退耕还林直补退耕农户资金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578" w:lineRule="exact"/>
              <w:rPr>
                <w:szCs w:val="32"/>
              </w:rPr>
            </w:pPr>
            <w:r>
              <w:rPr>
                <w:szCs w:val="32"/>
              </w:rPr>
              <w:t>第二轮退耕还林还草直补退耕农户资金（原第二轮退耕还林直补退耕农户资金）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非国有林生态保护补偿资金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26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生态护林员管护补助资金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27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非国有天然商品林停伐管护补助资金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28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大豆玉米带状复合种植（现金直补）补助资金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29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扩种油菜（现金直补）补助资金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ind w:firstLine="157" w:firstLineChars="50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6716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村干部基本报酬财政补助资金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县委组织部</w:t>
            </w:r>
          </w:p>
        </w:tc>
      </w:tr>
    </w:tbl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240" w:lineRule="auto"/>
        <w:rPr>
          <w:rFonts w:ascii="仿宋_GB2312" w:hAnsi="仿宋_GB2312" w:cs="仿宋_GB2312"/>
          <w:szCs w:val="32"/>
        </w:rPr>
      </w:pPr>
    </w:p>
    <w:p>
      <w:pPr>
        <w:autoSpaceDN w:val="0"/>
        <w:spacing w:line="240" w:lineRule="auto"/>
        <w:jc w:val="left"/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476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73" w:lineRule="auto"/>
      <w:ind w:left="308" w:leftChars="100"/>
      <w:jc w:val="left"/>
      <w:rPr>
        <w:rStyle w:val="8"/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3E2635E"/>
    <w:rsid w:val="00175665"/>
    <w:rsid w:val="001B6B82"/>
    <w:rsid w:val="00203CFF"/>
    <w:rsid w:val="00271C31"/>
    <w:rsid w:val="00285621"/>
    <w:rsid w:val="002927E9"/>
    <w:rsid w:val="003376FF"/>
    <w:rsid w:val="00374D4A"/>
    <w:rsid w:val="0039488D"/>
    <w:rsid w:val="003A59A5"/>
    <w:rsid w:val="003B5633"/>
    <w:rsid w:val="00440B6A"/>
    <w:rsid w:val="00491D1F"/>
    <w:rsid w:val="004A6F22"/>
    <w:rsid w:val="00521365"/>
    <w:rsid w:val="005778EC"/>
    <w:rsid w:val="006C6C83"/>
    <w:rsid w:val="007E2FB7"/>
    <w:rsid w:val="00800961"/>
    <w:rsid w:val="008B3422"/>
    <w:rsid w:val="008E165E"/>
    <w:rsid w:val="00965970"/>
    <w:rsid w:val="009A57D7"/>
    <w:rsid w:val="00AC775E"/>
    <w:rsid w:val="00B53501"/>
    <w:rsid w:val="00B84507"/>
    <w:rsid w:val="00C81934"/>
    <w:rsid w:val="00C90A37"/>
    <w:rsid w:val="00CF2827"/>
    <w:rsid w:val="00DC57F7"/>
    <w:rsid w:val="00DE1749"/>
    <w:rsid w:val="00E05F59"/>
    <w:rsid w:val="00E272BC"/>
    <w:rsid w:val="00F26E04"/>
    <w:rsid w:val="00F7685A"/>
    <w:rsid w:val="00FA0968"/>
    <w:rsid w:val="00FA7014"/>
    <w:rsid w:val="00FB6CD8"/>
    <w:rsid w:val="02A757AF"/>
    <w:rsid w:val="03D40D58"/>
    <w:rsid w:val="03E2635E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57692B"/>
    <w:rsid w:val="0B5F3D37"/>
    <w:rsid w:val="0BEE2322"/>
    <w:rsid w:val="0CCE7DBE"/>
    <w:rsid w:val="0E4A52A5"/>
    <w:rsid w:val="0EF44B98"/>
    <w:rsid w:val="0EFB0E72"/>
    <w:rsid w:val="0FC4616A"/>
    <w:rsid w:val="0FFD75C9"/>
    <w:rsid w:val="11D413CD"/>
    <w:rsid w:val="13515442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C7C6848"/>
    <w:rsid w:val="1C7E55CF"/>
    <w:rsid w:val="1CC01990"/>
    <w:rsid w:val="1CCB1E4B"/>
    <w:rsid w:val="1CDA2465"/>
    <w:rsid w:val="1D3C3403"/>
    <w:rsid w:val="1D7F2BF3"/>
    <w:rsid w:val="1F21724F"/>
    <w:rsid w:val="206372DA"/>
    <w:rsid w:val="20CF0D61"/>
    <w:rsid w:val="23110016"/>
    <w:rsid w:val="2378543C"/>
    <w:rsid w:val="23E11F56"/>
    <w:rsid w:val="240B730E"/>
    <w:rsid w:val="240D4A36"/>
    <w:rsid w:val="25452535"/>
    <w:rsid w:val="25B427E8"/>
    <w:rsid w:val="2617288D"/>
    <w:rsid w:val="2913316F"/>
    <w:rsid w:val="2A003631"/>
    <w:rsid w:val="2A8D1D2B"/>
    <w:rsid w:val="2B341EF0"/>
    <w:rsid w:val="2C645E65"/>
    <w:rsid w:val="2E8F63EE"/>
    <w:rsid w:val="2E931CD3"/>
    <w:rsid w:val="2F043E2F"/>
    <w:rsid w:val="2F752E78"/>
    <w:rsid w:val="313F7767"/>
    <w:rsid w:val="318D3859"/>
    <w:rsid w:val="327B4FBE"/>
    <w:rsid w:val="327D69E4"/>
    <w:rsid w:val="33F00AC4"/>
    <w:rsid w:val="34335D8E"/>
    <w:rsid w:val="34D73340"/>
    <w:rsid w:val="356773AC"/>
    <w:rsid w:val="357850C8"/>
    <w:rsid w:val="36386400"/>
    <w:rsid w:val="366208C9"/>
    <w:rsid w:val="36A125AC"/>
    <w:rsid w:val="37B77B75"/>
    <w:rsid w:val="38FC020D"/>
    <w:rsid w:val="39AB70AC"/>
    <w:rsid w:val="39C452F8"/>
    <w:rsid w:val="3A7F4B06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FA2BBE"/>
    <w:rsid w:val="3EB86474"/>
    <w:rsid w:val="3F6F584D"/>
    <w:rsid w:val="40071619"/>
    <w:rsid w:val="41826907"/>
    <w:rsid w:val="42345F07"/>
    <w:rsid w:val="42794B49"/>
    <w:rsid w:val="44215F39"/>
    <w:rsid w:val="442D73A0"/>
    <w:rsid w:val="44883334"/>
    <w:rsid w:val="44AC00B9"/>
    <w:rsid w:val="476F0BC1"/>
    <w:rsid w:val="479C75F5"/>
    <w:rsid w:val="47E258D1"/>
    <w:rsid w:val="49BF3C4B"/>
    <w:rsid w:val="4B4B5EC8"/>
    <w:rsid w:val="4B77583B"/>
    <w:rsid w:val="4BB704B1"/>
    <w:rsid w:val="4C7C75DA"/>
    <w:rsid w:val="4D131782"/>
    <w:rsid w:val="4FA41E34"/>
    <w:rsid w:val="506449AA"/>
    <w:rsid w:val="506D4B6B"/>
    <w:rsid w:val="50B22EF2"/>
    <w:rsid w:val="50C30C0E"/>
    <w:rsid w:val="51AF2A36"/>
    <w:rsid w:val="51C82A3A"/>
    <w:rsid w:val="51FD5492"/>
    <w:rsid w:val="52654633"/>
    <w:rsid w:val="53211D72"/>
    <w:rsid w:val="53273C7B"/>
    <w:rsid w:val="537B3086"/>
    <w:rsid w:val="53AB3ED4"/>
    <w:rsid w:val="53BB08EB"/>
    <w:rsid w:val="541C548D"/>
    <w:rsid w:val="54C75926"/>
    <w:rsid w:val="54FC2087"/>
    <w:rsid w:val="554D50DF"/>
    <w:rsid w:val="55F73A99"/>
    <w:rsid w:val="57981C4F"/>
    <w:rsid w:val="58140590"/>
    <w:rsid w:val="58764423"/>
    <w:rsid w:val="58AD748A"/>
    <w:rsid w:val="59972C8B"/>
    <w:rsid w:val="5A5B3CCD"/>
    <w:rsid w:val="5BF062E2"/>
    <w:rsid w:val="5C344476"/>
    <w:rsid w:val="5C813653"/>
    <w:rsid w:val="5C883DDD"/>
    <w:rsid w:val="5CB1580F"/>
    <w:rsid w:val="5CC21EBE"/>
    <w:rsid w:val="5E340A9B"/>
    <w:rsid w:val="5F715F24"/>
    <w:rsid w:val="5F956A3B"/>
    <w:rsid w:val="5FE274DC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63B466F"/>
    <w:rsid w:val="66531D6F"/>
    <w:rsid w:val="67165330"/>
    <w:rsid w:val="67433876"/>
    <w:rsid w:val="67AC7A22"/>
    <w:rsid w:val="67F35C18"/>
    <w:rsid w:val="680B32BF"/>
    <w:rsid w:val="687605C0"/>
    <w:rsid w:val="688A7410"/>
    <w:rsid w:val="692C2E86"/>
    <w:rsid w:val="69BD27FC"/>
    <w:rsid w:val="6ABB58F6"/>
    <w:rsid w:val="6BF03B2D"/>
    <w:rsid w:val="6BFB5F69"/>
    <w:rsid w:val="6DC30922"/>
    <w:rsid w:val="70073847"/>
    <w:rsid w:val="714C6B88"/>
    <w:rsid w:val="73BF7973"/>
    <w:rsid w:val="748E6D46"/>
    <w:rsid w:val="74B9560C"/>
    <w:rsid w:val="763273F7"/>
    <w:rsid w:val="765331AF"/>
    <w:rsid w:val="76D05224"/>
    <w:rsid w:val="777F67D8"/>
    <w:rsid w:val="77F77773"/>
    <w:rsid w:val="783930A9"/>
    <w:rsid w:val="78F2666F"/>
    <w:rsid w:val="79723C2C"/>
    <w:rsid w:val="79A559B4"/>
    <w:rsid w:val="79BA69C4"/>
    <w:rsid w:val="7A7570F7"/>
    <w:rsid w:val="7B0E3DF2"/>
    <w:rsid w:val="7B712812"/>
    <w:rsid w:val="7BE44D4F"/>
    <w:rsid w:val="7C676684"/>
    <w:rsid w:val="7DF24E2F"/>
    <w:rsid w:val="7E0769F8"/>
    <w:rsid w:val="7F107805"/>
    <w:rsid w:val="7F45445C"/>
    <w:rsid w:val="7F6E3D4B"/>
    <w:rsid w:val="9EDF4C0D"/>
    <w:rsid w:val="FBFF3FA6"/>
    <w:rsid w:val="FEA3BA90"/>
    <w:rsid w:val="FEDF062E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tabs>
        <w:tab w:val="left" w:pos="735"/>
      </w:tabs>
      <w:spacing w:line="580" w:lineRule="exact"/>
      <w:ind w:firstLine="640"/>
    </w:pPr>
    <w:rPr>
      <w:rFonts w:ascii="仿宋_GB2312"/>
      <w:spacing w:val="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  <w:style w:type="character" w:customStyle="1" w:styleId="11">
    <w:name w:val="正文文本缩进 Char"/>
    <w:basedOn w:val="7"/>
    <w:link w:val="2"/>
    <w:qFormat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chapter%205%20single%20decision%20issued%20stamp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5 single decision issued stamp (downstream).wpt</Template>
  <Pages>4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2022-06-07T10:01:00Z</dcterms:created>
  <dc:creator>UMP</dc:creator>
  <cp:lastModifiedBy>李德成</cp:lastModifiedBy>
  <dcterms:modified xsi:type="dcterms:W3CDTF">2025-07-17T03:59:34Z</dcterms:modified>
  <dc:title>No:0000001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</Properties>
</file>