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32DBA">
      <w:pPr>
        <w:pStyle w:val="9"/>
        <w:keepNext w:val="0"/>
        <w:keepLines w:val="0"/>
        <w:pageBreakBefore w:val="0"/>
        <w:widowControl/>
        <w:kinsoku/>
        <w:wordWrap/>
        <w:overflowPunct/>
        <w:topLinePunct w:val="0"/>
        <w:autoSpaceDN/>
        <w:bidi w:val="0"/>
        <w:adjustRightInd/>
        <w:spacing w:before="0" w:beforeAutospacing="0" w:after="0" w:afterAutospacing="0" w:line="596" w:lineRule="exact"/>
        <w:ind w:firstLine="880" w:firstLineChars="200"/>
        <w:jc w:val="center"/>
        <w:textAlignment w:val="auto"/>
        <w:rPr>
          <w:rFonts w:ascii="Times New Roman" w:hAnsi="方正小标宋_GBK" w:eastAsia="方正小标宋_GBK" w:cs="方正小标宋_GBK"/>
          <w:b w:val="0"/>
          <w:bCs w:val="0"/>
          <w:color w:val="auto"/>
          <w:sz w:val="44"/>
          <w:szCs w:val="44"/>
          <w:highlight w:val="none"/>
        </w:rPr>
      </w:pPr>
      <w:r>
        <w:rPr>
          <w:rFonts w:ascii="Times New Roman" w:hAnsi="方正小标宋_GBK" w:eastAsia="方正小标宋_GBK" w:cs="方正小标宋_GBK"/>
          <w:b w:val="0"/>
          <w:bCs w:val="0"/>
          <w:color w:val="auto"/>
          <w:sz w:val="44"/>
          <w:szCs w:val="44"/>
          <w:highlight w:val="none"/>
        </w:rPr>
        <w:t>丰都县公共资源交易</w:t>
      </w:r>
      <w:r>
        <w:rPr>
          <w:rFonts w:hint="eastAsia" w:hAnsi="方正小标宋_GBK" w:eastAsia="方正小标宋_GBK" w:cs="方正小标宋_GBK"/>
          <w:b w:val="0"/>
          <w:bCs w:val="0"/>
          <w:color w:val="auto"/>
          <w:sz w:val="44"/>
          <w:szCs w:val="44"/>
          <w:highlight w:val="none"/>
          <w:lang w:eastAsia="zh-CN"/>
        </w:rPr>
        <w:t>事务</w:t>
      </w:r>
      <w:r>
        <w:rPr>
          <w:rFonts w:ascii="Times New Roman" w:hAnsi="方正小标宋_GBK" w:eastAsia="方正小标宋_GBK" w:cs="方正小标宋_GBK"/>
          <w:b w:val="0"/>
          <w:bCs w:val="0"/>
          <w:color w:val="auto"/>
          <w:sz w:val="44"/>
          <w:szCs w:val="44"/>
          <w:highlight w:val="none"/>
        </w:rPr>
        <w:t>中心（本级）</w:t>
      </w:r>
    </w:p>
    <w:p w14:paraId="63F20DC3">
      <w:pPr>
        <w:pStyle w:val="9"/>
        <w:keepNext w:val="0"/>
        <w:keepLines w:val="0"/>
        <w:pageBreakBefore w:val="0"/>
        <w:widowControl/>
        <w:kinsoku/>
        <w:wordWrap/>
        <w:overflowPunct/>
        <w:topLinePunct w:val="0"/>
        <w:autoSpaceDN/>
        <w:bidi w:val="0"/>
        <w:adjustRightInd/>
        <w:spacing w:before="0" w:beforeAutospacing="0" w:after="0" w:afterAutospacing="0" w:line="596" w:lineRule="exact"/>
        <w:ind w:firstLine="880" w:firstLineChars="200"/>
        <w:jc w:val="center"/>
        <w:textAlignment w:val="auto"/>
        <w:rPr>
          <w:rFonts w:hint="default" w:ascii="Times New Roman" w:hAnsi="方正小标宋_GBK" w:eastAsia="方正小标宋_GBK" w:cs="方正小标宋_GBK"/>
          <w:b w:val="0"/>
          <w:bCs w:val="0"/>
          <w:color w:val="auto"/>
          <w:sz w:val="44"/>
          <w:szCs w:val="44"/>
          <w:highlight w:val="none"/>
          <w:shd w:val="clear" w:color="auto" w:fill="FFFFFF"/>
        </w:rPr>
      </w:pPr>
      <w:r>
        <w:rPr>
          <w:rFonts w:hint="default" w:ascii="Times New Roman" w:hAnsi="Times New Roman" w:eastAsia="方正小标宋_GBK" w:cs="Times New Roman"/>
          <w:b w:val="0"/>
          <w:bCs w:val="0"/>
          <w:color w:val="auto"/>
          <w:sz w:val="44"/>
          <w:szCs w:val="44"/>
          <w:highlight w:val="none"/>
          <w:shd w:val="clear" w:color="auto" w:fill="FFFFFF"/>
        </w:rPr>
        <w:t>2024</w:t>
      </w:r>
      <w:r>
        <w:rPr>
          <w:rFonts w:ascii="Times New Roman" w:hAnsi="方正小标宋_GBK" w:eastAsia="方正小标宋_GBK" w:cs="方正小标宋_GBK"/>
          <w:b w:val="0"/>
          <w:bCs w:val="0"/>
          <w:color w:val="auto"/>
          <w:sz w:val="44"/>
          <w:szCs w:val="44"/>
          <w:highlight w:val="none"/>
          <w:shd w:val="clear" w:color="auto" w:fill="FFFFFF"/>
        </w:rPr>
        <w:t>年度决算公开说明</w:t>
      </w:r>
    </w:p>
    <w:p w14:paraId="227E1C0D">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Times New Roman" w:hAnsi="方正黑体_GBK" w:eastAsia="方正黑体_GBK" w:cs="方正黑体_GBK"/>
          <w:b w:val="0"/>
          <w:bCs w:val="0"/>
          <w:color w:val="auto"/>
          <w:sz w:val="32"/>
          <w:szCs w:val="32"/>
          <w:highlight w:val="none"/>
          <w:shd w:val="clear" w:color="auto" w:fill="FFFFFF"/>
        </w:rPr>
      </w:pPr>
      <w:r>
        <w:rPr>
          <w:rStyle w:val="13"/>
          <w:rFonts w:ascii="Times New Roman" w:hAnsi="方正黑体_GBK" w:eastAsia="方正黑体_GBK" w:cs="方正黑体_GBK"/>
          <w:b w:val="0"/>
          <w:bCs w:val="0"/>
          <w:color w:val="auto"/>
          <w:sz w:val="32"/>
          <w:szCs w:val="32"/>
          <w:highlight w:val="none"/>
          <w:shd w:val="clear" w:color="auto" w:fill="FFFFFF"/>
        </w:rPr>
        <w:t>一、</w:t>
      </w:r>
      <w:r>
        <w:rPr>
          <w:rStyle w:val="13"/>
          <w:rFonts w:hint="eastAsia" w:ascii="Times New Roman" w:hAnsi="方正黑体_GBK" w:eastAsia="方正黑体_GBK" w:cs="方正黑体_GBK"/>
          <w:b w:val="0"/>
          <w:bCs w:val="0"/>
          <w:color w:val="auto"/>
          <w:sz w:val="32"/>
          <w:szCs w:val="32"/>
          <w:highlight w:val="none"/>
          <w:shd w:val="clear" w:color="auto" w:fill="FFFFFF"/>
          <w:lang w:eastAsia="zh-CN"/>
        </w:rPr>
        <w:t>单位</w:t>
      </w:r>
      <w:r>
        <w:rPr>
          <w:rStyle w:val="13"/>
          <w:rFonts w:ascii="Times New Roman" w:hAnsi="方正黑体_GBK" w:eastAsia="方正黑体_GBK" w:cs="方正黑体_GBK"/>
          <w:b w:val="0"/>
          <w:bCs w:val="0"/>
          <w:color w:val="auto"/>
          <w:sz w:val="32"/>
          <w:szCs w:val="32"/>
          <w:highlight w:val="none"/>
          <w:shd w:val="clear" w:color="auto" w:fill="FFFFFF"/>
        </w:rPr>
        <w:t>基本情况</w:t>
      </w:r>
    </w:p>
    <w:p w14:paraId="4FDF9ECD">
      <w:pPr>
        <w:snapToGrid w:val="0"/>
        <w:spacing w:line="520" w:lineRule="exact"/>
        <w:ind w:firstLine="640" w:firstLineChars="200"/>
        <w:rPr>
          <w:rFonts w:hint="eastAsia" w:ascii="Times New Roman" w:hAnsi="方正仿宋_GBK" w:eastAsia="方正楷体_GBK" w:cs="方正楷体_GBK"/>
          <w:b w:val="0"/>
          <w:bCs w:val="0"/>
          <w:color w:val="auto"/>
          <w:sz w:val="32"/>
          <w:szCs w:val="32"/>
          <w:highlight w:val="none"/>
        </w:rPr>
      </w:pPr>
      <w:r>
        <w:rPr>
          <w:rFonts w:hint="eastAsia" w:ascii="Times New Roman" w:hAnsi="方正仿宋_GBK" w:eastAsia="方正楷体_GBK" w:cs="方正楷体_GBK"/>
          <w:b w:val="0"/>
          <w:bCs w:val="0"/>
          <w:color w:val="auto"/>
          <w:sz w:val="32"/>
          <w:szCs w:val="32"/>
          <w:highlight w:val="none"/>
        </w:rPr>
        <w:t>（一）基本情况。</w:t>
      </w:r>
    </w:p>
    <w:p w14:paraId="6F197E87">
      <w:pPr>
        <w:spacing w:line="600" w:lineRule="exact"/>
        <w:ind w:firstLine="640" w:firstLineChars="200"/>
        <w:rPr>
          <w:rFonts w:ascii="Times New Roman" w:hAnsi="方正仿宋_GBK" w:eastAsia="方正仿宋_GBK" w:cs="方正仿宋_GBK"/>
          <w:b w:val="0"/>
          <w:bCs w:val="0"/>
          <w:color w:val="auto"/>
          <w:sz w:val="32"/>
          <w:highlight w:val="none"/>
        </w:rPr>
      </w:pPr>
      <w:r>
        <w:rPr>
          <w:rFonts w:hint="eastAsia" w:ascii="Times New Roman" w:hAnsi="方正仿宋_GBK" w:eastAsia="方正仿宋_GBK" w:cs="方正仿宋_GBK"/>
          <w:b w:val="0"/>
          <w:bCs w:val="0"/>
          <w:color w:val="auto"/>
          <w:sz w:val="32"/>
          <w:szCs w:val="32"/>
          <w:highlight w:val="none"/>
          <w:lang w:eastAsia="zh-CN"/>
        </w:rPr>
        <w:t>1.</w:t>
      </w:r>
      <w:r>
        <w:rPr>
          <w:rFonts w:hint="eastAsia" w:ascii="Times New Roman" w:hAnsi="方正仿宋_GBK" w:eastAsia="方正仿宋_GBK" w:cs="方正仿宋_GBK"/>
          <w:b w:val="0"/>
          <w:bCs w:val="0"/>
          <w:color w:val="auto"/>
          <w:sz w:val="32"/>
          <w:szCs w:val="32"/>
          <w:highlight w:val="none"/>
        </w:rPr>
        <w:t>主要职能。</w:t>
      </w:r>
      <w:r>
        <w:rPr>
          <w:rFonts w:hint="eastAsia" w:ascii="Times New Roman" w:hAnsi="方正仿宋_GBK" w:eastAsia="方正仿宋_GBK" w:cs="方正仿宋_GBK"/>
          <w:b w:val="0"/>
          <w:bCs w:val="0"/>
          <w:color w:val="auto"/>
          <w:sz w:val="32"/>
          <w:highlight w:val="none"/>
          <w:lang w:eastAsia="zh-CN"/>
        </w:rPr>
        <w:t>丰都县公共资源交易中心</w:t>
      </w:r>
      <w:r>
        <w:rPr>
          <w:rFonts w:hint="eastAsia" w:ascii="Times New Roman" w:hAnsi="方正仿宋_GBK" w:eastAsia="方正仿宋_GBK" w:cs="方正仿宋_GBK"/>
          <w:b w:val="0"/>
          <w:bCs w:val="0"/>
          <w:color w:val="auto"/>
          <w:sz w:val="32"/>
          <w:highlight w:val="none"/>
          <w:lang w:val="en-US" w:eastAsia="zh-CN"/>
        </w:rPr>
        <w:t>（本级</w:t>
      </w:r>
      <w:r>
        <w:rPr>
          <w:rFonts w:hint="eastAsia" w:ascii="Times New Roman" w:hAnsi="方正仿宋_GBK" w:eastAsia="方正仿宋_GBK" w:cs="方正仿宋_GBK"/>
          <w:b w:val="0"/>
          <w:bCs w:val="0"/>
          <w:color w:val="auto"/>
          <w:sz w:val="32"/>
          <w:highlight w:val="none"/>
          <w:lang w:eastAsia="zh-CN"/>
        </w:rPr>
        <w:t>）是由</w:t>
      </w:r>
      <w:r>
        <w:rPr>
          <w:rFonts w:hint="eastAsia" w:ascii="Times New Roman" w:hAnsi="方正仿宋_GBK" w:eastAsia="方正仿宋_GBK" w:cs="方正仿宋_GBK"/>
          <w:b w:val="0"/>
          <w:bCs w:val="0"/>
          <w:color w:val="auto"/>
          <w:sz w:val="32"/>
          <w:highlight w:val="none"/>
        </w:rPr>
        <w:t>政府办主管的全额拨款事业单位，主要职责：一是对各类交易活动办理入市交易登记和受理相关业务，统一发布交易信息，受理交易报名，并组织实施各类交易活动</w:t>
      </w:r>
      <w:r>
        <w:rPr>
          <w:rFonts w:hint="eastAsia" w:ascii="Times New Roman" w:hAnsi="方正仿宋_GBK" w:eastAsia="方正仿宋_GBK" w:cs="方正仿宋_GBK"/>
          <w:b w:val="0"/>
          <w:bCs w:val="0"/>
          <w:color w:val="auto"/>
          <w:sz w:val="32"/>
          <w:highlight w:val="none"/>
          <w:lang w:eastAsia="zh-CN"/>
        </w:rPr>
        <w:t>；</w:t>
      </w:r>
      <w:r>
        <w:rPr>
          <w:rFonts w:hint="eastAsia" w:ascii="Times New Roman" w:hAnsi="方正仿宋_GBK" w:eastAsia="方正仿宋_GBK" w:cs="方正仿宋_GBK"/>
          <w:b w:val="0"/>
          <w:bCs w:val="0"/>
          <w:color w:val="auto"/>
          <w:sz w:val="32"/>
          <w:highlight w:val="none"/>
        </w:rPr>
        <w:t>二是收集、存贮、公布公共资源交易的政策法规以及相关价格、企业、科技和人才等方面信息，并为公共资源交易各方面提供信息、咨询等服务，负责综合性评审专家库的维护</w:t>
      </w:r>
      <w:r>
        <w:rPr>
          <w:rFonts w:hint="eastAsia" w:ascii="Times New Roman" w:hAnsi="方正仿宋_GBK" w:eastAsia="方正仿宋_GBK" w:cs="方正仿宋_GBK"/>
          <w:b w:val="0"/>
          <w:bCs w:val="0"/>
          <w:color w:val="auto"/>
          <w:sz w:val="32"/>
          <w:highlight w:val="none"/>
          <w:lang w:eastAsia="zh-CN"/>
        </w:rPr>
        <w:t>；</w:t>
      </w:r>
      <w:r>
        <w:rPr>
          <w:rFonts w:hint="eastAsia" w:ascii="Times New Roman" w:hAnsi="方正仿宋_GBK" w:eastAsia="方正仿宋_GBK" w:cs="方正仿宋_GBK"/>
          <w:b w:val="0"/>
          <w:bCs w:val="0"/>
          <w:color w:val="auto"/>
          <w:sz w:val="32"/>
          <w:highlight w:val="none"/>
        </w:rPr>
        <w:t>三是为监督部门、交易中介（代理）服务机构参与交易活动提供条件，负责交易过程的见证性监督；四是协助制定进入中心项目的交易规则，维护交易场内秩序；五是受招标人委托，依法代理相关招投标事项，并做好交易档案的收集、整理、立卷、归档和管理；六是负责对进入中心的各类公共资源交易活动进行内部监管，配合有关职能部门和</w:t>
      </w:r>
      <w:r>
        <w:rPr>
          <w:rFonts w:hint="eastAsia" w:hAnsi="方正仿宋_GBK" w:eastAsia="方正仿宋_GBK" w:cs="方正仿宋_GBK"/>
          <w:b w:val="0"/>
          <w:bCs w:val="0"/>
          <w:color w:val="auto"/>
          <w:sz w:val="32"/>
          <w:highlight w:val="none"/>
          <w:lang w:eastAsia="zh-CN"/>
        </w:rPr>
        <w:t>国家监察委员会</w:t>
      </w:r>
      <w:r>
        <w:rPr>
          <w:rFonts w:hint="eastAsia" w:ascii="Times New Roman" w:hAnsi="方正仿宋_GBK" w:eastAsia="方正仿宋_GBK" w:cs="方正仿宋_GBK"/>
          <w:b w:val="0"/>
          <w:bCs w:val="0"/>
          <w:color w:val="auto"/>
          <w:sz w:val="32"/>
          <w:highlight w:val="none"/>
        </w:rPr>
        <w:t>对有关投诉举报进行调查处理；七是建立公共资源交易平台“企业、人员、项目”三大基础数据库，建成市场诚信综合评价体系技术平台，配合有关部门完善对市场主体的实时信用管理；八是建立、运行和维护公共资源网络交易系统；九是承办县政府、县资源交易管理委员会安排的其他工作。</w:t>
      </w:r>
    </w:p>
    <w:p w14:paraId="2059FBF4">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方正楷体_GBK" w:eastAsia="方正楷体_GBK" w:cs="方正楷体_GBK"/>
          <w:b w:val="0"/>
          <w:bCs w:val="0"/>
          <w:color w:val="auto"/>
          <w:sz w:val="32"/>
          <w:szCs w:val="32"/>
          <w:highlight w:val="none"/>
        </w:rPr>
      </w:pPr>
      <w:r>
        <w:rPr>
          <w:rStyle w:val="13"/>
          <w:rFonts w:ascii="Times New Roman" w:hAnsi="方正楷体_GBK" w:eastAsia="方正楷体_GBK" w:cs="方正楷体_GBK"/>
          <w:b w:val="0"/>
          <w:bCs w:val="0"/>
          <w:color w:val="auto"/>
          <w:sz w:val="32"/>
          <w:szCs w:val="32"/>
          <w:highlight w:val="none"/>
          <w:shd w:val="clear" w:color="auto" w:fill="FFFFFF"/>
        </w:rPr>
        <w:t>（二）机构设置</w:t>
      </w:r>
    </w:p>
    <w:p w14:paraId="580960E2">
      <w:pPr>
        <w:pStyle w:val="9"/>
        <w:keepNext w:val="0"/>
        <w:keepLines w:val="0"/>
        <w:pageBreakBefore w:val="0"/>
        <w:widowControl/>
        <w:kinsoku/>
        <w:overflowPunct w:val="0"/>
        <w:topLinePunct/>
        <w:autoSpaceDN/>
        <w:bidi w:val="0"/>
        <w:adjustRightInd/>
        <w:snapToGrid w:val="0"/>
        <w:spacing w:before="0" w:beforeAutospacing="0" w:after="0" w:afterAutospacing="0" w:line="560" w:lineRule="exact"/>
        <w:ind w:firstLine="640" w:firstLineChars="200"/>
        <w:jc w:val="both"/>
        <w:rPr>
          <w:rFonts w:hint="eastAsia" w:ascii="Times New Roman" w:hAnsi="Times New Roman" w:eastAsia="方正仿宋_GBK" w:cs="方正仿宋_GBK"/>
          <w:b w:val="0"/>
          <w:bCs w:val="0"/>
          <w:color w:val="auto"/>
          <w:sz w:val="32"/>
          <w:szCs w:val="32"/>
          <w:highlight w:val="none"/>
          <w:shd w:val="clear" w:color="auto" w:fill="auto"/>
          <w:lang w:eastAsia="zh-CN"/>
        </w:rPr>
      </w:pPr>
      <w:r>
        <w:rPr>
          <w:rFonts w:hint="eastAsia" w:ascii="Times New Roman" w:hAnsi="Times New Roman" w:eastAsia="方正仿宋_GBK" w:cs="方正仿宋_GBK"/>
          <w:b w:val="0"/>
          <w:bCs w:val="0"/>
          <w:color w:val="auto"/>
          <w:sz w:val="32"/>
          <w:szCs w:val="32"/>
          <w:highlight w:val="none"/>
          <w:shd w:val="clear" w:color="auto" w:fill="auto"/>
        </w:rPr>
        <w:t>本单位属财政全额拨款事业单位，</w:t>
      </w:r>
      <w:r>
        <w:rPr>
          <w:rFonts w:hint="eastAsia" w:ascii="Times New Roman" w:hAnsi="Times New Roman" w:eastAsia="方正仿宋_GBK" w:cs="方正仿宋_GBK"/>
          <w:b w:val="0"/>
          <w:bCs w:val="0"/>
          <w:color w:val="auto"/>
          <w:sz w:val="32"/>
          <w:szCs w:val="32"/>
          <w:highlight w:val="none"/>
          <w:shd w:val="clear" w:color="auto" w:fill="auto"/>
          <w:lang w:eastAsia="zh-CN"/>
        </w:rPr>
        <w:t>单位</w:t>
      </w:r>
      <w:r>
        <w:rPr>
          <w:rFonts w:hint="eastAsia" w:ascii="Times New Roman" w:hAnsi="Times New Roman" w:eastAsia="方正仿宋_GBK" w:cs="方正仿宋_GBK"/>
          <w:b w:val="0"/>
          <w:bCs w:val="0"/>
          <w:color w:val="auto"/>
          <w:sz w:val="32"/>
          <w:szCs w:val="32"/>
          <w:highlight w:val="none"/>
          <w:shd w:val="clear" w:color="auto" w:fill="auto"/>
        </w:rPr>
        <w:t>编制为</w:t>
      </w:r>
      <w:r>
        <w:rPr>
          <w:rFonts w:hint="eastAsia" w:ascii="Times New Roman" w:hAnsi="Times New Roman" w:eastAsia="方正仿宋_GBK" w:cs="方正仿宋_GBK"/>
          <w:b w:val="0"/>
          <w:bCs w:val="0"/>
          <w:color w:val="auto"/>
          <w:sz w:val="32"/>
          <w:szCs w:val="32"/>
          <w:highlight w:val="none"/>
          <w:shd w:val="clear" w:color="auto" w:fill="auto"/>
          <w:lang w:val="en-US" w:eastAsia="zh-CN"/>
        </w:rPr>
        <w:t>12</w:t>
      </w:r>
      <w:r>
        <w:rPr>
          <w:rFonts w:hint="eastAsia" w:ascii="Times New Roman" w:hAnsi="Times New Roman" w:eastAsia="方正仿宋_GBK" w:cs="方正仿宋_GBK"/>
          <w:b w:val="0"/>
          <w:bCs w:val="0"/>
          <w:color w:val="auto"/>
          <w:sz w:val="32"/>
          <w:szCs w:val="32"/>
          <w:highlight w:val="none"/>
          <w:shd w:val="clear" w:color="auto" w:fill="auto"/>
        </w:rPr>
        <w:t>名。其中设主任1名，副主任2名；内设机构领导职数</w:t>
      </w:r>
      <w:r>
        <w:rPr>
          <w:rFonts w:hint="eastAsia" w:hAnsi="Times New Roman" w:eastAsia="方正仿宋_GBK" w:cs="方正仿宋_GBK"/>
          <w:b w:val="0"/>
          <w:bCs w:val="0"/>
          <w:color w:val="auto"/>
          <w:sz w:val="32"/>
          <w:szCs w:val="32"/>
          <w:highlight w:val="none"/>
          <w:shd w:val="clear" w:color="auto" w:fill="auto"/>
          <w:lang w:val="en-US" w:eastAsia="zh-CN"/>
        </w:rPr>
        <w:t>5</w:t>
      </w:r>
      <w:r>
        <w:rPr>
          <w:rFonts w:hint="eastAsia" w:ascii="Times New Roman" w:hAnsi="Times New Roman" w:eastAsia="方正仿宋_GBK" w:cs="方正仿宋_GBK"/>
          <w:b w:val="0"/>
          <w:bCs w:val="0"/>
          <w:color w:val="auto"/>
          <w:sz w:val="32"/>
          <w:szCs w:val="32"/>
          <w:highlight w:val="none"/>
          <w:shd w:val="clear" w:color="auto" w:fill="auto"/>
        </w:rPr>
        <w:t>名</w:t>
      </w:r>
      <w:r>
        <w:rPr>
          <w:rFonts w:hint="eastAsia" w:ascii="Times New Roman" w:hAnsi="Times New Roman" w:eastAsia="方正仿宋_GBK" w:cs="方正仿宋_GBK"/>
          <w:b w:val="0"/>
          <w:bCs w:val="0"/>
          <w:color w:val="auto"/>
          <w:sz w:val="32"/>
          <w:szCs w:val="32"/>
          <w:highlight w:val="none"/>
          <w:shd w:val="clear" w:color="auto" w:fill="auto"/>
          <w:lang w:eastAsia="zh-CN"/>
        </w:rPr>
        <w:t>（各科室设科长</w:t>
      </w:r>
      <w:r>
        <w:rPr>
          <w:rFonts w:hint="eastAsia" w:ascii="Times New Roman" w:hAnsi="Times New Roman" w:eastAsia="方正仿宋_GBK" w:cs="方正仿宋_GBK"/>
          <w:b w:val="0"/>
          <w:bCs w:val="0"/>
          <w:color w:val="auto"/>
          <w:sz w:val="32"/>
          <w:szCs w:val="32"/>
          <w:highlight w:val="none"/>
          <w:shd w:val="clear" w:color="auto" w:fill="auto"/>
          <w:lang w:val="en-US" w:eastAsia="zh-CN"/>
        </w:rPr>
        <w:t>1名</w:t>
      </w:r>
      <w:r>
        <w:rPr>
          <w:rFonts w:hint="eastAsia" w:ascii="Times New Roman" w:hAnsi="Times New Roman" w:eastAsia="方正仿宋_GBK" w:cs="方正仿宋_GBK"/>
          <w:b w:val="0"/>
          <w:bCs w:val="0"/>
          <w:color w:val="auto"/>
          <w:sz w:val="32"/>
          <w:szCs w:val="32"/>
          <w:highlight w:val="none"/>
          <w:shd w:val="clear" w:color="auto" w:fill="auto"/>
          <w:lang w:eastAsia="zh-CN"/>
        </w:rPr>
        <w:t>）；执行政府会计制度。（</w:t>
      </w:r>
      <w:r>
        <w:rPr>
          <w:rFonts w:hint="eastAsia" w:ascii="Times New Roman" w:hAnsi="Times New Roman" w:eastAsia="方正仿宋_GBK" w:cs="方正仿宋_GBK"/>
          <w:b w:val="0"/>
          <w:bCs w:val="0"/>
          <w:color w:val="auto"/>
          <w:sz w:val="32"/>
          <w:szCs w:val="32"/>
          <w:highlight w:val="none"/>
          <w:shd w:val="clear" w:color="auto" w:fill="auto"/>
          <w:lang w:val="en-US" w:eastAsia="zh-CN"/>
        </w:rPr>
        <w:t>下属单位有2个，内设</w:t>
      </w:r>
      <w:r>
        <w:rPr>
          <w:rFonts w:hint="eastAsia" w:hAnsi="Times New Roman" w:eastAsia="方正仿宋_GBK" w:cs="方正仿宋_GBK"/>
          <w:b w:val="0"/>
          <w:bCs w:val="0"/>
          <w:color w:val="auto"/>
          <w:sz w:val="32"/>
          <w:szCs w:val="32"/>
          <w:highlight w:val="none"/>
          <w:shd w:val="clear" w:color="auto" w:fill="auto"/>
          <w:lang w:val="en-US" w:eastAsia="zh-CN"/>
        </w:rPr>
        <w:t>5</w:t>
      </w:r>
      <w:r>
        <w:rPr>
          <w:rFonts w:hint="eastAsia" w:ascii="Times New Roman" w:hAnsi="Times New Roman" w:eastAsia="方正仿宋_GBK" w:cs="方正仿宋_GBK"/>
          <w:b w:val="0"/>
          <w:bCs w:val="0"/>
          <w:color w:val="auto"/>
          <w:sz w:val="32"/>
          <w:szCs w:val="32"/>
          <w:highlight w:val="none"/>
          <w:shd w:val="clear" w:color="auto" w:fill="auto"/>
          <w:lang w:val="en-US" w:eastAsia="zh-CN"/>
        </w:rPr>
        <w:t>个科室，分别是</w:t>
      </w:r>
      <w:r>
        <w:rPr>
          <w:rFonts w:hint="eastAsia" w:ascii="Times New Roman" w:hAnsi="Times New Roman" w:eastAsia="方正仿宋_GBK" w:cs="方正仿宋_GBK"/>
          <w:b w:val="0"/>
          <w:bCs w:val="0"/>
          <w:color w:val="auto"/>
          <w:sz w:val="32"/>
          <w:szCs w:val="32"/>
          <w:highlight w:val="none"/>
          <w:shd w:val="clear" w:color="auto" w:fill="auto"/>
          <w:lang w:eastAsia="zh-CN"/>
        </w:rPr>
        <w:t>综合科、</w:t>
      </w:r>
      <w:r>
        <w:rPr>
          <w:rFonts w:hint="eastAsia" w:ascii="Times New Roman" w:hAnsi="Times New Roman" w:eastAsia="方正仿宋_GBK" w:cs="方正仿宋_GBK"/>
          <w:b w:val="0"/>
          <w:bCs w:val="0"/>
          <w:color w:val="auto"/>
          <w:sz w:val="32"/>
          <w:szCs w:val="32"/>
          <w:highlight w:val="none"/>
          <w:shd w:val="clear" w:color="auto" w:fill="auto"/>
        </w:rPr>
        <w:t>交易一科</w:t>
      </w:r>
      <w:r>
        <w:rPr>
          <w:rFonts w:hint="eastAsia" w:ascii="Times New Roman" w:hAnsi="Times New Roman" w:eastAsia="方正仿宋_GBK" w:cs="方正仿宋_GBK"/>
          <w:b w:val="0"/>
          <w:bCs w:val="0"/>
          <w:color w:val="auto"/>
          <w:sz w:val="32"/>
          <w:szCs w:val="32"/>
          <w:highlight w:val="none"/>
          <w:shd w:val="clear" w:color="auto" w:fill="auto"/>
          <w:lang w:eastAsia="zh-CN"/>
        </w:rPr>
        <w:t>、</w:t>
      </w:r>
      <w:r>
        <w:rPr>
          <w:rFonts w:hint="eastAsia" w:ascii="Times New Roman" w:hAnsi="Times New Roman" w:eastAsia="方正仿宋_GBK" w:cs="方正仿宋_GBK"/>
          <w:b w:val="0"/>
          <w:bCs w:val="0"/>
          <w:color w:val="auto"/>
          <w:sz w:val="32"/>
          <w:szCs w:val="32"/>
          <w:highlight w:val="none"/>
          <w:shd w:val="clear" w:color="auto" w:fill="auto"/>
        </w:rPr>
        <w:t>交易</w:t>
      </w:r>
      <w:r>
        <w:rPr>
          <w:rFonts w:hint="eastAsia" w:ascii="Times New Roman" w:hAnsi="Times New Roman" w:eastAsia="方正仿宋_GBK" w:cs="方正仿宋_GBK"/>
          <w:b w:val="0"/>
          <w:bCs w:val="0"/>
          <w:color w:val="auto"/>
          <w:sz w:val="32"/>
          <w:szCs w:val="32"/>
          <w:highlight w:val="none"/>
          <w:shd w:val="clear" w:color="auto" w:fill="auto"/>
          <w:lang w:val="en-US" w:eastAsia="zh-CN"/>
        </w:rPr>
        <w:t>二</w:t>
      </w:r>
      <w:r>
        <w:rPr>
          <w:rFonts w:hint="eastAsia" w:ascii="Times New Roman" w:hAnsi="Times New Roman" w:eastAsia="方正仿宋_GBK" w:cs="方正仿宋_GBK"/>
          <w:b w:val="0"/>
          <w:bCs w:val="0"/>
          <w:color w:val="auto"/>
          <w:sz w:val="32"/>
          <w:szCs w:val="32"/>
          <w:highlight w:val="none"/>
          <w:shd w:val="clear" w:color="auto" w:fill="auto"/>
        </w:rPr>
        <w:t>科</w:t>
      </w:r>
      <w:r>
        <w:rPr>
          <w:rFonts w:hint="eastAsia" w:ascii="Times New Roman" w:hAnsi="Times New Roman" w:eastAsia="方正仿宋_GBK" w:cs="方正仿宋_GBK"/>
          <w:b w:val="0"/>
          <w:bCs w:val="0"/>
          <w:color w:val="auto"/>
          <w:sz w:val="32"/>
          <w:szCs w:val="32"/>
          <w:highlight w:val="none"/>
          <w:shd w:val="clear" w:color="auto" w:fill="auto"/>
          <w:lang w:eastAsia="zh-CN"/>
        </w:rPr>
        <w:t>、</w:t>
      </w:r>
      <w:r>
        <w:rPr>
          <w:rFonts w:hint="eastAsia" w:ascii="Times New Roman" w:hAnsi="Times New Roman" w:eastAsia="方正仿宋_GBK" w:cs="方正仿宋_GBK"/>
          <w:b w:val="0"/>
          <w:bCs w:val="0"/>
          <w:color w:val="auto"/>
          <w:sz w:val="32"/>
          <w:szCs w:val="32"/>
          <w:highlight w:val="none"/>
          <w:shd w:val="clear" w:color="auto" w:fill="auto"/>
        </w:rPr>
        <w:t>交易</w:t>
      </w:r>
      <w:r>
        <w:rPr>
          <w:rFonts w:hint="eastAsia" w:ascii="Times New Roman" w:hAnsi="Times New Roman" w:eastAsia="方正仿宋_GBK" w:cs="方正仿宋_GBK"/>
          <w:b w:val="0"/>
          <w:bCs w:val="0"/>
          <w:color w:val="auto"/>
          <w:sz w:val="32"/>
          <w:szCs w:val="32"/>
          <w:highlight w:val="none"/>
          <w:shd w:val="clear" w:color="auto" w:fill="auto"/>
          <w:lang w:val="en-US" w:eastAsia="zh-CN"/>
        </w:rPr>
        <w:t>三</w:t>
      </w:r>
      <w:r>
        <w:rPr>
          <w:rFonts w:hint="eastAsia" w:ascii="Times New Roman" w:hAnsi="Times New Roman" w:eastAsia="方正仿宋_GBK" w:cs="方正仿宋_GBK"/>
          <w:b w:val="0"/>
          <w:bCs w:val="0"/>
          <w:color w:val="auto"/>
          <w:sz w:val="32"/>
          <w:szCs w:val="32"/>
          <w:highlight w:val="none"/>
          <w:shd w:val="clear" w:color="auto" w:fill="auto"/>
        </w:rPr>
        <w:t>科</w:t>
      </w:r>
      <w:r>
        <w:rPr>
          <w:rFonts w:hint="eastAsia" w:ascii="Times New Roman" w:hAnsi="Times New Roman" w:eastAsia="方正仿宋_GBK" w:cs="方正仿宋_GBK"/>
          <w:b w:val="0"/>
          <w:bCs w:val="0"/>
          <w:color w:val="auto"/>
          <w:sz w:val="32"/>
          <w:szCs w:val="32"/>
          <w:highlight w:val="none"/>
          <w:shd w:val="clear" w:color="auto" w:fill="auto"/>
          <w:lang w:eastAsia="zh-CN"/>
        </w:rPr>
        <w:t>、</w:t>
      </w:r>
      <w:r>
        <w:rPr>
          <w:rFonts w:hint="eastAsia" w:ascii="Times New Roman" w:hAnsi="Times New Roman" w:eastAsia="方正仿宋_GBK" w:cs="方正仿宋_GBK"/>
          <w:b w:val="0"/>
          <w:bCs w:val="0"/>
          <w:color w:val="auto"/>
          <w:sz w:val="32"/>
          <w:szCs w:val="32"/>
          <w:highlight w:val="none"/>
          <w:shd w:val="clear" w:color="auto" w:fill="auto"/>
        </w:rPr>
        <w:t>信息技术科</w:t>
      </w:r>
      <w:r>
        <w:rPr>
          <w:rFonts w:hint="eastAsia" w:ascii="Times New Roman" w:hAnsi="Times New Roman" w:eastAsia="方正仿宋_GBK" w:cs="方正仿宋_GBK"/>
          <w:b w:val="0"/>
          <w:bCs w:val="0"/>
          <w:color w:val="auto"/>
          <w:sz w:val="32"/>
          <w:szCs w:val="32"/>
          <w:highlight w:val="none"/>
          <w:shd w:val="clear" w:color="auto" w:fill="auto"/>
          <w:lang w:eastAsia="zh-CN"/>
        </w:rPr>
        <w:t>）</w:t>
      </w:r>
    </w:p>
    <w:p w14:paraId="6716353B">
      <w:pPr>
        <w:pStyle w:val="9"/>
        <w:keepNext w:val="0"/>
        <w:keepLines w:val="0"/>
        <w:pageBreakBefore w:val="0"/>
        <w:widowControl/>
        <w:kinsoku/>
        <w:overflowPunct w:val="0"/>
        <w:topLinePunct/>
        <w:autoSpaceDN/>
        <w:bidi w:val="0"/>
        <w:adjustRightInd/>
        <w:snapToGrid w:val="0"/>
        <w:spacing w:before="0" w:beforeAutospacing="0" w:after="0" w:afterAutospacing="0" w:line="560" w:lineRule="exact"/>
        <w:ind w:firstLine="640" w:firstLineChars="200"/>
        <w:jc w:val="both"/>
        <w:rPr>
          <w:rFonts w:hint="eastAsia" w:ascii="Times New Roman" w:hAnsi="Times New Roman" w:eastAsia="方正仿宋_GBK" w:cs="方正仿宋_GBK"/>
          <w:b w:val="0"/>
          <w:bCs w:val="0"/>
          <w:color w:val="auto"/>
          <w:sz w:val="32"/>
          <w:szCs w:val="32"/>
          <w:highlight w:val="none"/>
          <w:shd w:val="clear" w:color="auto" w:fill="auto"/>
          <w:lang w:eastAsia="zh-CN"/>
        </w:rPr>
      </w:pPr>
    </w:p>
    <w:p w14:paraId="56A3505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Times New Roman" w:hAnsi="方正黑体_GBK" w:eastAsia="方正黑体_GBK" w:cs="方正黑体_GBK"/>
          <w:b w:val="0"/>
          <w:bCs w:val="0"/>
          <w:color w:val="auto"/>
          <w:sz w:val="32"/>
          <w:szCs w:val="32"/>
          <w:highlight w:val="none"/>
          <w:shd w:val="clear" w:color="auto" w:fill="FFFFFF"/>
        </w:rPr>
      </w:pPr>
      <w:r>
        <w:rPr>
          <w:rStyle w:val="13"/>
          <w:rFonts w:ascii="Times New Roman" w:hAnsi="方正黑体_GBK" w:eastAsia="方正黑体_GBK" w:cs="方正黑体_GBK"/>
          <w:b w:val="0"/>
          <w:bCs w:val="0"/>
          <w:color w:val="auto"/>
          <w:sz w:val="32"/>
          <w:szCs w:val="32"/>
          <w:highlight w:val="none"/>
          <w:shd w:val="clear" w:color="auto" w:fill="FFFFFF"/>
        </w:rPr>
        <w:t>二、</w:t>
      </w:r>
      <w:r>
        <w:rPr>
          <w:rStyle w:val="13"/>
          <w:rFonts w:hint="eastAsia" w:ascii="Times New Roman" w:hAnsi="方正黑体_GBK" w:eastAsia="方正黑体_GBK" w:cs="方正黑体_GBK"/>
          <w:b w:val="0"/>
          <w:bCs w:val="0"/>
          <w:color w:val="auto"/>
          <w:sz w:val="32"/>
          <w:szCs w:val="32"/>
          <w:highlight w:val="none"/>
          <w:shd w:val="clear" w:color="auto" w:fill="FFFFFF"/>
          <w:lang w:eastAsia="zh-CN"/>
        </w:rPr>
        <w:t>单位</w:t>
      </w:r>
      <w:r>
        <w:rPr>
          <w:rStyle w:val="13"/>
          <w:rFonts w:ascii="Times New Roman" w:hAnsi="方正黑体_GBK" w:eastAsia="方正黑体_GBK" w:cs="方正黑体_GBK"/>
          <w:b w:val="0"/>
          <w:bCs w:val="0"/>
          <w:color w:val="auto"/>
          <w:sz w:val="32"/>
          <w:szCs w:val="32"/>
          <w:highlight w:val="none"/>
          <w:shd w:val="clear" w:color="auto" w:fill="FFFFFF"/>
        </w:rPr>
        <w:t>决算</w:t>
      </w:r>
      <w:r>
        <w:rPr>
          <w:rStyle w:val="13"/>
          <w:rFonts w:hint="eastAsia" w:ascii="Times New Roman" w:hAnsi="方正黑体_GBK" w:eastAsia="方正黑体_GBK" w:cs="方正黑体_GBK"/>
          <w:b w:val="0"/>
          <w:bCs w:val="0"/>
          <w:color w:val="auto"/>
          <w:sz w:val="32"/>
          <w:szCs w:val="32"/>
          <w:highlight w:val="none"/>
          <w:shd w:val="clear" w:color="auto" w:fill="FFFFFF"/>
          <w:lang w:eastAsia="zh-CN"/>
        </w:rPr>
        <w:t>收支</w:t>
      </w:r>
      <w:r>
        <w:rPr>
          <w:rStyle w:val="13"/>
          <w:rFonts w:ascii="Times New Roman" w:hAnsi="方正黑体_GBK" w:eastAsia="方正黑体_GBK" w:cs="方正黑体_GBK"/>
          <w:b w:val="0"/>
          <w:bCs w:val="0"/>
          <w:color w:val="auto"/>
          <w:sz w:val="32"/>
          <w:szCs w:val="32"/>
          <w:highlight w:val="none"/>
          <w:shd w:val="clear" w:color="auto" w:fill="FFFFFF"/>
        </w:rPr>
        <w:t>情况说明</w:t>
      </w:r>
    </w:p>
    <w:p w14:paraId="40230749">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（一）收入支出决算总体情况说明</w:t>
      </w:r>
    </w:p>
    <w:p w14:paraId="702C6209">
      <w:pPr>
        <w:pStyle w:val="9"/>
        <w:shd w:val="clear" w:color="auto" w:fill="FFFFFF"/>
        <w:spacing w:before="0" w:beforeAutospacing="0" w:after="0" w:afterAutospacing="0" w:line="596" w:lineRule="exact"/>
        <w:ind w:firstLine="640"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年度收</w:t>
      </w:r>
      <w:r>
        <w:rPr>
          <w:rFonts w:hint="eastAsia" w:ascii="Times New Roman" w:hAnsi="方正仿宋_GBK" w:eastAsia="方正仿宋_GBK" w:cs="方正仿宋_GBK"/>
          <w:b w:val="0"/>
          <w:bCs w:val="0"/>
          <w:color w:val="auto"/>
          <w:sz w:val="32"/>
          <w:szCs w:val="32"/>
          <w:highlight w:val="none"/>
          <w:shd w:val="clear" w:color="auto" w:fill="FFFFFF"/>
          <w:lang w:eastAsia="zh-CN"/>
        </w:rPr>
        <w:t>、支</w:t>
      </w:r>
      <w:r>
        <w:rPr>
          <w:rFonts w:ascii="Times New Roman" w:hAnsi="方正仿宋_GBK" w:eastAsia="方正仿宋_GBK" w:cs="方正仿宋_GBK"/>
          <w:b w:val="0"/>
          <w:bCs w:val="0"/>
          <w:color w:val="auto"/>
          <w:sz w:val="32"/>
          <w:szCs w:val="32"/>
          <w:highlight w:val="none"/>
          <w:shd w:val="clear" w:color="auto" w:fill="FFFFFF"/>
        </w:rPr>
        <w:t>总计</w:t>
      </w:r>
      <w:r>
        <w:rPr>
          <w:rFonts w:hint="eastAsia" w:ascii="Times New Roman" w:hAnsi="方正仿宋_GBK" w:eastAsia="方正仿宋_GBK" w:cs="方正仿宋_GBK"/>
          <w:b w:val="0"/>
          <w:bCs w:val="0"/>
          <w:color w:val="auto"/>
          <w:sz w:val="32"/>
          <w:szCs w:val="32"/>
          <w:highlight w:val="none"/>
          <w:shd w:val="clear" w:color="auto" w:fill="FFFFFF"/>
          <w:lang w:eastAsia="zh-CN"/>
        </w:rPr>
        <w:t>均为</w:t>
      </w:r>
      <w:r>
        <w:rPr>
          <w:rFonts w:hint="default" w:ascii="Times New Roman" w:hAnsi="Times New Roman" w:eastAsia="方正仿宋_GBK"/>
          <w:b w:val="0"/>
          <w:bCs w:val="0"/>
          <w:color w:val="auto"/>
          <w:sz w:val="32"/>
          <w:szCs w:val="32"/>
          <w:highlight w:val="none"/>
          <w:shd w:val="clear" w:color="auto" w:fill="FFFFFF"/>
        </w:rPr>
        <w:t>326.15</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收、支与2023年度相比，增加17.11万元，增长5.5%</w:t>
      </w:r>
      <w:r>
        <w:rPr>
          <w:rFonts w:ascii="Times New Roman" w:hAnsi="方正仿宋_GBK" w:eastAsia="方正仿宋_GBK" w:cs="方正仿宋_GBK"/>
          <w:b w:val="0"/>
          <w:bCs w:val="0"/>
          <w:color w:val="auto"/>
          <w:sz w:val="32"/>
          <w:szCs w:val="32"/>
          <w:highlight w:val="none"/>
          <w:shd w:val="clear" w:color="auto" w:fill="FFFFFF"/>
        </w:rPr>
        <w:t>，主要原因</w:t>
      </w:r>
      <w:r>
        <w:rPr>
          <w:rFonts w:hint="eastAsia" w:ascii="Times New Roman" w:hAnsi="方正仿宋_GBK" w:eastAsia="方正仿宋_GBK" w:cs="方正仿宋_GBK"/>
          <w:b w:val="0"/>
          <w:bCs w:val="0"/>
          <w:color w:val="auto"/>
          <w:sz w:val="32"/>
          <w:szCs w:val="32"/>
          <w:highlight w:val="none"/>
          <w:shd w:val="clear" w:color="auto" w:fill="FFFFFF"/>
        </w:rPr>
        <w:t>人员</w:t>
      </w:r>
      <w:r>
        <w:rPr>
          <w:rFonts w:hint="eastAsia" w:ascii="Times New Roman" w:hAnsi="方正仿宋_GBK" w:eastAsia="方正仿宋_GBK" w:cs="方正仿宋_GBK"/>
          <w:b w:val="0"/>
          <w:bCs w:val="0"/>
          <w:color w:val="auto"/>
          <w:sz w:val="32"/>
          <w:szCs w:val="32"/>
          <w:highlight w:val="none"/>
          <w:shd w:val="clear" w:color="auto" w:fill="FFFFFF"/>
          <w:lang w:eastAsia="zh-CN"/>
        </w:rPr>
        <w:t>工资</w:t>
      </w:r>
      <w:r>
        <w:rPr>
          <w:rFonts w:hint="eastAsia" w:ascii="Times New Roman" w:hAnsi="方正仿宋_GBK" w:eastAsia="方正仿宋_GBK" w:cs="方正仿宋_GBK"/>
          <w:b w:val="0"/>
          <w:bCs w:val="0"/>
          <w:color w:val="auto"/>
          <w:sz w:val="32"/>
          <w:szCs w:val="32"/>
          <w:highlight w:val="none"/>
          <w:shd w:val="clear" w:color="auto" w:fill="FFFFFF"/>
        </w:rPr>
        <w:t>增加</w:t>
      </w:r>
      <w:r>
        <w:rPr>
          <w:rFonts w:hint="eastAsia" w:ascii="Times New Roman" w:hAnsi="方正仿宋_GBK" w:eastAsia="方正仿宋_GBK" w:cs="方正仿宋_GBK"/>
          <w:b w:val="0"/>
          <w:bCs w:val="0"/>
          <w:color w:val="auto"/>
          <w:sz w:val="32"/>
          <w:szCs w:val="32"/>
          <w:highlight w:val="none"/>
          <w:shd w:val="clear" w:color="auto" w:fill="FFFFFF"/>
          <w:lang w:eastAsia="zh-CN"/>
        </w:rPr>
        <w:t>及专家评审项目费用收入支出增加</w:t>
      </w:r>
      <w:r>
        <w:rPr>
          <w:rFonts w:ascii="Times New Roman" w:hAnsi="方正仿宋_GBK" w:eastAsia="方正仿宋_GBK" w:cs="方正仿宋_GBK"/>
          <w:b w:val="0"/>
          <w:bCs w:val="0"/>
          <w:color w:val="auto"/>
          <w:sz w:val="32"/>
          <w:szCs w:val="32"/>
          <w:highlight w:val="none"/>
          <w:shd w:val="clear" w:color="auto" w:fill="FFFFFF"/>
        </w:rPr>
        <w:t>。</w:t>
      </w:r>
    </w:p>
    <w:p w14:paraId="4554C2C9">
      <w:pPr>
        <w:pStyle w:val="9"/>
        <w:shd w:val="clear" w:color="auto" w:fill="FFFFFF"/>
        <w:spacing w:before="0" w:beforeAutospacing="0" w:after="0" w:afterAutospacing="0" w:line="596" w:lineRule="exact"/>
        <w:ind w:firstLine="640"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Style w:val="13"/>
          <w:rFonts w:hint="eastAsia" w:ascii="Times New Roman" w:hAnsi="Times New Roman" w:eastAsia="方正仿宋_GBK"/>
          <w:b w:val="0"/>
          <w:bCs w:val="0"/>
          <w:color w:val="auto"/>
          <w:sz w:val="32"/>
          <w:szCs w:val="32"/>
          <w:highlight w:val="none"/>
          <w:shd w:val="clear" w:color="auto" w:fill="FFFFFF"/>
          <w:lang w:val="en-US" w:eastAsia="zh-CN"/>
        </w:rPr>
        <w:t>1</w:t>
      </w:r>
      <w:r>
        <w:rPr>
          <w:rStyle w:val="13"/>
          <w:rFonts w:ascii="Times New Roman" w:hAnsi="方正仿宋_GBK" w:eastAsia="方正仿宋_GBK" w:cs="方正仿宋_GBK"/>
          <w:b w:val="0"/>
          <w:bCs w:val="0"/>
          <w:color w:val="auto"/>
          <w:sz w:val="32"/>
          <w:szCs w:val="32"/>
          <w:highlight w:val="none"/>
          <w:shd w:val="clear" w:color="auto" w:fill="FFFFFF"/>
        </w:rPr>
        <w:t>.收入情况。</w:t>
      </w: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年度收入合计</w:t>
      </w:r>
      <w:r>
        <w:rPr>
          <w:rFonts w:hint="default" w:ascii="Times New Roman" w:hAnsi="Times New Roman" w:eastAsia="方正仿宋_GBK"/>
          <w:b w:val="0"/>
          <w:bCs w:val="0"/>
          <w:color w:val="auto"/>
          <w:sz w:val="32"/>
          <w:szCs w:val="32"/>
          <w:highlight w:val="none"/>
          <w:shd w:val="clear" w:color="auto" w:fill="FFFFFF"/>
        </w:rPr>
        <w:t>326.15</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与2023年度相比，增加17.11万元，增长5.5%</w:t>
      </w:r>
      <w:r>
        <w:rPr>
          <w:rFonts w:ascii="Times New Roman" w:hAnsi="方正仿宋_GBK" w:eastAsia="方正仿宋_GBK" w:cs="方正仿宋_GBK"/>
          <w:b w:val="0"/>
          <w:bCs w:val="0"/>
          <w:color w:val="auto"/>
          <w:sz w:val="32"/>
          <w:szCs w:val="32"/>
          <w:highlight w:val="none"/>
          <w:shd w:val="clear" w:color="auto" w:fill="FFFFFF"/>
        </w:rPr>
        <w:t>，主要原因</w:t>
      </w:r>
      <w:r>
        <w:rPr>
          <w:rFonts w:hint="eastAsia" w:ascii="Times New Roman" w:hAnsi="方正仿宋_GBK" w:eastAsia="方正仿宋_GBK" w:cs="方正仿宋_GBK"/>
          <w:b w:val="0"/>
          <w:bCs w:val="0"/>
          <w:color w:val="auto"/>
          <w:sz w:val="32"/>
          <w:szCs w:val="32"/>
          <w:highlight w:val="none"/>
          <w:shd w:val="clear" w:color="auto" w:fill="FFFFFF"/>
        </w:rPr>
        <w:t>人员</w:t>
      </w:r>
      <w:r>
        <w:rPr>
          <w:rFonts w:hint="eastAsia" w:ascii="Times New Roman" w:hAnsi="方正仿宋_GBK" w:eastAsia="方正仿宋_GBK" w:cs="方正仿宋_GBK"/>
          <w:b w:val="0"/>
          <w:bCs w:val="0"/>
          <w:color w:val="auto"/>
          <w:sz w:val="32"/>
          <w:szCs w:val="32"/>
          <w:highlight w:val="none"/>
          <w:shd w:val="clear" w:color="auto" w:fill="FFFFFF"/>
          <w:lang w:eastAsia="zh-CN"/>
        </w:rPr>
        <w:t>工资</w:t>
      </w:r>
      <w:r>
        <w:rPr>
          <w:rFonts w:hint="eastAsia" w:ascii="Times New Roman" w:hAnsi="方正仿宋_GBK" w:eastAsia="方正仿宋_GBK" w:cs="方正仿宋_GBK"/>
          <w:b w:val="0"/>
          <w:bCs w:val="0"/>
          <w:color w:val="auto"/>
          <w:sz w:val="32"/>
          <w:szCs w:val="32"/>
          <w:highlight w:val="none"/>
          <w:shd w:val="clear" w:color="auto" w:fill="FFFFFF"/>
        </w:rPr>
        <w:t>增加</w:t>
      </w:r>
      <w:r>
        <w:rPr>
          <w:rFonts w:hint="eastAsia" w:ascii="Times New Roman" w:hAnsi="方正仿宋_GBK" w:eastAsia="方正仿宋_GBK" w:cs="方正仿宋_GBK"/>
          <w:b w:val="0"/>
          <w:bCs w:val="0"/>
          <w:color w:val="auto"/>
          <w:sz w:val="32"/>
          <w:szCs w:val="32"/>
          <w:highlight w:val="none"/>
          <w:shd w:val="clear" w:color="auto" w:fill="FFFFFF"/>
          <w:lang w:eastAsia="zh-CN"/>
        </w:rPr>
        <w:t>及专家评审项目费用收入支出增加</w:t>
      </w:r>
      <w:r>
        <w:rPr>
          <w:rFonts w:ascii="Times New Roman" w:hAnsi="方正仿宋_GBK" w:eastAsia="方正仿宋_GBK" w:cs="方正仿宋_GBK"/>
          <w:b w:val="0"/>
          <w:bCs w:val="0"/>
          <w:color w:val="auto"/>
          <w:sz w:val="32"/>
          <w:szCs w:val="32"/>
          <w:highlight w:val="none"/>
          <w:shd w:val="clear" w:color="auto" w:fill="FFFFFF"/>
        </w:rPr>
        <w:t>。其中：财政拨款收入</w:t>
      </w:r>
      <w:r>
        <w:rPr>
          <w:rFonts w:hint="default" w:ascii="Times New Roman" w:hAnsi="Times New Roman" w:eastAsia="方正仿宋_GBK"/>
          <w:b w:val="0"/>
          <w:bCs w:val="0"/>
          <w:color w:val="auto"/>
          <w:sz w:val="32"/>
          <w:szCs w:val="32"/>
          <w:highlight w:val="none"/>
          <w:shd w:val="clear" w:color="auto" w:fill="FFFFFF"/>
        </w:rPr>
        <w:t>326.15</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100.0%</w:t>
      </w:r>
      <w:r>
        <w:rPr>
          <w:rFonts w:ascii="Times New Roman" w:hAnsi="方正仿宋_GBK" w:eastAsia="方正仿宋_GBK" w:cs="方正仿宋_GBK"/>
          <w:b w:val="0"/>
          <w:bCs w:val="0"/>
          <w:color w:val="auto"/>
          <w:sz w:val="32"/>
          <w:szCs w:val="32"/>
          <w:highlight w:val="none"/>
          <w:shd w:val="clear" w:color="auto" w:fill="FFFFFF"/>
        </w:rPr>
        <w:t>；事业收入</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0.0%</w:t>
      </w:r>
      <w:r>
        <w:rPr>
          <w:rFonts w:ascii="Times New Roman" w:hAnsi="方正仿宋_GBK" w:eastAsia="方正仿宋_GBK" w:cs="方正仿宋_GBK"/>
          <w:b w:val="0"/>
          <w:bCs w:val="0"/>
          <w:color w:val="auto"/>
          <w:sz w:val="32"/>
          <w:szCs w:val="32"/>
          <w:highlight w:val="none"/>
          <w:shd w:val="clear" w:color="auto" w:fill="FFFFFF"/>
        </w:rPr>
        <w:t>；经营收入</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0.0%</w:t>
      </w:r>
      <w:r>
        <w:rPr>
          <w:rFonts w:ascii="Times New Roman" w:hAnsi="方正仿宋_GBK" w:eastAsia="方正仿宋_GBK" w:cs="方正仿宋_GBK"/>
          <w:b w:val="0"/>
          <w:bCs w:val="0"/>
          <w:color w:val="auto"/>
          <w:sz w:val="32"/>
          <w:szCs w:val="32"/>
          <w:highlight w:val="none"/>
          <w:shd w:val="clear" w:color="auto" w:fill="FFFFFF"/>
        </w:rPr>
        <w:t>；其他收入</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0.0%</w:t>
      </w:r>
      <w:r>
        <w:rPr>
          <w:rFonts w:ascii="Times New Roman" w:hAnsi="方正仿宋_GBK" w:eastAsia="方正仿宋_GBK" w:cs="方正仿宋_GBK"/>
          <w:b w:val="0"/>
          <w:bCs w:val="0"/>
          <w:color w:val="auto"/>
          <w:sz w:val="32"/>
          <w:szCs w:val="32"/>
          <w:highlight w:val="none"/>
          <w:shd w:val="clear" w:color="auto" w:fill="FFFFFF"/>
        </w:rPr>
        <w:t>。此外，</w:t>
      </w:r>
      <w:r>
        <w:rPr>
          <w:rFonts w:hint="eastAsia" w:ascii="Times New Roman" w:hAnsi="方正仿宋_GBK" w:eastAsia="方正仿宋_GBK" w:cs="方正仿宋_GBK"/>
          <w:b w:val="0"/>
          <w:bCs w:val="0"/>
          <w:color w:val="auto"/>
          <w:sz w:val="32"/>
          <w:szCs w:val="32"/>
          <w:highlight w:val="none"/>
          <w:shd w:val="clear" w:color="auto" w:fill="FFFFFF"/>
        </w:rPr>
        <w:t>使用非财政拨款结余（含专用结余）</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万元，年初结转和结余</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w:t>
      </w:r>
    </w:p>
    <w:p w14:paraId="714228B2">
      <w:pPr>
        <w:pStyle w:val="9"/>
        <w:snapToGrid w:val="0"/>
        <w:spacing w:before="0" w:beforeAutospacing="0" w:after="0" w:afterAutospacing="0" w:line="596" w:lineRule="exact"/>
        <w:ind w:firstLine="640"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Style w:val="13"/>
          <w:rFonts w:hint="eastAsia" w:ascii="Times New Roman" w:hAnsi="Times New Roman" w:eastAsia="方正仿宋_GBK"/>
          <w:b w:val="0"/>
          <w:bCs w:val="0"/>
          <w:color w:val="auto"/>
          <w:sz w:val="32"/>
          <w:szCs w:val="32"/>
          <w:highlight w:val="none"/>
          <w:shd w:val="clear" w:color="auto" w:fill="FFFFFF"/>
          <w:lang w:val="en-US" w:eastAsia="zh-CN"/>
        </w:rPr>
        <w:t>2</w:t>
      </w:r>
      <w:r>
        <w:rPr>
          <w:rStyle w:val="13"/>
          <w:rFonts w:ascii="Times New Roman" w:hAnsi="方正仿宋_GBK" w:eastAsia="方正仿宋_GBK" w:cs="方正仿宋_GBK"/>
          <w:b w:val="0"/>
          <w:bCs w:val="0"/>
          <w:color w:val="auto"/>
          <w:sz w:val="32"/>
          <w:szCs w:val="32"/>
          <w:highlight w:val="none"/>
          <w:shd w:val="clear" w:color="auto" w:fill="FFFFFF"/>
        </w:rPr>
        <w:t>.支出情况。</w:t>
      </w: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年度支出合计</w:t>
      </w:r>
      <w:r>
        <w:rPr>
          <w:rFonts w:hint="default" w:ascii="Times New Roman" w:hAnsi="Times New Roman" w:eastAsia="方正仿宋_GBK"/>
          <w:b w:val="0"/>
          <w:bCs w:val="0"/>
          <w:color w:val="auto"/>
          <w:sz w:val="32"/>
          <w:szCs w:val="32"/>
          <w:highlight w:val="none"/>
          <w:shd w:val="clear" w:color="auto" w:fill="FFFFFF"/>
        </w:rPr>
        <w:t>326.15</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与2023年度相比，增加17.11万元，增长5.5%</w:t>
      </w:r>
      <w:r>
        <w:rPr>
          <w:rFonts w:ascii="Times New Roman" w:hAnsi="方正仿宋_GBK" w:eastAsia="方正仿宋_GBK" w:cs="方正仿宋_GBK"/>
          <w:b w:val="0"/>
          <w:bCs w:val="0"/>
          <w:color w:val="auto"/>
          <w:sz w:val="32"/>
          <w:szCs w:val="32"/>
          <w:highlight w:val="none"/>
          <w:shd w:val="clear" w:color="auto" w:fill="FFFFFF"/>
        </w:rPr>
        <w:t>，主要原因</w:t>
      </w:r>
      <w:r>
        <w:rPr>
          <w:rFonts w:hint="eastAsia" w:ascii="Times New Roman" w:hAnsi="方正仿宋_GBK" w:eastAsia="方正仿宋_GBK" w:cs="方正仿宋_GBK"/>
          <w:b w:val="0"/>
          <w:bCs w:val="0"/>
          <w:color w:val="auto"/>
          <w:sz w:val="32"/>
          <w:szCs w:val="32"/>
          <w:highlight w:val="none"/>
          <w:shd w:val="clear" w:color="auto" w:fill="FFFFFF"/>
        </w:rPr>
        <w:t>人员</w:t>
      </w:r>
      <w:r>
        <w:rPr>
          <w:rFonts w:hint="eastAsia" w:ascii="Times New Roman" w:hAnsi="方正仿宋_GBK" w:eastAsia="方正仿宋_GBK" w:cs="方正仿宋_GBK"/>
          <w:b w:val="0"/>
          <w:bCs w:val="0"/>
          <w:color w:val="auto"/>
          <w:sz w:val="32"/>
          <w:szCs w:val="32"/>
          <w:highlight w:val="none"/>
          <w:shd w:val="clear" w:color="auto" w:fill="FFFFFF"/>
          <w:lang w:eastAsia="zh-CN"/>
        </w:rPr>
        <w:t>工资</w:t>
      </w:r>
      <w:r>
        <w:rPr>
          <w:rFonts w:hint="eastAsia" w:ascii="Times New Roman" w:hAnsi="方正仿宋_GBK" w:eastAsia="方正仿宋_GBK" w:cs="方正仿宋_GBK"/>
          <w:b w:val="0"/>
          <w:bCs w:val="0"/>
          <w:color w:val="auto"/>
          <w:sz w:val="32"/>
          <w:szCs w:val="32"/>
          <w:highlight w:val="none"/>
          <w:shd w:val="clear" w:color="auto" w:fill="FFFFFF"/>
        </w:rPr>
        <w:t>增加</w:t>
      </w:r>
      <w:r>
        <w:rPr>
          <w:rFonts w:hint="eastAsia" w:ascii="Times New Roman" w:hAnsi="方正仿宋_GBK" w:eastAsia="方正仿宋_GBK" w:cs="方正仿宋_GBK"/>
          <w:b w:val="0"/>
          <w:bCs w:val="0"/>
          <w:color w:val="auto"/>
          <w:sz w:val="32"/>
          <w:szCs w:val="32"/>
          <w:highlight w:val="none"/>
          <w:shd w:val="clear" w:color="auto" w:fill="FFFFFF"/>
          <w:lang w:eastAsia="zh-CN"/>
        </w:rPr>
        <w:t>及专家评审项目费用收入支出增加</w:t>
      </w:r>
      <w:r>
        <w:rPr>
          <w:rFonts w:ascii="Times New Roman" w:hAnsi="方正仿宋_GBK" w:eastAsia="方正仿宋_GBK" w:cs="方正仿宋_GBK"/>
          <w:b w:val="0"/>
          <w:bCs w:val="0"/>
          <w:color w:val="auto"/>
          <w:sz w:val="32"/>
          <w:szCs w:val="32"/>
          <w:highlight w:val="none"/>
          <w:shd w:val="clear" w:color="auto" w:fill="FFFFFF"/>
        </w:rPr>
        <w:t>。其中：基本支出</w:t>
      </w:r>
      <w:r>
        <w:rPr>
          <w:rFonts w:hint="default" w:ascii="Times New Roman" w:hAnsi="Times New Roman" w:eastAsia="方正仿宋_GBK"/>
          <w:b w:val="0"/>
          <w:bCs w:val="0"/>
          <w:color w:val="auto"/>
          <w:sz w:val="32"/>
          <w:szCs w:val="32"/>
          <w:highlight w:val="none"/>
          <w:shd w:val="clear" w:color="auto" w:fill="FFFFFF"/>
        </w:rPr>
        <w:t>304.53</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93.4%</w:t>
      </w:r>
      <w:r>
        <w:rPr>
          <w:rFonts w:ascii="Times New Roman" w:hAnsi="方正仿宋_GBK" w:eastAsia="方正仿宋_GBK" w:cs="方正仿宋_GBK"/>
          <w:b w:val="0"/>
          <w:bCs w:val="0"/>
          <w:color w:val="auto"/>
          <w:sz w:val="32"/>
          <w:szCs w:val="32"/>
          <w:highlight w:val="none"/>
          <w:shd w:val="clear" w:color="auto" w:fill="FFFFFF"/>
        </w:rPr>
        <w:t>；项目支出</w:t>
      </w:r>
      <w:r>
        <w:rPr>
          <w:rFonts w:hint="default" w:ascii="Times New Roman" w:hAnsi="Times New Roman" w:eastAsia="方正仿宋_GBK"/>
          <w:b w:val="0"/>
          <w:bCs w:val="0"/>
          <w:color w:val="auto"/>
          <w:sz w:val="32"/>
          <w:szCs w:val="32"/>
          <w:highlight w:val="none"/>
          <w:shd w:val="clear" w:color="auto" w:fill="FFFFFF"/>
        </w:rPr>
        <w:t>21.62</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6.6%</w:t>
      </w:r>
      <w:r>
        <w:rPr>
          <w:rFonts w:ascii="Times New Roman" w:hAnsi="方正仿宋_GBK" w:eastAsia="方正仿宋_GBK" w:cs="方正仿宋_GBK"/>
          <w:b w:val="0"/>
          <w:bCs w:val="0"/>
          <w:color w:val="auto"/>
          <w:sz w:val="32"/>
          <w:szCs w:val="32"/>
          <w:highlight w:val="none"/>
          <w:shd w:val="clear" w:color="auto" w:fill="FFFFFF"/>
        </w:rPr>
        <w:t>；经营支出</w:t>
      </w:r>
      <w:r>
        <w:rPr>
          <w:rFonts w:hint="default" w:ascii="Times New Roman" w:hAnsi="Times New Roman" w:eastAsia="方正仿宋_GBK"/>
          <w:b w:val="0"/>
          <w:bCs w:val="0"/>
          <w:color w:val="auto"/>
          <w:sz w:val="32"/>
          <w:szCs w:val="32"/>
          <w:highlight w:val="none"/>
        </w:rPr>
        <w:t>0.00</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0.0%</w:t>
      </w:r>
      <w:r>
        <w:rPr>
          <w:rFonts w:ascii="Times New Roman" w:hAnsi="方正仿宋_GBK" w:eastAsia="方正仿宋_GBK" w:cs="方正仿宋_GBK"/>
          <w:b w:val="0"/>
          <w:bCs w:val="0"/>
          <w:color w:val="auto"/>
          <w:sz w:val="32"/>
          <w:szCs w:val="32"/>
          <w:highlight w:val="none"/>
          <w:shd w:val="clear" w:color="auto" w:fill="FFFFFF"/>
        </w:rPr>
        <w:t>。此外，结余分配</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w:t>
      </w:r>
    </w:p>
    <w:p w14:paraId="17B6D9E5">
      <w:pPr>
        <w:pStyle w:val="9"/>
        <w:snapToGrid w:val="0"/>
        <w:spacing w:before="0" w:beforeAutospacing="0" w:after="0" w:afterAutospacing="0" w:line="596" w:lineRule="exact"/>
        <w:ind w:firstLine="640" w:firstLineChars="200"/>
        <w:jc w:val="both"/>
        <w:rPr>
          <w:rFonts w:hint="default" w:ascii="Times New Roman" w:hAnsi="方正仿宋_GBK" w:eastAsia="方正仿宋_GBK" w:cs="方正仿宋_GBK"/>
          <w:b w:val="0"/>
          <w:bCs w:val="0"/>
          <w:color w:val="auto"/>
          <w:sz w:val="32"/>
          <w:szCs w:val="32"/>
          <w:highlight w:val="none"/>
        </w:rPr>
      </w:pPr>
      <w:r>
        <w:rPr>
          <w:rStyle w:val="13"/>
          <w:rFonts w:hint="eastAsia" w:ascii="Times New Roman" w:hAnsi="Times New Roman" w:eastAsia="方正仿宋_GBK"/>
          <w:b w:val="0"/>
          <w:bCs w:val="0"/>
          <w:color w:val="auto"/>
          <w:sz w:val="32"/>
          <w:szCs w:val="32"/>
          <w:highlight w:val="none"/>
          <w:shd w:val="clear" w:color="auto" w:fill="FFFFFF"/>
          <w:lang w:val="en-US" w:eastAsia="zh-CN"/>
        </w:rPr>
        <w:t>3</w:t>
      </w:r>
      <w:r>
        <w:rPr>
          <w:rStyle w:val="13"/>
          <w:rFonts w:ascii="Times New Roman" w:hAnsi="方正仿宋_GBK" w:eastAsia="方正仿宋_GBK" w:cs="方正仿宋_GBK"/>
          <w:b w:val="0"/>
          <w:bCs w:val="0"/>
          <w:color w:val="auto"/>
          <w:sz w:val="32"/>
          <w:szCs w:val="32"/>
          <w:highlight w:val="none"/>
          <w:shd w:val="clear" w:color="auto" w:fill="FFFFFF"/>
        </w:rPr>
        <w:t>.结转结余情况。</w:t>
      </w: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年度年末结转和结余</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与2023年度相比，无增减</w:t>
      </w:r>
      <w:r>
        <w:rPr>
          <w:rFonts w:hint="default" w:ascii="Times New Roman" w:hAnsi="Times New Roman" w:eastAsia="方正仿宋_GBK" w:cs="Times New Roman"/>
          <w:b w:val="0"/>
          <w:bCs w:val="0"/>
          <w:color w:val="auto"/>
          <w:sz w:val="32"/>
          <w:szCs w:val="32"/>
          <w:highlight w:val="none"/>
          <w:shd w:val="clear" w:color="auto" w:fill="FFFFFF"/>
        </w:rPr>
        <w:t>，</w:t>
      </w:r>
      <w:r>
        <w:rPr>
          <w:rFonts w:hint="eastAsia" w:ascii="Times New Roman" w:hAnsi="Times New Roman" w:eastAsia="方正仿宋_GBK" w:cs="Times New Roman"/>
          <w:b w:val="0"/>
          <w:bCs w:val="0"/>
          <w:color w:val="auto"/>
          <w:sz w:val="32"/>
          <w:szCs w:val="32"/>
          <w:highlight w:val="none"/>
          <w:shd w:val="clear" w:color="auto" w:fill="FFFFFF"/>
        </w:rPr>
        <w:t>与</w:t>
      </w:r>
      <w:r>
        <w:rPr>
          <w:rFonts w:hint="default" w:ascii="Times New Roman" w:hAnsi="Times New Roman" w:eastAsia="方正仿宋_GBK" w:cs="Times New Roman"/>
          <w:b w:val="0"/>
          <w:bCs w:val="0"/>
          <w:color w:val="auto"/>
          <w:sz w:val="32"/>
          <w:szCs w:val="32"/>
          <w:highlight w:val="none"/>
          <w:shd w:val="clear" w:color="auto" w:fill="FFFFFF"/>
        </w:rPr>
        <w:t>上年决算数</w:t>
      </w:r>
      <w:r>
        <w:rPr>
          <w:rFonts w:hint="eastAsia" w:ascii="Times New Roman" w:hAnsi="Times New Roman" w:eastAsia="方正仿宋_GBK" w:cs="Times New Roman"/>
          <w:b w:val="0"/>
          <w:bCs w:val="0"/>
          <w:color w:val="auto"/>
          <w:sz w:val="32"/>
          <w:szCs w:val="32"/>
          <w:highlight w:val="none"/>
          <w:shd w:val="clear" w:color="auto" w:fill="FFFFFF"/>
        </w:rPr>
        <w:t>持平</w:t>
      </w:r>
      <w:r>
        <w:rPr>
          <w:rFonts w:hint="default" w:ascii="Times New Roman" w:hAnsi="Times New Roman" w:eastAsia="方正仿宋_GBK" w:cs="Times New Roman"/>
          <w:b w:val="0"/>
          <w:bCs w:val="0"/>
          <w:color w:val="auto"/>
          <w:sz w:val="32"/>
          <w:szCs w:val="32"/>
          <w:highlight w:val="none"/>
          <w:shd w:val="clear" w:color="auto" w:fill="FFFFFF"/>
        </w:rPr>
        <w:t>。</w:t>
      </w:r>
    </w:p>
    <w:p w14:paraId="43480360">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（二）财政拨款收入支出决算总体情况说明</w:t>
      </w:r>
    </w:p>
    <w:p w14:paraId="6007AB7B">
      <w:pPr>
        <w:pStyle w:val="9"/>
        <w:snapToGrid w:val="0"/>
        <w:spacing w:before="0" w:beforeAutospacing="0" w:after="0" w:afterAutospacing="0" w:line="596" w:lineRule="exact"/>
        <w:ind w:firstLine="640" w:firstLineChars="200"/>
        <w:jc w:val="both"/>
        <w:rPr>
          <w:rFonts w:hint="default" w:ascii="Times New Roman" w:hAnsi="方正仿宋_GBK" w:eastAsia="方正仿宋_GBK" w:cs="方正仿宋_GBK"/>
          <w:b w:val="0"/>
          <w:bCs w:val="0"/>
          <w:color w:val="auto"/>
          <w:sz w:val="32"/>
          <w:szCs w:val="32"/>
          <w:highlight w:val="none"/>
        </w:rPr>
      </w:pP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年度财政拨款收、支总计均为</w:t>
      </w:r>
      <w:r>
        <w:rPr>
          <w:rFonts w:hint="default" w:ascii="Times New Roman" w:hAnsi="Times New Roman" w:eastAsia="方正仿宋_GBK"/>
          <w:b w:val="0"/>
          <w:bCs w:val="0"/>
          <w:color w:val="auto"/>
          <w:sz w:val="32"/>
          <w:szCs w:val="32"/>
          <w:highlight w:val="none"/>
          <w:shd w:val="clear" w:color="auto" w:fill="FFFFFF"/>
        </w:rPr>
        <w:t>326.15</w:t>
      </w:r>
      <w:r>
        <w:rPr>
          <w:rFonts w:ascii="Times New Roman" w:hAnsi="方正仿宋_GBK" w:eastAsia="方正仿宋_GBK" w:cs="方正仿宋_GBK"/>
          <w:b w:val="0"/>
          <w:bCs w:val="0"/>
          <w:color w:val="auto"/>
          <w:sz w:val="32"/>
          <w:szCs w:val="32"/>
          <w:highlight w:val="none"/>
          <w:shd w:val="clear" w:color="auto" w:fill="FFFFFF"/>
        </w:rPr>
        <w:t>万元。与</w:t>
      </w:r>
      <w:r>
        <w:rPr>
          <w:rFonts w:hint="default" w:ascii="Times New Roman" w:hAnsi="Times New Roman" w:eastAsia="方正仿宋_GBK"/>
          <w:b w:val="0"/>
          <w:bCs w:val="0"/>
          <w:color w:val="auto"/>
          <w:sz w:val="32"/>
          <w:szCs w:val="32"/>
          <w:highlight w:val="none"/>
          <w:shd w:val="clear" w:color="auto" w:fill="FFFFFF"/>
        </w:rPr>
        <w:t>2023</w:t>
      </w:r>
      <w:r>
        <w:rPr>
          <w:rFonts w:ascii="Times New Roman" w:hAnsi="方正仿宋_GBK" w:eastAsia="方正仿宋_GBK" w:cs="方正仿宋_GBK"/>
          <w:b w:val="0"/>
          <w:bCs w:val="0"/>
          <w:color w:val="auto"/>
          <w:sz w:val="32"/>
          <w:szCs w:val="32"/>
          <w:highlight w:val="none"/>
          <w:shd w:val="clear" w:color="auto" w:fill="FFFFFF"/>
        </w:rPr>
        <w:t>年</w:t>
      </w:r>
      <w:r>
        <w:rPr>
          <w:rFonts w:hint="eastAsia" w:ascii="Times New Roman" w:hAnsi="方正仿宋_GBK" w:eastAsia="方正仿宋_GBK" w:cs="方正仿宋_GBK"/>
          <w:b w:val="0"/>
          <w:bCs w:val="0"/>
          <w:color w:val="auto"/>
          <w:sz w:val="32"/>
          <w:szCs w:val="32"/>
          <w:highlight w:val="none"/>
          <w:shd w:val="clear" w:color="auto" w:fill="FFFFFF"/>
          <w:lang w:eastAsia="zh-CN"/>
        </w:rPr>
        <w:t>度</w:t>
      </w:r>
      <w:r>
        <w:rPr>
          <w:rFonts w:ascii="Times New Roman" w:hAnsi="方正仿宋_GBK" w:eastAsia="方正仿宋_GBK" w:cs="方正仿宋_GBK"/>
          <w:b w:val="0"/>
          <w:bCs w:val="0"/>
          <w:color w:val="auto"/>
          <w:sz w:val="32"/>
          <w:szCs w:val="32"/>
          <w:highlight w:val="none"/>
          <w:shd w:val="clear" w:color="auto" w:fill="FFFFFF"/>
        </w:rPr>
        <w:t>相比，</w:t>
      </w:r>
      <w:r>
        <w:rPr>
          <w:rFonts w:hint="default" w:ascii="Times New Roman" w:hAnsi="Times New Roman" w:eastAsia="方正仿宋_GBK"/>
          <w:b w:val="0"/>
          <w:bCs w:val="0"/>
          <w:color w:val="auto"/>
          <w:sz w:val="32"/>
          <w:szCs w:val="32"/>
          <w:highlight w:val="none"/>
          <w:shd w:val="clear" w:color="auto" w:fill="FFFFFF"/>
        </w:rPr>
        <w:t>财政拨款收、支总计各增加17.11万元，增长5.5%</w:t>
      </w:r>
      <w:r>
        <w:rPr>
          <w:rFonts w:ascii="Times New Roman" w:hAnsi="方正仿宋_GBK" w:eastAsia="方正仿宋_GBK" w:cs="方正仿宋_GBK"/>
          <w:b w:val="0"/>
          <w:bCs w:val="0"/>
          <w:color w:val="auto"/>
          <w:sz w:val="32"/>
          <w:szCs w:val="32"/>
          <w:highlight w:val="none"/>
          <w:shd w:val="clear" w:color="auto" w:fill="FFFFFF"/>
        </w:rPr>
        <w:t>。主要原因</w:t>
      </w:r>
      <w:r>
        <w:rPr>
          <w:rFonts w:hint="eastAsia" w:ascii="Times New Roman" w:hAnsi="方正仿宋_GBK" w:eastAsia="方正仿宋_GBK" w:cs="方正仿宋_GBK"/>
          <w:b w:val="0"/>
          <w:bCs w:val="0"/>
          <w:color w:val="auto"/>
          <w:sz w:val="32"/>
          <w:szCs w:val="32"/>
          <w:highlight w:val="none"/>
          <w:shd w:val="clear" w:color="auto" w:fill="FFFFFF"/>
          <w:lang w:eastAsia="zh-CN"/>
        </w:rPr>
        <w:t>是</w:t>
      </w:r>
      <w:r>
        <w:rPr>
          <w:rFonts w:hint="eastAsia" w:ascii="Times New Roman" w:hAnsi="方正仿宋_GBK" w:eastAsia="方正仿宋_GBK" w:cs="方正仿宋_GBK"/>
          <w:b w:val="0"/>
          <w:bCs w:val="0"/>
          <w:color w:val="auto"/>
          <w:sz w:val="32"/>
          <w:szCs w:val="32"/>
          <w:highlight w:val="none"/>
          <w:shd w:val="clear" w:color="auto" w:fill="FFFFFF"/>
        </w:rPr>
        <w:t>人员</w:t>
      </w:r>
      <w:r>
        <w:rPr>
          <w:rFonts w:hint="eastAsia" w:ascii="Times New Roman" w:hAnsi="方正仿宋_GBK" w:eastAsia="方正仿宋_GBK" w:cs="方正仿宋_GBK"/>
          <w:b w:val="0"/>
          <w:bCs w:val="0"/>
          <w:color w:val="auto"/>
          <w:sz w:val="32"/>
          <w:szCs w:val="32"/>
          <w:highlight w:val="none"/>
          <w:shd w:val="clear" w:color="auto" w:fill="FFFFFF"/>
          <w:lang w:eastAsia="zh-CN"/>
        </w:rPr>
        <w:t>工资</w:t>
      </w:r>
      <w:r>
        <w:rPr>
          <w:rFonts w:hint="eastAsia" w:ascii="Times New Roman" w:hAnsi="方正仿宋_GBK" w:eastAsia="方正仿宋_GBK" w:cs="方正仿宋_GBK"/>
          <w:b w:val="0"/>
          <w:bCs w:val="0"/>
          <w:color w:val="auto"/>
          <w:sz w:val="32"/>
          <w:szCs w:val="32"/>
          <w:highlight w:val="none"/>
          <w:shd w:val="clear" w:color="auto" w:fill="FFFFFF"/>
        </w:rPr>
        <w:t>增加</w:t>
      </w:r>
      <w:r>
        <w:rPr>
          <w:rFonts w:hint="eastAsia" w:ascii="Times New Roman" w:hAnsi="方正仿宋_GBK" w:eastAsia="方正仿宋_GBK" w:cs="方正仿宋_GBK"/>
          <w:b w:val="0"/>
          <w:bCs w:val="0"/>
          <w:color w:val="auto"/>
          <w:sz w:val="32"/>
          <w:szCs w:val="32"/>
          <w:highlight w:val="none"/>
          <w:shd w:val="clear" w:color="auto" w:fill="FFFFFF"/>
          <w:lang w:eastAsia="zh-CN"/>
        </w:rPr>
        <w:t>及专家评审项目费用收入支出增加</w:t>
      </w:r>
      <w:r>
        <w:rPr>
          <w:rFonts w:ascii="Times New Roman" w:hAnsi="方正仿宋_GBK" w:eastAsia="方正仿宋_GBK" w:cs="方正仿宋_GBK"/>
          <w:b w:val="0"/>
          <w:bCs w:val="0"/>
          <w:color w:val="auto"/>
          <w:sz w:val="32"/>
          <w:szCs w:val="32"/>
          <w:highlight w:val="none"/>
          <w:shd w:val="clear" w:color="auto" w:fill="FFFFFF"/>
        </w:rPr>
        <w:t>。</w:t>
      </w:r>
    </w:p>
    <w:p w14:paraId="725F8197">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（三）一般公共预算财政拨款收入支出决算情况说明</w:t>
      </w:r>
    </w:p>
    <w:p w14:paraId="39569681">
      <w:pPr>
        <w:pStyle w:val="9"/>
        <w:snapToGrid w:val="0"/>
        <w:spacing w:before="0" w:beforeAutospacing="0" w:after="0" w:afterAutospacing="0" w:line="596" w:lineRule="exact"/>
        <w:ind w:firstLine="640" w:firstLineChars="200"/>
        <w:jc w:val="both"/>
        <w:rPr>
          <w:rFonts w:hint="default" w:ascii="Times New Roman" w:hAnsi="方正仿宋_GBK" w:eastAsia="方正仿宋_GBK" w:cs="方正仿宋_GBK"/>
          <w:b w:val="0"/>
          <w:bCs w:val="0"/>
          <w:color w:val="auto"/>
          <w:sz w:val="32"/>
          <w:szCs w:val="32"/>
          <w:highlight w:val="none"/>
        </w:rPr>
      </w:pPr>
      <w:r>
        <w:rPr>
          <w:rStyle w:val="13"/>
          <w:rFonts w:hint="default" w:ascii="Times New Roman" w:hAnsi="Times New Roman" w:eastAsia="方正仿宋_GBK"/>
          <w:b w:val="0"/>
          <w:bCs w:val="0"/>
          <w:color w:val="auto"/>
          <w:sz w:val="32"/>
          <w:szCs w:val="32"/>
          <w:highlight w:val="none"/>
          <w:shd w:val="clear" w:color="auto" w:fill="FFFFFF"/>
        </w:rPr>
        <w:t>1</w:t>
      </w:r>
      <w:r>
        <w:rPr>
          <w:rStyle w:val="13"/>
          <w:rFonts w:ascii="Times New Roman" w:hAnsi="方正仿宋_GBK" w:eastAsia="方正仿宋_GBK" w:cs="方正仿宋_GBK"/>
          <w:b w:val="0"/>
          <w:bCs w:val="0"/>
          <w:color w:val="auto"/>
          <w:sz w:val="32"/>
          <w:szCs w:val="32"/>
          <w:highlight w:val="none"/>
          <w:shd w:val="clear" w:color="auto" w:fill="FFFFFF"/>
        </w:rPr>
        <w:t>.收入情况。</w:t>
      </w: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年度一般公共预算财政拨款收入</w:t>
      </w:r>
      <w:r>
        <w:rPr>
          <w:rFonts w:hint="default" w:ascii="Times New Roman" w:hAnsi="Times New Roman" w:eastAsia="方正仿宋_GBK"/>
          <w:b w:val="0"/>
          <w:bCs w:val="0"/>
          <w:color w:val="auto"/>
          <w:sz w:val="32"/>
          <w:szCs w:val="32"/>
          <w:highlight w:val="none"/>
          <w:shd w:val="clear" w:color="auto" w:fill="FFFFFF"/>
        </w:rPr>
        <w:t>326.15</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与2023年度相比，增加17.11万元，增长5.5%</w:t>
      </w:r>
      <w:r>
        <w:rPr>
          <w:rFonts w:ascii="Times New Roman" w:hAnsi="方正仿宋_GBK" w:eastAsia="方正仿宋_GBK" w:cs="方正仿宋_GBK"/>
          <w:b w:val="0"/>
          <w:bCs w:val="0"/>
          <w:color w:val="auto"/>
          <w:sz w:val="32"/>
          <w:szCs w:val="32"/>
          <w:highlight w:val="none"/>
          <w:shd w:val="clear" w:color="auto" w:fill="FFFFFF"/>
        </w:rPr>
        <w:t>。主要原因</w:t>
      </w:r>
      <w:r>
        <w:rPr>
          <w:rFonts w:hint="eastAsia" w:ascii="Times New Roman" w:hAnsi="方正仿宋_GBK" w:eastAsia="方正仿宋_GBK" w:cs="方正仿宋_GBK"/>
          <w:b w:val="0"/>
          <w:bCs w:val="0"/>
          <w:color w:val="auto"/>
          <w:sz w:val="32"/>
          <w:szCs w:val="32"/>
          <w:highlight w:val="none"/>
          <w:shd w:val="clear" w:color="auto" w:fill="FFFFFF"/>
          <w:lang w:eastAsia="zh-CN"/>
        </w:rPr>
        <w:t>是</w:t>
      </w:r>
      <w:r>
        <w:rPr>
          <w:rFonts w:hint="eastAsia" w:ascii="Times New Roman" w:hAnsi="方正仿宋_GBK" w:eastAsia="方正仿宋_GBK" w:cs="方正仿宋_GBK"/>
          <w:b w:val="0"/>
          <w:bCs w:val="0"/>
          <w:color w:val="auto"/>
          <w:sz w:val="32"/>
          <w:szCs w:val="32"/>
          <w:highlight w:val="none"/>
          <w:shd w:val="clear" w:color="auto" w:fill="FFFFFF"/>
        </w:rPr>
        <w:t>人员</w:t>
      </w:r>
      <w:r>
        <w:rPr>
          <w:rFonts w:hint="eastAsia" w:ascii="Times New Roman" w:hAnsi="方正仿宋_GBK" w:eastAsia="方正仿宋_GBK" w:cs="方正仿宋_GBK"/>
          <w:b w:val="0"/>
          <w:bCs w:val="0"/>
          <w:color w:val="auto"/>
          <w:sz w:val="32"/>
          <w:szCs w:val="32"/>
          <w:highlight w:val="none"/>
          <w:shd w:val="clear" w:color="auto" w:fill="FFFFFF"/>
          <w:lang w:eastAsia="zh-CN"/>
        </w:rPr>
        <w:t>工资</w:t>
      </w:r>
      <w:r>
        <w:rPr>
          <w:rFonts w:hint="eastAsia" w:ascii="Times New Roman" w:hAnsi="方正仿宋_GBK" w:eastAsia="方正仿宋_GBK" w:cs="方正仿宋_GBK"/>
          <w:b w:val="0"/>
          <w:bCs w:val="0"/>
          <w:color w:val="auto"/>
          <w:sz w:val="32"/>
          <w:szCs w:val="32"/>
          <w:highlight w:val="none"/>
          <w:shd w:val="clear" w:color="auto" w:fill="FFFFFF"/>
        </w:rPr>
        <w:t>增加</w:t>
      </w:r>
      <w:r>
        <w:rPr>
          <w:rFonts w:hint="eastAsia" w:ascii="Times New Roman" w:hAnsi="方正仿宋_GBK" w:eastAsia="方正仿宋_GBK" w:cs="方正仿宋_GBK"/>
          <w:b w:val="0"/>
          <w:bCs w:val="0"/>
          <w:color w:val="auto"/>
          <w:sz w:val="32"/>
          <w:szCs w:val="32"/>
          <w:highlight w:val="none"/>
          <w:shd w:val="clear" w:color="auto" w:fill="FFFFFF"/>
          <w:lang w:eastAsia="zh-CN"/>
        </w:rPr>
        <w:t>及专家评审项目费用收入支出增加</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较年初预算数增加12.12万元，增长3.9%</w:t>
      </w:r>
      <w:r>
        <w:rPr>
          <w:rFonts w:hint="eastAsia" w:ascii="Times New Roman" w:hAnsi="Times New Roman" w:eastAsia="方正仿宋_GBK"/>
          <w:b w:val="0"/>
          <w:bCs w:val="0"/>
          <w:color w:val="auto"/>
          <w:sz w:val="32"/>
          <w:szCs w:val="32"/>
          <w:highlight w:val="none"/>
          <w:shd w:val="clear" w:color="auto" w:fill="FFFFFF"/>
          <w:lang w:eastAsia="zh-CN"/>
        </w:rPr>
        <w:t>。</w:t>
      </w:r>
      <w:r>
        <w:rPr>
          <w:rFonts w:ascii="Times New Roman" w:hAnsi="方正仿宋_GBK" w:eastAsia="方正仿宋_GBK" w:cs="方正仿宋_GBK"/>
          <w:b w:val="0"/>
          <w:bCs w:val="0"/>
          <w:color w:val="auto"/>
          <w:sz w:val="32"/>
          <w:szCs w:val="32"/>
          <w:highlight w:val="none"/>
          <w:shd w:val="clear" w:color="auto" w:fill="FFFFFF"/>
        </w:rPr>
        <w:t>主要原因</w:t>
      </w:r>
      <w:r>
        <w:rPr>
          <w:rFonts w:hint="eastAsia" w:ascii="Times New Roman" w:hAnsi="方正仿宋_GBK" w:eastAsia="方正仿宋_GBK" w:cs="方正仿宋_GBK"/>
          <w:b w:val="0"/>
          <w:bCs w:val="0"/>
          <w:color w:val="auto"/>
          <w:sz w:val="32"/>
          <w:szCs w:val="32"/>
          <w:highlight w:val="none"/>
          <w:shd w:val="clear" w:color="auto" w:fill="FFFFFF"/>
          <w:lang w:eastAsia="zh-CN"/>
        </w:rPr>
        <w:t>是</w:t>
      </w:r>
      <w:r>
        <w:rPr>
          <w:rFonts w:hint="eastAsia" w:ascii="Times New Roman" w:hAnsi="方正仿宋_GBK" w:eastAsia="方正仿宋_GBK" w:cs="方正仿宋_GBK"/>
          <w:b w:val="0"/>
          <w:bCs w:val="0"/>
          <w:color w:val="auto"/>
          <w:sz w:val="32"/>
          <w:szCs w:val="32"/>
          <w:highlight w:val="none"/>
          <w:shd w:val="clear" w:color="auto" w:fill="FFFFFF"/>
        </w:rPr>
        <w:t>人员</w:t>
      </w:r>
      <w:r>
        <w:rPr>
          <w:rFonts w:hint="eastAsia" w:ascii="Times New Roman" w:hAnsi="方正仿宋_GBK" w:eastAsia="方正仿宋_GBK" w:cs="方正仿宋_GBK"/>
          <w:b w:val="0"/>
          <w:bCs w:val="0"/>
          <w:color w:val="auto"/>
          <w:sz w:val="32"/>
          <w:szCs w:val="32"/>
          <w:highlight w:val="none"/>
          <w:shd w:val="clear" w:color="auto" w:fill="FFFFFF"/>
          <w:lang w:eastAsia="zh-CN"/>
        </w:rPr>
        <w:t>工资</w:t>
      </w:r>
      <w:r>
        <w:rPr>
          <w:rFonts w:hint="eastAsia" w:ascii="Times New Roman" w:hAnsi="方正仿宋_GBK" w:eastAsia="方正仿宋_GBK" w:cs="方正仿宋_GBK"/>
          <w:b w:val="0"/>
          <w:bCs w:val="0"/>
          <w:color w:val="auto"/>
          <w:sz w:val="32"/>
          <w:szCs w:val="32"/>
          <w:highlight w:val="none"/>
          <w:shd w:val="clear" w:color="auto" w:fill="FFFFFF"/>
        </w:rPr>
        <w:t>增加</w:t>
      </w:r>
      <w:r>
        <w:rPr>
          <w:rFonts w:hint="eastAsia" w:ascii="Times New Roman" w:hAnsi="方正仿宋_GBK" w:eastAsia="方正仿宋_GBK" w:cs="方正仿宋_GBK"/>
          <w:b w:val="0"/>
          <w:bCs w:val="0"/>
          <w:color w:val="auto"/>
          <w:sz w:val="32"/>
          <w:szCs w:val="32"/>
          <w:highlight w:val="none"/>
          <w:shd w:val="clear" w:color="auto" w:fill="FFFFFF"/>
          <w:lang w:eastAsia="zh-CN"/>
        </w:rPr>
        <w:t>及专家评审项目费用收入支出增加</w:t>
      </w:r>
      <w:r>
        <w:rPr>
          <w:rFonts w:ascii="Times New Roman" w:hAnsi="方正仿宋_GBK" w:eastAsia="方正仿宋_GBK" w:cs="方正仿宋_GBK"/>
          <w:b w:val="0"/>
          <w:bCs w:val="0"/>
          <w:color w:val="auto"/>
          <w:sz w:val="32"/>
          <w:szCs w:val="32"/>
          <w:highlight w:val="none"/>
          <w:shd w:val="clear" w:color="auto" w:fill="FFFFFF"/>
        </w:rPr>
        <w:t>。此外，年初财政拨款结转和结余</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w:t>
      </w:r>
    </w:p>
    <w:p w14:paraId="1D92CA7E">
      <w:pPr>
        <w:pStyle w:val="9"/>
        <w:snapToGrid w:val="0"/>
        <w:spacing w:before="0" w:beforeAutospacing="0" w:after="0" w:afterAutospacing="0" w:line="596" w:lineRule="exact"/>
        <w:ind w:firstLine="640" w:firstLineChars="200"/>
        <w:jc w:val="both"/>
        <w:rPr>
          <w:rFonts w:ascii="Times New Roman" w:hAnsi="方正仿宋_GBK" w:eastAsia="方正仿宋_GBK" w:cs="方正仿宋_GBK"/>
          <w:b w:val="0"/>
          <w:bCs w:val="0"/>
          <w:color w:val="auto"/>
          <w:sz w:val="32"/>
          <w:szCs w:val="32"/>
          <w:highlight w:val="none"/>
          <w:shd w:val="clear" w:color="auto" w:fill="FFFFFF"/>
        </w:rPr>
      </w:pPr>
      <w:r>
        <w:rPr>
          <w:rStyle w:val="13"/>
          <w:rFonts w:hint="default" w:ascii="Times New Roman" w:hAnsi="Times New Roman" w:eastAsia="方正仿宋_GBK"/>
          <w:b w:val="0"/>
          <w:bCs w:val="0"/>
          <w:color w:val="auto"/>
          <w:sz w:val="32"/>
          <w:szCs w:val="32"/>
          <w:highlight w:val="none"/>
          <w:shd w:val="clear" w:color="auto" w:fill="FFFFFF"/>
        </w:rPr>
        <w:t>2</w:t>
      </w:r>
      <w:r>
        <w:rPr>
          <w:rStyle w:val="13"/>
          <w:rFonts w:ascii="Times New Roman" w:hAnsi="方正仿宋_GBK" w:eastAsia="方正仿宋_GBK" w:cs="方正仿宋_GBK"/>
          <w:b w:val="0"/>
          <w:bCs w:val="0"/>
          <w:color w:val="auto"/>
          <w:sz w:val="32"/>
          <w:szCs w:val="32"/>
          <w:highlight w:val="none"/>
          <w:shd w:val="clear" w:color="auto" w:fill="FFFFFF"/>
        </w:rPr>
        <w:t>.支出情况。</w:t>
      </w: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年度一般公共预算财政拨款支出</w:t>
      </w:r>
      <w:r>
        <w:rPr>
          <w:rFonts w:hint="default" w:ascii="Times New Roman" w:hAnsi="Times New Roman" w:eastAsia="方正仿宋_GBK"/>
          <w:b w:val="0"/>
          <w:bCs w:val="0"/>
          <w:color w:val="auto"/>
          <w:sz w:val="32"/>
          <w:szCs w:val="32"/>
          <w:highlight w:val="none"/>
          <w:shd w:val="clear" w:color="auto" w:fill="FFFFFF"/>
        </w:rPr>
        <w:t>326.15</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与2023年度相比，增加17.11万元，增长5.5%</w:t>
      </w:r>
      <w:r>
        <w:rPr>
          <w:rFonts w:ascii="Times New Roman" w:hAnsi="方正仿宋_GBK" w:eastAsia="方正仿宋_GBK" w:cs="方正仿宋_GBK"/>
          <w:b w:val="0"/>
          <w:bCs w:val="0"/>
          <w:color w:val="auto"/>
          <w:sz w:val="32"/>
          <w:szCs w:val="32"/>
          <w:highlight w:val="none"/>
          <w:shd w:val="clear" w:color="auto" w:fill="FFFFFF"/>
        </w:rPr>
        <w:t>。主要原因</w:t>
      </w:r>
      <w:r>
        <w:rPr>
          <w:rFonts w:hint="eastAsia" w:ascii="Times New Roman" w:hAnsi="方正仿宋_GBK" w:eastAsia="方正仿宋_GBK" w:cs="方正仿宋_GBK"/>
          <w:b w:val="0"/>
          <w:bCs w:val="0"/>
          <w:color w:val="auto"/>
          <w:sz w:val="32"/>
          <w:szCs w:val="32"/>
          <w:highlight w:val="none"/>
          <w:shd w:val="clear" w:color="auto" w:fill="FFFFFF"/>
          <w:lang w:eastAsia="zh-CN"/>
        </w:rPr>
        <w:t>是</w:t>
      </w:r>
      <w:r>
        <w:rPr>
          <w:rFonts w:hint="eastAsia" w:ascii="Times New Roman" w:hAnsi="方正仿宋_GBK" w:eastAsia="方正仿宋_GBK" w:cs="方正仿宋_GBK"/>
          <w:b w:val="0"/>
          <w:bCs w:val="0"/>
          <w:color w:val="auto"/>
          <w:sz w:val="32"/>
          <w:szCs w:val="32"/>
          <w:highlight w:val="none"/>
          <w:shd w:val="clear" w:color="auto" w:fill="FFFFFF"/>
        </w:rPr>
        <w:t>人员</w:t>
      </w:r>
      <w:r>
        <w:rPr>
          <w:rFonts w:hint="eastAsia" w:ascii="Times New Roman" w:hAnsi="方正仿宋_GBK" w:eastAsia="方正仿宋_GBK" w:cs="方正仿宋_GBK"/>
          <w:b w:val="0"/>
          <w:bCs w:val="0"/>
          <w:color w:val="auto"/>
          <w:sz w:val="32"/>
          <w:szCs w:val="32"/>
          <w:highlight w:val="none"/>
          <w:shd w:val="clear" w:color="auto" w:fill="FFFFFF"/>
          <w:lang w:eastAsia="zh-CN"/>
        </w:rPr>
        <w:t>工资</w:t>
      </w:r>
      <w:r>
        <w:rPr>
          <w:rFonts w:hint="eastAsia" w:ascii="Times New Roman" w:hAnsi="方正仿宋_GBK" w:eastAsia="方正仿宋_GBK" w:cs="方正仿宋_GBK"/>
          <w:b w:val="0"/>
          <w:bCs w:val="0"/>
          <w:color w:val="auto"/>
          <w:sz w:val="32"/>
          <w:szCs w:val="32"/>
          <w:highlight w:val="none"/>
          <w:shd w:val="clear" w:color="auto" w:fill="FFFFFF"/>
        </w:rPr>
        <w:t>增加</w:t>
      </w:r>
      <w:r>
        <w:rPr>
          <w:rFonts w:hint="eastAsia" w:ascii="Times New Roman" w:hAnsi="方正仿宋_GBK" w:eastAsia="方正仿宋_GBK" w:cs="方正仿宋_GBK"/>
          <w:b w:val="0"/>
          <w:bCs w:val="0"/>
          <w:color w:val="auto"/>
          <w:sz w:val="32"/>
          <w:szCs w:val="32"/>
          <w:highlight w:val="none"/>
          <w:shd w:val="clear" w:color="auto" w:fill="FFFFFF"/>
          <w:lang w:eastAsia="zh-CN"/>
        </w:rPr>
        <w:t>及专家评审项目费用收入支出增加</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较年初预算数增加12.12万元，增长3.9%</w:t>
      </w:r>
      <w:r>
        <w:rPr>
          <w:rFonts w:ascii="Times New Roman" w:hAnsi="方正仿宋_GBK" w:eastAsia="方正仿宋_GBK" w:cs="方正仿宋_GBK"/>
          <w:b w:val="0"/>
          <w:bCs w:val="0"/>
          <w:color w:val="auto"/>
          <w:sz w:val="32"/>
          <w:szCs w:val="32"/>
          <w:highlight w:val="none"/>
          <w:shd w:val="clear" w:color="auto" w:fill="FFFFFF"/>
        </w:rPr>
        <w:t>。主要原因</w:t>
      </w:r>
      <w:r>
        <w:rPr>
          <w:rFonts w:hint="eastAsia" w:ascii="Times New Roman" w:hAnsi="方正仿宋_GBK" w:eastAsia="方正仿宋_GBK" w:cs="方正仿宋_GBK"/>
          <w:b w:val="0"/>
          <w:bCs w:val="0"/>
          <w:color w:val="auto"/>
          <w:sz w:val="32"/>
          <w:szCs w:val="32"/>
          <w:highlight w:val="none"/>
          <w:shd w:val="clear" w:color="auto" w:fill="FFFFFF"/>
          <w:lang w:eastAsia="zh-CN"/>
        </w:rPr>
        <w:t>是</w:t>
      </w:r>
      <w:r>
        <w:rPr>
          <w:rFonts w:hint="eastAsia" w:ascii="Times New Roman" w:hAnsi="方正仿宋_GBK" w:eastAsia="方正仿宋_GBK" w:cs="方正仿宋_GBK"/>
          <w:b w:val="0"/>
          <w:bCs w:val="0"/>
          <w:color w:val="auto"/>
          <w:sz w:val="32"/>
          <w:szCs w:val="32"/>
          <w:highlight w:val="none"/>
          <w:shd w:val="clear" w:color="auto" w:fill="FFFFFF"/>
        </w:rPr>
        <w:t>人员</w:t>
      </w:r>
      <w:r>
        <w:rPr>
          <w:rFonts w:hint="eastAsia" w:ascii="Times New Roman" w:hAnsi="方正仿宋_GBK" w:eastAsia="方正仿宋_GBK" w:cs="方正仿宋_GBK"/>
          <w:b w:val="0"/>
          <w:bCs w:val="0"/>
          <w:color w:val="auto"/>
          <w:sz w:val="32"/>
          <w:szCs w:val="32"/>
          <w:highlight w:val="none"/>
          <w:shd w:val="clear" w:color="auto" w:fill="FFFFFF"/>
          <w:lang w:eastAsia="zh-CN"/>
        </w:rPr>
        <w:t>工资</w:t>
      </w:r>
      <w:r>
        <w:rPr>
          <w:rFonts w:hint="eastAsia" w:ascii="Times New Roman" w:hAnsi="方正仿宋_GBK" w:eastAsia="方正仿宋_GBK" w:cs="方正仿宋_GBK"/>
          <w:b w:val="0"/>
          <w:bCs w:val="0"/>
          <w:color w:val="auto"/>
          <w:sz w:val="32"/>
          <w:szCs w:val="32"/>
          <w:highlight w:val="none"/>
          <w:shd w:val="clear" w:color="auto" w:fill="FFFFFF"/>
        </w:rPr>
        <w:t>增加</w:t>
      </w:r>
      <w:r>
        <w:rPr>
          <w:rFonts w:hint="eastAsia" w:ascii="Times New Roman" w:hAnsi="方正仿宋_GBK" w:eastAsia="方正仿宋_GBK" w:cs="方正仿宋_GBK"/>
          <w:b w:val="0"/>
          <w:bCs w:val="0"/>
          <w:color w:val="auto"/>
          <w:sz w:val="32"/>
          <w:szCs w:val="32"/>
          <w:highlight w:val="none"/>
          <w:shd w:val="clear" w:color="auto" w:fill="FFFFFF"/>
          <w:lang w:eastAsia="zh-CN"/>
        </w:rPr>
        <w:t>及专家评审项目费用收入支出增加</w:t>
      </w:r>
      <w:r>
        <w:rPr>
          <w:rFonts w:ascii="Times New Roman" w:hAnsi="方正仿宋_GBK" w:eastAsia="方正仿宋_GBK" w:cs="方正仿宋_GBK"/>
          <w:b w:val="0"/>
          <w:bCs w:val="0"/>
          <w:color w:val="auto"/>
          <w:sz w:val="32"/>
          <w:szCs w:val="32"/>
          <w:highlight w:val="none"/>
          <w:shd w:val="clear" w:color="auto" w:fill="FFFFFF"/>
        </w:rPr>
        <w:t>。</w:t>
      </w:r>
    </w:p>
    <w:p w14:paraId="6E41C2D1">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Times New Roman" w:hAnsi="方正仿宋_GBK" w:eastAsia="方正仿宋_GBK" w:cs="方正仿宋_GBK"/>
          <w:b w:val="0"/>
          <w:bCs w:val="0"/>
          <w:color w:val="auto"/>
          <w:sz w:val="32"/>
          <w:szCs w:val="32"/>
          <w:highlight w:val="none"/>
          <w:shd w:val="clear" w:color="auto" w:fill="FFFFFF"/>
        </w:rPr>
      </w:pPr>
      <w:r>
        <w:rPr>
          <w:rFonts w:ascii="Times New Roman" w:hAnsi="方正仿宋_GBK" w:eastAsia="方正仿宋_GBK" w:cs="方正仿宋_GBK"/>
          <w:b w:val="0"/>
          <w:bCs w:val="0"/>
          <w:color w:val="auto"/>
          <w:sz w:val="32"/>
          <w:szCs w:val="32"/>
          <w:highlight w:val="none"/>
          <w:shd w:val="clear" w:color="auto" w:fill="FFFFFF"/>
        </w:rPr>
        <w:t>一般公共预算财政拨款支出主要</w:t>
      </w:r>
      <w:r>
        <w:rPr>
          <w:rFonts w:hint="eastAsia" w:ascii="Times New Roman" w:hAnsi="方正仿宋_GBK" w:eastAsia="方正仿宋_GBK" w:cs="方正仿宋_GBK"/>
          <w:b w:val="0"/>
          <w:bCs w:val="0"/>
          <w:color w:val="auto"/>
          <w:sz w:val="32"/>
          <w:szCs w:val="32"/>
          <w:highlight w:val="none"/>
          <w:shd w:val="clear" w:color="auto" w:fill="FFFFFF"/>
          <w:lang w:eastAsia="zh-CN"/>
        </w:rPr>
        <w:t>用途如下</w:t>
      </w:r>
      <w:r>
        <w:rPr>
          <w:rFonts w:ascii="Times New Roman" w:hAnsi="方正仿宋_GBK" w:eastAsia="方正仿宋_GBK" w:cs="方正仿宋_GBK"/>
          <w:b w:val="0"/>
          <w:bCs w:val="0"/>
          <w:color w:val="auto"/>
          <w:sz w:val="32"/>
          <w:szCs w:val="32"/>
          <w:highlight w:val="none"/>
          <w:shd w:val="clear" w:color="auto" w:fill="FFFFFF"/>
        </w:rPr>
        <w:t>：</w:t>
      </w:r>
    </w:p>
    <w:p w14:paraId="388557AD">
      <w:pPr>
        <w:pStyle w:val="9"/>
        <w:snapToGrid w:val="0"/>
        <w:spacing w:before="0" w:beforeAutospacing="0" w:after="0" w:afterAutospacing="0" w:line="596" w:lineRule="exact"/>
        <w:ind w:firstLine="640" w:firstLineChars="200"/>
        <w:jc w:val="both"/>
        <w:rPr>
          <w:rFonts w:hint="default" w:ascii="Times New Roman" w:hAnsi="Times New Roman" w:eastAsia="方正仿宋_GBK" w:cs="方正仿宋_GBK"/>
          <w:b w:val="0"/>
          <w:bCs w:val="0"/>
          <w:color w:val="auto"/>
          <w:sz w:val="32"/>
          <w:szCs w:val="32"/>
          <w:highlight w:val="none"/>
          <w:shd w:val="clear" w:color="auto" w:fill="FFFFFF"/>
        </w:rPr>
      </w:pP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1</w:t>
      </w:r>
      <w:r>
        <w:rPr>
          <w:rFonts w:ascii="Times New Roman" w:hAnsi="方正仿宋_GBK" w:eastAsia="方正仿宋_GBK" w:cs="方正仿宋_GBK"/>
          <w:b w:val="0"/>
          <w:bCs w:val="0"/>
          <w:color w:val="auto"/>
          <w:sz w:val="32"/>
          <w:szCs w:val="32"/>
          <w:highlight w:val="none"/>
          <w:shd w:val="clear" w:color="auto" w:fill="FFFFFF"/>
        </w:rPr>
        <w:t>）一般公共服务支出</w:t>
      </w:r>
      <w:r>
        <w:rPr>
          <w:rFonts w:hint="default" w:ascii="Times New Roman" w:hAnsi="Times New Roman" w:eastAsia="方正仿宋_GBK"/>
          <w:b w:val="0"/>
          <w:bCs w:val="0"/>
          <w:color w:val="auto"/>
          <w:sz w:val="32"/>
          <w:szCs w:val="32"/>
          <w:highlight w:val="none"/>
          <w:shd w:val="clear" w:color="auto" w:fill="FFFFFF"/>
        </w:rPr>
        <w:t>251.86</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77.2%</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较年初预算数减少2.40万元，下降0.9%</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Times New Roman" w:eastAsia="方正仿宋_GBK" w:cs="方正仿宋_GBK"/>
          <w:b w:val="0"/>
          <w:bCs w:val="0"/>
          <w:color w:val="auto"/>
          <w:sz w:val="32"/>
          <w:szCs w:val="32"/>
          <w:highlight w:val="none"/>
          <w:shd w:val="clear" w:color="auto" w:fill="FFFFFF"/>
        </w:rPr>
        <w:t>主要原因是</w:t>
      </w:r>
      <w:r>
        <w:rPr>
          <w:rFonts w:hint="eastAsia" w:ascii="Times New Roman" w:hAnsi="Times New Roman" w:eastAsia="方正仿宋_GBK" w:cs="方正仿宋_GBK"/>
          <w:b w:val="0"/>
          <w:bCs w:val="0"/>
          <w:color w:val="auto"/>
          <w:sz w:val="32"/>
          <w:szCs w:val="32"/>
          <w:highlight w:val="none"/>
          <w:shd w:val="clear" w:color="auto" w:fill="FFFFFF"/>
          <w:lang w:eastAsia="zh-CN"/>
        </w:rPr>
        <w:t>人员调出、退休</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等导致</w:t>
      </w:r>
      <w:r>
        <w:rPr>
          <w:rFonts w:ascii="Times New Roman" w:hAnsi="Times New Roman" w:eastAsia="方正仿宋_GBK" w:cs="方正仿宋_GBK"/>
          <w:b w:val="0"/>
          <w:bCs w:val="0"/>
          <w:color w:val="auto"/>
          <w:sz w:val="32"/>
          <w:szCs w:val="32"/>
          <w:highlight w:val="none"/>
          <w:shd w:val="clear" w:color="auto" w:fill="FFFFFF"/>
        </w:rPr>
        <w:t>。</w:t>
      </w:r>
    </w:p>
    <w:p w14:paraId="061EDB9C">
      <w:pPr>
        <w:pStyle w:val="9"/>
        <w:snapToGrid w:val="0"/>
        <w:spacing w:before="0" w:beforeAutospacing="0" w:after="0" w:afterAutospacing="0" w:line="596" w:lineRule="exact"/>
        <w:ind w:firstLine="640"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Times New Roman" w:eastAsia="方正仿宋_GBK"/>
          <w:b w:val="0"/>
          <w:bCs w:val="0"/>
          <w:color w:val="auto"/>
          <w:sz w:val="32"/>
          <w:szCs w:val="32"/>
          <w:highlight w:val="none"/>
          <w:shd w:val="clear" w:color="auto" w:fill="FFFFFF"/>
          <w:lang w:val="en-US" w:eastAsia="zh-CN"/>
        </w:rPr>
        <w:t>2</w:t>
      </w:r>
      <w:r>
        <w:rPr>
          <w:rFonts w:ascii="Times New Roman" w:hAnsi="方正仿宋_GBK" w:eastAsia="方正仿宋_GBK" w:cs="方正仿宋_GBK"/>
          <w:b w:val="0"/>
          <w:bCs w:val="0"/>
          <w:color w:val="auto"/>
          <w:sz w:val="32"/>
          <w:szCs w:val="32"/>
          <w:highlight w:val="none"/>
          <w:shd w:val="clear" w:color="auto" w:fill="FFFFFF"/>
        </w:rPr>
        <w:t>）社会保障</w:t>
      </w:r>
      <w:r>
        <w:rPr>
          <w:rFonts w:hint="eastAsia" w:ascii="Times New Roman" w:hAnsi="方正仿宋_GBK" w:eastAsia="方正仿宋_GBK" w:cs="方正仿宋_GBK"/>
          <w:b w:val="0"/>
          <w:bCs w:val="0"/>
          <w:color w:val="auto"/>
          <w:sz w:val="32"/>
          <w:szCs w:val="32"/>
          <w:highlight w:val="none"/>
          <w:shd w:val="clear" w:color="auto" w:fill="FFFFFF"/>
          <w:lang w:eastAsia="zh-CN"/>
        </w:rPr>
        <w:t>和</w:t>
      </w:r>
      <w:r>
        <w:rPr>
          <w:rFonts w:ascii="Times New Roman" w:hAnsi="方正仿宋_GBK" w:eastAsia="方正仿宋_GBK" w:cs="方正仿宋_GBK"/>
          <w:b w:val="0"/>
          <w:bCs w:val="0"/>
          <w:color w:val="auto"/>
          <w:sz w:val="32"/>
          <w:szCs w:val="32"/>
          <w:highlight w:val="none"/>
          <w:shd w:val="clear" w:color="auto" w:fill="FFFFFF"/>
        </w:rPr>
        <w:t>就业支出</w:t>
      </w:r>
      <w:r>
        <w:rPr>
          <w:rFonts w:hint="default" w:ascii="Times New Roman" w:hAnsi="Times New Roman" w:eastAsia="方正仿宋_GBK"/>
          <w:b w:val="0"/>
          <w:bCs w:val="0"/>
          <w:color w:val="auto"/>
          <w:sz w:val="32"/>
          <w:szCs w:val="32"/>
          <w:highlight w:val="none"/>
          <w:shd w:val="clear" w:color="auto" w:fill="FFFFFF"/>
        </w:rPr>
        <w:t>47.49</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14.6%</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较年初预算数增加15.88万元，增长50.2</w:t>
      </w:r>
      <w:r>
        <w:rPr>
          <w:rFonts w:hint="default" w:ascii="Times New Roman" w:hAnsi="方正仿宋_GBK" w:eastAsia="方正仿宋_GBK" w:cs="方正仿宋_GBK"/>
          <w:b w:val="0"/>
          <w:bCs w:val="0"/>
          <w:color w:val="auto"/>
          <w:sz w:val="32"/>
          <w:szCs w:val="32"/>
          <w:highlight w:val="none"/>
          <w:shd w:val="clear" w:color="auto" w:fill="FFFFFF"/>
        </w:rPr>
        <w:t>%</w:t>
      </w: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方正仿宋_GBK" w:eastAsia="方正仿宋_GBK" w:cs="方正仿宋_GBK"/>
          <w:b w:val="0"/>
          <w:bCs w:val="0"/>
          <w:color w:val="auto"/>
          <w:sz w:val="32"/>
          <w:szCs w:val="32"/>
          <w:highlight w:val="none"/>
          <w:shd w:val="clear" w:color="auto" w:fill="FFFFFF"/>
        </w:rPr>
        <w:t>主要原因是</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人工工资晋级，养老保险、职业年金调整导致增加。</w:t>
      </w:r>
    </w:p>
    <w:p w14:paraId="185E8B0E">
      <w:pPr>
        <w:pStyle w:val="9"/>
        <w:snapToGrid w:val="0"/>
        <w:spacing w:before="0" w:beforeAutospacing="0" w:after="0" w:afterAutospacing="0" w:line="596" w:lineRule="exact"/>
        <w:ind w:firstLine="640" w:firstLineChars="200"/>
        <w:jc w:val="both"/>
        <w:rPr>
          <w:rFonts w:hint="default" w:ascii="Times New Roman" w:hAnsi="方正仿宋_GBK" w:eastAsia="方正仿宋_GBK" w:cs="方正仿宋_GBK"/>
          <w:b w:val="0"/>
          <w:bCs w:val="0"/>
          <w:color w:val="auto"/>
          <w:sz w:val="32"/>
          <w:szCs w:val="32"/>
          <w:highlight w:val="none"/>
        </w:rPr>
      </w:pP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Times New Roman" w:eastAsia="方正仿宋_GBK"/>
          <w:b w:val="0"/>
          <w:bCs w:val="0"/>
          <w:color w:val="auto"/>
          <w:sz w:val="32"/>
          <w:szCs w:val="32"/>
          <w:highlight w:val="none"/>
          <w:shd w:val="clear" w:color="auto" w:fill="FFFFFF"/>
          <w:lang w:val="en-US" w:eastAsia="zh-CN"/>
        </w:rPr>
        <w:t>3</w:t>
      </w:r>
      <w:r>
        <w:rPr>
          <w:rFonts w:ascii="Times New Roman" w:hAnsi="方正仿宋_GBK" w:eastAsia="方正仿宋_GBK" w:cs="方正仿宋_GBK"/>
          <w:b w:val="0"/>
          <w:bCs w:val="0"/>
          <w:color w:val="auto"/>
          <w:sz w:val="32"/>
          <w:szCs w:val="32"/>
          <w:highlight w:val="none"/>
          <w:shd w:val="clear" w:color="auto" w:fill="FFFFFF"/>
        </w:rPr>
        <w:t>）卫生健康支出</w:t>
      </w:r>
      <w:r>
        <w:rPr>
          <w:rFonts w:hint="default" w:ascii="Times New Roman" w:hAnsi="Times New Roman" w:eastAsia="方正仿宋_GBK"/>
          <w:b w:val="0"/>
          <w:bCs w:val="0"/>
          <w:color w:val="auto"/>
          <w:sz w:val="32"/>
          <w:szCs w:val="32"/>
          <w:highlight w:val="none"/>
          <w:shd w:val="clear" w:color="auto" w:fill="FFFFFF"/>
        </w:rPr>
        <w:t>13.76</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4.2%</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较年初预算数减少0.67万元，下降4.6%</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Times New Roman" w:eastAsia="方正仿宋_GBK" w:cs="方正仿宋_GBK"/>
          <w:b w:val="0"/>
          <w:bCs w:val="0"/>
          <w:color w:val="auto"/>
          <w:sz w:val="32"/>
          <w:szCs w:val="32"/>
          <w:highlight w:val="none"/>
          <w:shd w:val="clear" w:color="auto" w:fill="FFFFFF"/>
        </w:rPr>
        <w:t>主要原因是</w:t>
      </w:r>
      <w:r>
        <w:rPr>
          <w:rFonts w:hint="eastAsia" w:ascii="Times New Roman" w:hAnsi="Times New Roman" w:eastAsia="方正仿宋_GBK" w:cs="方正仿宋_GBK"/>
          <w:b w:val="0"/>
          <w:bCs w:val="0"/>
          <w:color w:val="auto"/>
          <w:sz w:val="32"/>
          <w:szCs w:val="32"/>
          <w:highlight w:val="none"/>
          <w:shd w:val="clear" w:color="auto" w:fill="FFFFFF"/>
          <w:lang w:eastAsia="zh-CN"/>
        </w:rPr>
        <w:t>人员调出、退休</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等导致</w:t>
      </w:r>
      <w:r>
        <w:rPr>
          <w:rFonts w:ascii="Times New Roman" w:hAnsi="方正仿宋_GBK" w:eastAsia="方正仿宋_GBK" w:cs="方正仿宋_GBK"/>
          <w:b w:val="0"/>
          <w:bCs w:val="0"/>
          <w:color w:val="auto"/>
          <w:sz w:val="32"/>
          <w:szCs w:val="32"/>
          <w:highlight w:val="none"/>
          <w:shd w:val="clear" w:color="auto" w:fill="FFFFFF"/>
        </w:rPr>
        <w:t>。</w:t>
      </w:r>
    </w:p>
    <w:p w14:paraId="3A9050C3">
      <w:pPr>
        <w:spacing w:line="596" w:lineRule="exact"/>
        <w:ind w:firstLine="640" w:firstLineChars="200"/>
        <w:jc w:val="both"/>
        <w:rPr>
          <w:rFonts w:hint="eastAsia" w:ascii="Times New Roman" w:hAnsi="Times New Roman" w:eastAsia="方正仿宋_GBK" w:cs="方正仿宋_GBK"/>
          <w:b w:val="0"/>
          <w:bCs w:val="0"/>
          <w:color w:val="auto"/>
          <w:sz w:val="32"/>
          <w:szCs w:val="32"/>
          <w:highlight w:val="none"/>
          <w:shd w:val="clear" w:color="auto" w:fill="FFFFFF"/>
          <w:lang w:val="en-US" w:eastAsia="zh-CN"/>
        </w:rPr>
      </w:pP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Times New Roman" w:eastAsia="方正仿宋_GBK"/>
          <w:b w:val="0"/>
          <w:bCs w:val="0"/>
          <w:color w:val="auto"/>
          <w:sz w:val="32"/>
          <w:szCs w:val="32"/>
          <w:highlight w:val="none"/>
          <w:shd w:val="clear" w:color="auto" w:fill="FFFFFF"/>
          <w:lang w:val="en-US" w:eastAsia="zh-CN"/>
        </w:rPr>
        <w:t>4</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方正仿宋_GBK" w:eastAsia="方正仿宋_GBK" w:cs="方正仿宋_GBK"/>
          <w:b w:val="0"/>
          <w:bCs w:val="0"/>
          <w:color w:val="auto"/>
          <w:sz w:val="32"/>
          <w:szCs w:val="32"/>
          <w:highlight w:val="none"/>
        </w:rPr>
        <w:t>住房保障支出</w:t>
      </w:r>
      <w:r>
        <w:rPr>
          <w:rFonts w:hint="default" w:ascii="Times New Roman" w:hAnsi="Times New Roman" w:eastAsia="方正仿宋_GBK"/>
          <w:b w:val="0"/>
          <w:bCs w:val="0"/>
          <w:color w:val="auto"/>
          <w:sz w:val="32"/>
          <w:szCs w:val="32"/>
          <w:highlight w:val="none"/>
          <w:shd w:val="clear" w:color="auto" w:fill="FFFFFF"/>
        </w:rPr>
        <w:t>13.03</w:t>
      </w:r>
      <w:r>
        <w:rPr>
          <w:rFonts w:ascii="Times New Roman" w:hAnsi="方正仿宋_GBK" w:eastAsia="方正仿宋_GBK" w:cs="方正仿宋_GBK"/>
          <w:b w:val="0"/>
          <w:bCs w:val="0"/>
          <w:color w:val="auto"/>
          <w:sz w:val="32"/>
          <w:szCs w:val="32"/>
          <w:highlight w:val="none"/>
          <w:shd w:val="clear" w:color="auto" w:fill="FFFFFF"/>
        </w:rPr>
        <w:t>万元，占</w:t>
      </w:r>
      <w:r>
        <w:rPr>
          <w:rFonts w:hint="default" w:ascii="Times New Roman" w:hAnsi="Times New Roman" w:eastAsia="方正仿宋_GBK"/>
          <w:b w:val="0"/>
          <w:bCs w:val="0"/>
          <w:color w:val="auto"/>
          <w:sz w:val="32"/>
          <w:szCs w:val="32"/>
          <w:highlight w:val="none"/>
          <w:shd w:val="clear" w:color="auto" w:fill="FFFFFF"/>
        </w:rPr>
        <w:t>4.0%</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较年初预算数减少0.71万元，下降5.2%</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Times New Roman" w:eastAsia="方正仿宋_GBK" w:cs="方正仿宋_GBK"/>
          <w:b w:val="0"/>
          <w:bCs w:val="0"/>
          <w:color w:val="auto"/>
          <w:sz w:val="32"/>
          <w:szCs w:val="32"/>
          <w:highlight w:val="none"/>
          <w:shd w:val="clear" w:color="auto" w:fill="FFFFFF"/>
        </w:rPr>
        <w:t>主要原因是</w:t>
      </w:r>
      <w:r>
        <w:rPr>
          <w:rFonts w:hint="eastAsia" w:ascii="Times New Roman" w:hAnsi="Times New Roman" w:eastAsia="方正仿宋_GBK" w:cs="方正仿宋_GBK"/>
          <w:b w:val="0"/>
          <w:bCs w:val="0"/>
          <w:color w:val="auto"/>
          <w:sz w:val="32"/>
          <w:szCs w:val="32"/>
          <w:highlight w:val="none"/>
          <w:shd w:val="clear" w:color="auto" w:fill="FFFFFF"/>
          <w:lang w:eastAsia="zh-CN"/>
        </w:rPr>
        <w:t>人员调出、退休</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等公积金标准调整导致。</w:t>
      </w:r>
    </w:p>
    <w:p w14:paraId="0A275671">
      <w:pPr>
        <w:pStyle w:val="9"/>
        <w:snapToGrid w:val="0"/>
        <w:spacing w:before="0" w:beforeAutospacing="0" w:after="0" w:afterAutospacing="0" w:line="596" w:lineRule="exact"/>
        <w:ind w:firstLine="640"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Style w:val="13"/>
          <w:rFonts w:hint="default" w:ascii="Times New Roman" w:hAnsi="Times New Roman" w:eastAsia="方正仿宋_GBK"/>
          <w:b w:val="0"/>
          <w:bCs w:val="0"/>
          <w:color w:val="auto"/>
          <w:sz w:val="32"/>
          <w:szCs w:val="32"/>
          <w:highlight w:val="none"/>
          <w:shd w:val="clear" w:color="auto" w:fill="FFFFFF"/>
        </w:rPr>
        <w:t>3</w:t>
      </w:r>
      <w:r>
        <w:rPr>
          <w:rStyle w:val="13"/>
          <w:rFonts w:ascii="Times New Roman" w:hAnsi="方正仿宋_GBK" w:eastAsia="方正仿宋_GBK" w:cs="方正仿宋_GBK"/>
          <w:b w:val="0"/>
          <w:bCs w:val="0"/>
          <w:color w:val="auto"/>
          <w:sz w:val="32"/>
          <w:szCs w:val="32"/>
          <w:highlight w:val="none"/>
          <w:shd w:val="clear" w:color="auto" w:fill="FFFFFF"/>
        </w:rPr>
        <w:t>.结转结余情况。</w:t>
      </w: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年度年末一般公共预算财政拨款结转和结余</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与2023年度相比，无增减</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shd w:val="clear" w:color="auto" w:fill="FFFFFF"/>
        </w:rPr>
        <w:t>与2023年度相比，无增减，</w:t>
      </w:r>
      <w:r>
        <w:rPr>
          <w:rFonts w:hint="eastAsia" w:ascii="Times New Roman" w:hAnsi="Times New Roman" w:eastAsia="方正仿宋_GBK" w:cs="Times New Roman"/>
          <w:b w:val="0"/>
          <w:bCs w:val="0"/>
          <w:color w:val="auto"/>
          <w:sz w:val="32"/>
          <w:szCs w:val="32"/>
          <w:highlight w:val="none"/>
          <w:shd w:val="clear" w:color="auto" w:fill="FFFFFF"/>
        </w:rPr>
        <w:t>与</w:t>
      </w:r>
      <w:r>
        <w:rPr>
          <w:rFonts w:hint="default" w:ascii="Times New Roman" w:hAnsi="Times New Roman" w:eastAsia="方正仿宋_GBK" w:cs="Times New Roman"/>
          <w:b w:val="0"/>
          <w:bCs w:val="0"/>
          <w:color w:val="auto"/>
          <w:sz w:val="32"/>
          <w:szCs w:val="32"/>
          <w:highlight w:val="none"/>
          <w:shd w:val="clear" w:color="auto" w:fill="FFFFFF"/>
        </w:rPr>
        <w:t>上年决算数</w:t>
      </w:r>
      <w:r>
        <w:rPr>
          <w:rFonts w:hint="eastAsia" w:ascii="Times New Roman" w:hAnsi="Times New Roman" w:eastAsia="方正仿宋_GBK" w:cs="Times New Roman"/>
          <w:b w:val="0"/>
          <w:bCs w:val="0"/>
          <w:color w:val="auto"/>
          <w:sz w:val="32"/>
          <w:szCs w:val="32"/>
          <w:highlight w:val="none"/>
          <w:shd w:val="clear" w:color="auto" w:fill="FFFFFF"/>
        </w:rPr>
        <w:t>持平</w:t>
      </w:r>
      <w:r>
        <w:rPr>
          <w:rFonts w:hint="eastAsia" w:ascii="Times New Roman" w:hAnsi="Times New Roman" w:eastAsia="方正仿宋_GBK" w:cs="Times New Roman"/>
          <w:b w:val="0"/>
          <w:bCs w:val="0"/>
          <w:color w:val="auto"/>
          <w:sz w:val="32"/>
          <w:szCs w:val="32"/>
          <w:highlight w:val="none"/>
          <w:shd w:val="clear" w:color="auto" w:fill="FFFFFF"/>
          <w:lang w:eastAsia="zh-CN"/>
        </w:rPr>
        <w:t>。</w:t>
      </w:r>
    </w:p>
    <w:p w14:paraId="50BC8F76">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（四）一般公共预算财政拨款基本支出决算情况说明</w:t>
      </w:r>
    </w:p>
    <w:p w14:paraId="38CBCA84">
      <w:pPr>
        <w:pStyle w:val="9"/>
        <w:snapToGrid w:val="0"/>
        <w:spacing w:before="0" w:beforeAutospacing="0" w:after="0" w:afterAutospacing="0" w:line="596" w:lineRule="exact"/>
        <w:ind w:firstLine="640" w:firstLineChars="200"/>
        <w:jc w:val="both"/>
        <w:rPr>
          <w:rFonts w:ascii="Times New Roman" w:hAnsi="方正仿宋_GBK" w:eastAsia="方正仿宋_GBK" w:cs="方正仿宋_GBK"/>
          <w:b w:val="0"/>
          <w:bCs w:val="0"/>
          <w:color w:val="auto"/>
          <w:sz w:val="32"/>
          <w:szCs w:val="32"/>
          <w:highlight w:val="none"/>
          <w:shd w:val="clear" w:color="auto" w:fill="FFFFFF"/>
        </w:rPr>
      </w:pP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年度一般公共财政拨款基本支出</w:t>
      </w:r>
      <w:r>
        <w:rPr>
          <w:rFonts w:hint="default" w:ascii="Times New Roman" w:hAnsi="Times New Roman" w:eastAsia="方正仿宋_GBK"/>
          <w:b w:val="0"/>
          <w:bCs w:val="0"/>
          <w:color w:val="auto"/>
          <w:sz w:val="32"/>
          <w:szCs w:val="32"/>
          <w:highlight w:val="none"/>
          <w:shd w:val="clear" w:color="auto" w:fill="FFFFFF"/>
        </w:rPr>
        <w:t>304.53</w:t>
      </w:r>
      <w:r>
        <w:rPr>
          <w:rFonts w:ascii="Times New Roman" w:hAnsi="方正仿宋_GBK" w:eastAsia="方正仿宋_GBK" w:cs="方正仿宋_GBK"/>
          <w:b w:val="0"/>
          <w:bCs w:val="0"/>
          <w:color w:val="auto"/>
          <w:sz w:val="32"/>
          <w:szCs w:val="32"/>
          <w:highlight w:val="none"/>
          <w:shd w:val="clear" w:color="auto" w:fill="FFFFFF"/>
        </w:rPr>
        <w:t>万元。</w:t>
      </w:r>
    </w:p>
    <w:p w14:paraId="494B628F">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Times New Roman" w:hAnsi="方正仿宋_GBK" w:eastAsia="方正仿宋_GBK" w:cs="方正仿宋_GBK"/>
          <w:b w:val="0"/>
          <w:bCs w:val="0"/>
          <w:color w:val="auto"/>
          <w:sz w:val="32"/>
          <w:szCs w:val="32"/>
          <w:highlight w:val="none"/>
          <w:shd w:val="clear" w:color="auto" w:fill="FFFFFF"/>
        </w:rPr>
      </w:pPr>
      <w:r>
        <w:rPr>
          <w:rFonts w:ascii="Times New Roman" w:hAnsi="方正仿宋_GBK" w:eastAsia="方正仿宋_GBK" w:cs="方正仿宋_GBK"/>
          <w:b w:val="0"/>
          <w:bCs w:val="0"/>
          <w:color w:val="auto"/>
          <w:sz w:val="32"/>
          <w:szCs w:val="32"/>
          <w:highlight w:val="none"/>
          <w:shd w:val="clear" w:color="auto" w:fill="FFFFFF"/>
        </w:rPr>
        <w:t>其中：</w:t>
      </w:r>
    </w:p>
    <w:p w14:paraId="0E9CD3A2">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Times New Roman" w:hAnsi="方正仿宋_GBK" w:eastAsia="方正仿宋_GBK" w:cs="方正仿宋_GBK"/>
          <w:b w:val="0"/>
          <w:bCs w:val="0"/>
          <w:color w:val="auto"/>
          <w:sz w:val="32"/>
          <w:szCs w:val="32"/>
          <w:highlight w:val="none"/>
          <w:shd w:val="clear" w:color="auto" w:fill="FFFFFF"/>
          <w:lang w:eastAsia="zh-CN"/>
        </w:rPr>
      </w:pPr>
      <w:r>
        <w:rPr>
          <w:rFonts w:ascii="Times New Roman" w:hAnsi="方正仿宋_GBK" w:eastAsia="方正仿宋_GBK" w:cs="方正仿宋_GBK"/>
          <w:b w:val="0"/>
          <w:bCs w:val="0"/>
          <w:color w:val="auto"/>
          <w:sz w:val="32"/>
          <w:szCs w:val="32"/>
          <w:highlight w:val="none"/>
          <w:shd w:val="clear" w:color="auto" w:fill="FFFFFF"/>
        </w:rPr>
        <w:t>人员经费</w:t>
      </w:r>
      <w:r>
        <w:rPr>
          <w:rFonts w:hint="default" w:ascii="Times New Roman" w:hAnsi="方正仿宋_GBK" w:eastAsia="方正仿宋_GBK" w:cs="方正仿宋_GBK"/>
          <w:b w:val="0"/>
          <w:bCs w:val="0"/>
          <w:color w:val="auto"/>
          <w:sz w:val="32"/>
          <w:szCs w:val="32"/>
          <w:highlight w:val="none"/>
          <w:shd w:val="clear" w:color="auto" w:fill="FFFFFF"/>
        </w:rPr>
        <w:t>275.34</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方正仿宋_GBK" w:eastAsia="方正仿宋_GBK" w:cs="方正仿宋_GBK"/>
          <w:b w:val="0"/>
          <w:bCs w:val="0"/>
          <w:color w:val="auto"/>
          <w:sz w:val="32"/>
          <w:szCs w:val="32"/>
          <w:highlight w:val="none"/>
          <w:shd w:val="clear" w:color="auto" w:fill="FFFFFF"/>
        </w:rPr>
        <w:t>与2023年度相比，增加4.79万元，增长1.8%</w:t>
      </w: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方正仿宋_GBK" w:eastAsia="方正仿宋_GBK" w:cs="方正仿宋_GBK"/>
          <w:b w:val="0"/>
          <w:bCs w:val="0"/>
          <w:color w:val="auto"/>
          <w:sz w:val="32"/>
          <w:szCs w:val="32"/>
          <w:highlight w:val="none"/>
          <w:shd w:val="clear" w:color="auto" w:fill="FFFFFF"/>
        </w:rPr>
        <w:t>主要原因是</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人工工资晋级，养老保险、职业年金调整</w:t>
      </w: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方正仿宋_GBK" w:eastAsia="方正仿宋_GBK" w:cs="方正仿宋_GBK"/>
          <w:b w:val="0"/>
          <w:bCs w:val="0"/>
          <w:color w:val="auto"/>
          <w:sz w:val="32"/>
          <w:szCs w:val="32"/>
          <w:highlight w:val="none"/>
          <w:shd w:val="clear" w:color="auto" w:fill="FFFFFF"/>
          <w:lang w:eastAsia="zh-CN"/>
        </w:rPr>
        <w:t>人员经费用途主要包括</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基本工资、津贴补贴、绩效工资、养老保险、职业年金等</w:t>
      </w:r>
      <w:r>
        <w:rPr>
          <w:rFonts w:hint="eastAsia" w:ascii="Times New Roman" w:hAnsi="方正仿宋_GBK" w:eastAsia="方正仿宋_GBK" w:cs="方正仿宋_GBK"/>
          <w:b w:val="0"/>
          <w:bCs w:val="0"/>
          <w:color w:val="auto"/>
          <w:sz w:val="32"/>
          <w:szCs w:val="32"/>
          <w:highlight w:val="none"/>
          <w:shd w:val="clear" w:color="auto" w:fill="FFFFFF"/>
          <w:lang w:eastAsia="zh-CN"/>
        </w:rPr>
        <w:t>。</w:t>
      </w:r>
    </w:p>
    <w:p w14:paraId="2CE94EA7">
      <w:pPr>
        <w:pStyle w:val="9"/>
        <w:snapToGrid w:val="0"/>
        <w:spacing w:before="0" w:beforeAutospacing="0" w:after="0" w:afterAutospacing="0" w:line="596" w:lineRule="exact"/>
        <w:ind w:firstLine="640" w:firstLineChars="200"/>
        <w:jc w:val="both"/>
        <w:rPr>
          <w:rFonts w:hint="default" w:ascii="Times New Roman" w:hAnsi="方正仿宋_GBK" w:eastAsia="方正仿宋_GBK" w:cs="方正仿宋_GBK"/>
          <w:b w:val="0"/>
          <w:bCs w:val="0"/>
          <w:color w:val="auto"/>
          <w:sz w:val="32"/>
          <w:szCs w:val="32"/>
          <w:highlight w:val="none"/>
          <w:shd w:val="clear" w:color="auto" w:fill="FFFFFF"/>
          <w:lang w:val="en-US" w:eastAsia="zh-CN"/>
        </w:rPr>
      </w:pPr>
      <w:r>
        <w:rPr>
          <w:rFonts w:hint="eastAsia" w:ascii="Times New Roman" w:hAnsi="方正仿宋_GBK" w:eastAsia="方正仿宋_GBK" w:cs="方正仿宋_GBK"/>
          <w:b w:val="0"/>
          <w:bCs w:val="0"/>
          <w:color w:val="auto"/>
          <w:sz w:val="32"/>
          <w:szCs w:val="32"/>
          <w:highlight w:val="none"/>
          <w:shd w:val="clear" w:color="auto" w:fill="FFFFFF"/>
          <w:lang w:eastAsia="zh-CN"/>
        </w:rPr>
        <w:t>公用经费</w:t>
      </w:r>
      <w:r>
        <w:rPr>
          <w:rFonts w:hint="default" w:ascii="Times New Roman" w:hAnsi="方正仿宋_GBK" w:eastAsia="方正仿宋_GBK" w:cs="方正仿宋_GBK"/>
          <w:b w:val="0"/>
          <w:bCs w:val="0"/>
          <w:color w:val="auto"/>
          <w:sz w:val="32"/>
          <w:szCs w:val="32"/>
          <w:highlight w:val="none"/>
          <w:shd w:val="clear" w:color="auto" w:fill="FFFFFF"/>
          <w:lang w:eastAsia="zh-CN"/>
        </w:rPr>
        <w:t>29.19</w:t>
      </w:r>
      <w:r>
        <w:rPr>
          <w:rFonts w:hint="eastAsia" w:ascii="Times New Roman" w:hAnsi="方正仿宋_GBK" w:eastAsia="方正仿宋_GBK" w:cs="方正仿宋_GBK"/>
          <w:b w:val="0"/>
          <w:bCs w:val="0"/>
          <w:color w:val="auto"/>
          <w:sz w:val="32"/>
          <w:szCs w:val="32"/>
          <w:highlight w:val="none"/>
          <w:shd w:val="clear" w:color="auto" w:fill="FFFFFF"/>
          <w:lang w:eastAsia="zh-CN"/>
        </w:rPr>
        <w:t>万元，</w:t>
      </w:r>
      <w:r>
        <w:rPr>
          <w:rFonts w:hint="default" w:ascii="Times New Roman" w:hAnsi="方正仿宋_GBK" w:eastAsia="方正仿宋_GBK" w:cs="方正仿宋_GBK"/>
          <w:b w:val="0"/>
          <w:bCs w:val="0"/>
          <w:color w:val="auto"/>
          <w:sz w:val="32"/>
          <w:szCs w:val="32"/>
          <w:highlight w:val="none"/>
          <w:shd w:val="clear" w:color="auto" w:fill="FFFFFF"/>
          <w:lang w:eastAsia="zh-CN"/>
        </w:rPr>
        <w:t>与2023年度相比，增加0.04万元，增长0.1%</w:t>
      </w:r>
      <w:r>
        <w:rPr>
          <w:rFonts w:hint="eastAsia" w:ascii="Times New Roman" w:hAnsi="方正仿宋_GBK" w:eastAsia="方正仿宋_GBK" w:cs="方正仿宋_GBK"/>
          <w:b w:val="0"/>
          <w:bCs w:val="0"/>
          <w:color w:val="auto"/>
          <w:sz w:val="32"/>
          <w:szCs w:val="32"/>
          <w:highlight w:val="none"/>
          <w:shd w:val="clear" w:color="auto" w:fill="FFFFFF"/>
          <w:lang w:eastAsia="zh-CN"/>
        </w:rPr>
        <w:t>，主要原因是外出培训、出差等公务费用支出增加。公用经费用途主要包括办公费、</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水费、电费、印刷费、委托业务费等。</w:t>
      </w:r>
    </w:p>
    <w:p w14:paraId="5B46C2F2">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（五）政府性基金预算收支决算情况说明</w:t>
      </w:r>
    </w:p>
    <w:p w14:paraId="69B07F81">
      <w:pPr>
        <w:pStyle w:val="9"/>
        <w:snapToGrid w:val="0"/>
        <w:spacing w:before="0" w:beforeAutospacing="0" w:after="0" w:afterAutospacing="0" w:line="596" w:lineRule="exact"/>
        <w:ind w:firstLine="640"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Fonts w:ascii="Times New Roman" w:hAnsi="方正仿宋_GBK" w:eastAsia="方正仿宋_GBK" w:cs="方正仿宋_GBK"/>
          <w:b w:val="0"/>
          <w:bCs w:val="0"/>
          <w:color w:val="auto"/>
          <w:sz w:val="32"/>
          <w:szCs w:val="32"/>
          <w:highlight w:val="none"/>
          <w:shd w:val="clear" w:color="auto" w:fill="FFFFFF"/>
        </w:rPr>
        <w:t>本</w:t>
      </w:r>
      <w:r>
        <w:rPr>
          <w:rFonts w:hint="eastAsia" w:ascii="Times New Roman" w:hAnsi="方正仿宋_GBK" w:eastAsia="方正仿宋_GBK" w:cs="方正仿宋_GBK"/>
          <w:b w:val="0"/>
          <w:bCs w:val="0"/>
          <w:color w:val="auto"/>
          <w:sz w:val="32"/>
          <w:szCs w:val="32"/>
          <w:highlight w:val="none"/>
          <w:shd w:val="clear" w:color="auto" w:fill="FFFFFF"/>
          <w:lang w:eastAsia="zh-CN"/>
        </w:rPr>
        <w:t>单位</w:t>
      </w:r>
      <w:r>
        <w:rPr>
          <w:rFonts w:hint="default" w:ascii="Times New Roman" w:hAnsi="方正仿宋_GBK" w:eastAsia="方正仿宋_GBK" w:cs="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年度无政府性基金预算财政拨款收支。</w:t>
      </w:r>
    </w:p>
    <w:p w14:paraId="5236A14A">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（六）国有资本经营预算财政拨款支出决算情况说明</w:t>
      </w:r>
    </w:p>
    <w:p w14:paraId="3D185A35">
      <w:pPr>
        <w:pStyle w:val="9"/>
        <w:snapToGrid w:val="0"/>
        <w:spacing w:before="0" w:beforeAutospacing="0" w:after="0" w:afterAutospacing="0" w:line="596" w:lineRule="exact"/>
        <w:ind w:firstLine="640"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Fonts w:ascii="Times New Roman" w:hAnsi="方正仿宋_GBK" w:eastAsia="方正仿宋_GBK" w:cs="方正仿宋_GBK"/>
          <w:b w:val="0"/>
          <w:bCs w:val="0"/>
          <w:color w:val="auto"/>
          <w:sz w:val="32"/>
          <w:szCs w:val="32"/>
          <w:highlight w:val="none"/>
          <w:shd w:val="clear" w:color="auto" w:fill="FFFFFF"/>
        </w:rPr>
        <w:t>本</w:t>
      </w:r>
      <w:r>
        <w:rPr>
          <w:rFonts w:hint="eastAsia" w:ascii="Times New Roman" w:hAnsi="方正仿宋_GBK" w:eastAsia="方正仿宋_GBK" w:cs="方正仿宋_GBK"/>
          <w:b w:val="0"/>
          <w:bCs w:val="0"/>
          <w:color w:val="auto"/>
          <w:sz w:val="32"/>
          <w:szCs w:val="32"/>
          <w:highlight w:val="none"/>
          <w:shd w:val="clear" w:color="auto" w:fill="FFFFFF"/>
          <w:lang w:eastAsia="zh-CN"/>
        </w:rPr>
        <w:t>单位</w:t>
      </w:r>
      <w:r>
        <w:rPr>
          <w:rFonts w:hint="default" w:ascii="Times New Roman" w:hAnsi="方正仿宋_GBK" w:eastAsia="方正仿宋_GBK" w:cs="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年度无国有资本经营预算财政拨款支出。</w:t>
      </w:r>
    </w:p>
    <w:p w14:paraId="4F277407">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Times New Roman" w:hAnsi="方正黑体_GBK" w:eastAsia="方正黑体_GBK" w:cs="方正黑体_GBK"/>
          <w:b w:val="0"/>
          <w:bCs w:val="0"/>
          <w:color w:val="auto"/>
          <w:sz w:val="32"/>
          <w:szCs w:val="32"/>
          <w:highlight w:val="none"/>
          <w:shd w:val="clear" w:color="auto" w:fill="FFFFFF"/>
        </w:rPr>
      </w:pPr>
      <w:r>
        <w:rPr>
          <w:rStyle w:val="13"/>
          <w:rFonts w:ascii="Times New Roman" w:hAnsi="方正黑体_GBK" w:eastAsia="方正黑体_GBK" w:cs="方正黑体_GBK"/>
          <w:b w:val="0"/>
          <w:bCs w:val="0"/>
          <w:color w:val="auto"/>
          <w:sz w:val="32"/>
          <w:szCs w:val="32"/>
          <w:highlight w:val="none"/>
          <w:shd w:val="clear" w:color="auto" w:fill="FFFFFF"/>
        </w:rPr>
        <w:t>三、</w:t>
      </w:r>
      <w:r>
        <w:rPr>
          <w:rStyle w:val="13"/>
          <w:rFonts w:hint="eastAsia" w:ascii="Times New Roman" w:hAnsi="方正黑体_GBK" w:eastAsia="方正黑体_GBK" w:cs="方正黑体_GBK"/>
          <w:b w:val="0"/>
          <w:bCs w:val="0"/>
          <w:color w:val="auto"/>
          <w:sz w:val="32"/>
          <w:szCs w:val="32"/>
          <w:highlight w:val="none"/>
          <w:shd w:val="clear" w:color="auto" w:fill="FFFFFF"/>
          <w:lang w:eastAsia="zh-CN"/>
        </w:rPr>
        <w:t>财政拨款</w:t>
      </w:r>
      <w:r>
        <w:rPr>
          <w:rStyle w:val="13"/>
          <w:rFonts w:ascii="Times New Roman" w:hAnsi="方正黑体_GBK" w:eastAsia="方正黑体_GBK" w:cs="方正黑体_GBK"/>
          <w:b w:val="0"/>
          <w:bCs w:val="0"/>
          <w:color w:val="auto"/>
          <w:sz w:val="32"/>
          <w:szCs w:val="32"/>
          <w:highlight w:val="none"/>
          <w:shd w:val="clear" w:color="auto" w:fill="FFFFFF"/>
        </w:rPr>
        <w:t>“三公”经费情况说明</w:t>
      </w:r>
    </w:p>
    <w:p w14:paraId="1D77DCDD">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（一）“三公”经费支出总体情况说明</w:t>
      </w:r>
    </w:p>
    <w:p w14:paraId="2CDBEF8D">
      <w:pPr>
        <w:pStyle w:val="9"/>
        <w:snapToGrid w:val="0"/>
        <w:spacing w:before="0" w:beforeAutospacing="0" w:after="0" w:afterAutospacing="0" w:line="596" w:lineRule="exact"/>
        <w:ind w:firstLine="640" w:firstLineChars="200"/>
        <w:jc w:val="both"/>
        <w:rPr>
          <w:rFonts w:hint="default" w:ascii="Times New Roman" w:hAnsi="方正仿宋_GBK" w:eastAsia="方正仿宋_GBK" w:cs="方正仿宋_GBK"/>
          <w:b w:val="0"/>
          <w:bCs w:val="0"/>
          <w:color w:val="auto"/>
          <w:sz w:val="32"/>
          <w:szCs w:val="32"/>
          <w:highlight w:val="none"/>
        </w:rPr>
      </w:pP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年度“三公”经费支出共计</w:t>
      </w:r>
      <w:r>
        <w:rPr>
          <w:rFonts w:hint="default" w:ascii="Times New Roman" w:hAnsi="Times New Roman" w:eastAsia="方正仿宋_GBK"/>
          <w:b w:val="0"/>
          <w:bCs w:val="0"/>
          <w:color w:val="auto"/>
          <w:sz w:val="32"/>
          <w:szCs w:val="32"/>
          <w:highlight w:val="none"/>
          <w:shd w:val="clear" w:color="auto" w:fill="FFFFFF"/>
        </w:rPr>
        <w:t>2.64</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较年初预算数减少2.06万元，下降43.8%</w:t>
      </w:r>
      <w:r>
        <w:rPr>
          <w:rFonts w:ascii="Times New Roman" w:hAnsi="方正仿宋_GBK" w:eastAsia="方正仿宋_GBK" w:cs="方正仿宋_GBK"/>
          <w:b w:val="0"/>
          <w:bCs w:val="0"/>
          <w:color w:val="auto"/>
          <w:sz w:val="32"/>
          <w:szCs w:val="32"/>
          <w:highlight w:val="none"/>
          <w:shd w:val="clear" w:color="auto" w:fill="FFFFFF"/>
        </w:rPr>
        <w:t>，主要原因</w:t>
      </w:r>
      <w:r>
        <w:rPr>
          <w:rFonts w:hint="eastAsia" w:ascii="Times New Roman" w:hAnsi="Times New Roman" w:eastAsia="方正仿宋_GBK" w:cs="方正仿宋_GBK"/>
          <w:b w:val="0"/>
          <w:bCs w:val="0"/>
          <w:color w:val="auto"/>
          <w:sz w:val="32"/>
          <w:highlight w:val="none"/>
          <w:shd w:val="clear" w:color="auto" w:fill="auto"/>
          <w:lang w:val="en-US" w:eastAsia="zh-CN"/>
        </w:rPr>
        <w:t>是严格执行</w:t>
      </w:r>
      <w:r>
        <w:rPr>
          <w:rFonts w:hint="eastAsia" w:ascii="Times New Roman" w:hAnsi="Times New Roman" w:cs="方正仿宋_GBK"/>
          <w:color w:val="auto"/>
          <w:sz w:val="32"/>
          <w:highlight w:val="none"/>
          <w:shd w:val="clear" w:color="auto" w:fill="auto"/>
          <w:lang w:val="en-US" w:eastAsia="zh-CN"/>
        </w:rPr>
        <w:t>中央</w:t>
      </w:r>
      <w:r>
        <w:rPr>
          <w:rFonts w:hint="eastAsia" w:ascii="Times New Roman" w:hAnsi="Times New Roman" w:eastAsia="方正仿宋_GBK" w:cs="方正仿宋_GBK"/>
          <w:b w:val="0"/>
          <w:bCs w:val="0"/>
          <w:color w:val="auto"/>
          <w:sz w:val="32"/>
          <w:highlight w:val="none"/>
          <w:shd w:val="clear" w:color="auto" w:fill="auto"/>
          <w:lang w:val="en-US" w:eastAsia="zh-CN"/>
        </w:rPr>
        <w:t>八项规定，厉行节约，缩减开支</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较上年支出数减少1.69万元，下降39.0%</w:t>
      </w:r>
      <w:r>
        <w:rPr>
          <w:rFonts w:ascii="Times New Roman" w:hAnsi="方正仿宋_GBK" w:eastAsia="方正仿宋_GBK" w:cs="方正仿宋_GBK"/>
          <w:b w:val="0"/>
          <w:bCs w:val="0"/>
          <w:color w:val="auto"/>
          <w:sz w:val="32"/>
          <w:szCs w:val="32"/>
          <w:highlight w:val="none"/>
          <w:shd w:val="clear" w:color="auto" w:fill="FFFFFF"/>
        </w:rPr>
        <w:t>，主要原因</w:t>
      </w:r>
      <w:r>
        <w:rPr>
          <w:rFonts w:hint="eastAsia" w:ascii="Times New Roman" w:hAnsi="Times New Roman" w:eastAsia="方正仿宋_GBK" w:cs="方正仿宋_GBK"/>
          <w:b w:val="0"/>
          <w:bCs w:val="0"/>
          <w:color w:val="auto"/>
          <w:sz w:val="32"/>
          <w:highlight w:val="none"/>
          <w:shd w:val="clear" w:color="auto" w:fill="auto"/>
          <w:lang w:val="en-US" w:eastAsia="zh-CN"/>
        </w:rPr>
        <w:t>是严格执行</w:t>
      </w:r>
      <w:r>
        <w:rPr>
          <w:rFonts w:hint="eastAsia" w:ascii="Times New Roman" w:hAnsi="Times New Roman" w:cs="方正仿宋_GBK"/>
          <w:color w:val="auto"/>
          <w:sz w:val="32"/>
          <w:highlight w:val="none"/>
          <w:shd w:val="clear" w:color="auto" w:fill="auto"/>
          <w:lang w:val="en-US" w:eastAsia="zh-CN"/>
        </w:rPr>
        <w:t>中央</w:t>
      </w:r>
      <w:r>
        <w:rPr>
          <w:rFonts w:hint="eastAsia" w:ascii="Times New Roman" w:hAnsi="Times New Roman" w:eastAsia="方正仿宋_GBK" w:cs="方正仿宋_GBK"/>
          <w:b w:val="0"/>
          <w:bCs w:val="0"/>
          <w:color w:val="auto"/>
          <w:sz w:val="32"/>
          <w:highlight w:val="none"/>
          <w:shd w:val="clear" w:color="auto" w:fill="auto"/>
          <w:lang w:val="en-US" w:eastAsia="zh-CN"/>
        </w:rPr>
        <w:t>八项规定，厉行节约，缩减开支</w:t>
      </w:r>
      <w:r>
        <w:rPr>
          <w:rFonts w:ascii="Times New Roman" w:hAnsi="方正仿宋_GBK" w:eastAsia="方正仿宋_GBK" w:cs="方正仿宋_GBK"/>
          <w:b w:val="0"/>
          <w:bCs w:val="0"/>
          <w:color w:val="auto"/>
          <w:sz w:val="32"/>
          <w:szCs w:val="32"/>
          <w:highlight w:val="none"/>
          <w:shd w:val="clear" w:color="auto" w:fill="FFFFFF"/>
        </w:rPr>
        <w:t>。</w:t>
      </w:r>
    </w:p>
    <w:p w14:paraId="0355ABF4">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（二）“三公”经费分项支出情况</w:t>
      </w:r>
    </w:p>
    <w:p w14:paraId="6DDF94AE">
      <w:pPr>
        <w:pStyle w:val="9"/>
        <w:snapToGrid w:val="0"/>
        <w:spacing w:before="0" w:beforeAutospacing="0" w:after="0" w:afterAutospacing="0" w:line="596" w:lineRule="exact"/>
        <w:ind w:firstLine="640" w:firstLineChars="200"/>
        <w:jc w:val="both"/>
        <w:rPr>
          <w:rFonts w:hint="default" w:ascii="Times New Roman" w:hAnsi="方正仿宋_GBK" w:eastAsia="方正仿宋_GBK" w:cs="方正仿宋_GBK"/>
          <w:b w:val="0"/>
          <w:bCs w:val="0"/>
          <w:color w:val="auto"/>
          <w:sz w:val="32"/>
          <w:szCs w:val="32"/>
          <w:highlight w:val="none"/>
        </w:rPr>
      </w:pP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年度本</w:t>
      </w:r>
      <w:r>
        <w:rPr>
          <w:rFonts w:hint="eastAsia" w:ascii="Times New Roman" w:hAnsi="方正仿宋_GBK" w:eastAsia="方正仿宋_GBK" w:cs="方正仿宋_GBK"/>
          <w:b w:val="0"/>
          <w:bCs w:val="0"/>
          <w:color w:val="auto"/>
          <w:sz w:val="32"/>
          <w:szCs w:val="32"/>
          <w:highlight w:val="none"/>
          <w:shd w:val="clear" w:color="auto" w:fill="FFFFFF"/>
          <w:lang w:eastAsia="zh-CN"/>
        </w:rPr>
        <w:t>单位</w:t>
      </w:r>
      <w:r>
        <w:rPr>
          <w:rFonts w:ascii="Times New Roman" w:hAnsi="方正仿宋_GBK" w:eastAsia="方正仿宋_GBK" w:cs="方正仿宋_GBK"/>
          <w:b w:val="0"/>
          <w:bCs w:val="0"/>
          <w:color w:val="auto"/>
          <w:sz w:val="32"/>
          <w:szCs w:val="32"/>
          <w:highlight w:val="none"/>
          <w:shd w:val="clear" w:color="auto" w:fill="FFFFFF"/>
        </w:rPr>
        <w:t>因公出国（境）费用</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万元，费用支出</w:t>
      </w:r>
      <w:r>
        <w:rPr>
          <w:rFonts w:hint="default" w:ascii="Times New Roman" w:hAnsi="Times New Roman" w:eastAsia="方正仿宋_GBK"/>
          <w:b w:val="0"/>
          <w:bCs w:val="0"/>
          <w:color w:val="auto"/>
          <w:sz w:val="32"/>
          <w:szCs w:val="32"/>
          <w:highlight w:val="none"/>
          <w:shd w:val="clear" w:color="auto" w:fill="FFFFFF"/>
        </w:rPr>
        <w:t>较年初预算数无增减</w:t>
      </w: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主要原因是本单位2023年度未发生该项支出，与上年决算数持平</w:t>
      </w:r>
      <w:r>
        <w:rPr>
          <w:rFonts w:ascii="Times New Roman" w:hAnsi="方正仿宋_GBK" w:eastAsia="方正仿宋_GBK" w:cs="方正仿宋_GBK"/>
          <w:b w:val="0"/>
          <w:bCs w:val="0"/>
          <w:color w:val="auto"/>
          <w:sz w:val="32"/>
          <w:szCs w:val="32"/>
          <w:highlight w:val="none"/>
          <w:shd w:val="clear" w:color="auto" w:fill="FFFFFF"/>
        </w:rPr>
        <w:t>。</w:t>
      </w:r>
    </w:p>
    <w:p w14:paraId="23A4E373">
      <w:pPr>
        <w:pStyle w:val="9"/>
        <w:snapToGrid w:val="0"/>
        <w:spacing w:before="0" w:beforeAutospacing="0" w:after="0" w:afterAutospacing="0" w:line="596" w:lineRule="exact"/>
        <w:ind w:firstLine="640" w:firstLineChars="200"/>
        <w:jc w:val="both"/>
        <w:rPr>
          <w:rFonts w:hint="default" w:ascii="Times New Roman" w:hAnsi="方正仿宋_GBK" w:eastAsia="方正仿宋_GBK" w:cs="方正仿宋_GBK"/>
          <w:b w:val="0"/>
          <w:bCs w:val="0"/>
          <w:color w:val="auto"/>
          <w:sz w:val="32"/>
          <w:szCs w:val="32"/>
          <w:highlight w:val="none"/>
        </w:rPr>
      </w:pPr>
      <w:r>
        <w:rPr>
          <w:rFonts w:ascii="Times New Roman" w:hAnsi="方正仿宋_GBK" w:eastAsia="方正仿宋_GBK" w:cs="方正仿宋_GBK"/>
          <w:b w:val="0"/>
          <w:bCs w:val="0"/>
          <w:color w:val="auto"/>
          <w:sz w:val="32"/>
          <w:szCs w:val="32"/>
          <w:highlight w:val="none"/>
          <w:shd w:val="clear" w:color="auto" w:fill="FFFFFF"/>
        </w:rPr>
        <w:t>公务</w:t>
      </w:r>
      <w:r>
        <w:rPr>
          <w:rFonts w:hint="eastAsia" w:ascii="Times New Roman" w:hAnsi="方正仿宋_GBK" w:eastAsia="方正仿宋_GBK" w:cs="方正仿宋_GBK"/>
          <w:b w:val="0"/>
          <w:bCs w:val="0"/>
          <w:color w:val="auto"/>
          <w:sz w:val="32"/>
          <w:szCs w:val="32"/>
          <w:highlight w:val="none"/>
          <w:shd w:val="clear" w:color="auto" w:fill="FFFFFF"/>
          <w:lang w:eastAsia="zh-CN"/>
        </w:rPr>
        <w:t>用</w:t>
      </w:r>
      <w:r>
        <w:rPr>
          <w:rFonts w:ascii="Times New Roman" w:hAnsi="方正仿宋_GBK" w:eastAsia="方正仿宋_GBK" w:cs="方正仿宋_GBK"/>
          <w:b w:val="0"/>
          <w:bCs w:val="0"/>
          <w:color w:val="auto"/>
          <w:sz w:val="32"/>
          <w:szCs w:val="32"/>
          <w:highlight w:val="none"/>
          <w:shd w:val="clear" w:color="auto" w:fill="FFFFFF"/>
        </w:rPr>
        <w:t>车购置费</w:t>
      </w:r>
      <w:r>
        <w:rPr>
          <w:rFonts w:hint="default" w:ascii="Times New Roman" w:hAnsi="Times New Roman" w:eastAsia="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万元，费用支出</w:t>
      </w:r>
      <w:r>
        <w:rPr>
          <w:rFonts w:hint="default" w:ascii="Times New Roman" w:hAnsi="Times New Roman" w:eastAsia="方正仿宋_GBK"/>
          <w:b w:val="0"/>
          <w:bCs w:val="0"/>
          <w:color w:val="auto"/>
          <w:sz w:val="32"/>
          <w:szCs w:val="32"/>
          <w:highlight w:val="none"/>
          <w:shd w:val="clear" w:color="auto" w:fill="FFFFFF"/>
        </w:rPr>
        <w:t>较年初预算数无增减</w:t>
      </w: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主要原因是本单位2023年度未发生该项支出，与上年决算数持平</w:t>
      </w:r>
    </w:p>
    <w:p w14:paraId="2B3C9721">
      <w:pPr>
        <w:pStyle w:val="9"/>
        <w:snapToGrid w:val="0"/>
        <w:spacing w:before="0" w:beforeAutospacing="0" w:after="0" w:afterAutospacing="0" w:line="596" w:lineRule="exact"/>
        <w:ind w:firstLine="640" w:firstLineChars="200"/>
        <w:jc w:val="both"/>
        <w:rPr>
          <w:rFonts w:hint="default" w:ascii="Times New Roman" w:hAnsi="方正仿宋_GBK" w:eastAsia="方正仿宋_GBK" w:cs="方正仿宋_GBK"/>
          <w:b w:val="0"/>
          <w:bCs w:val="0"/>
          <w:color w:val="auto"/>
          <w:sz w:val="32"/>
          <w:szCs w:val="32"/>
          <w:highlight w:val="none"/>
        </w:rPr>
      </w:pPr>
      <w:r>
        <w:rPr>
          <w:rFonts w:ascii="Times New Roman" w:hAnsi="方正仿宋_GBK" w:eastAsia="方正仿宋_GBK" w:cs="方正仿宋_GBK"/>
          <w:b w:val="0"/>
          <w:bCs w:val="0"/>
          <w:color w:val="auto"/>
          <w:sz w:val="32"/>
          <w:szCs w:val="32"/>
          <w:highlight w:val="none"/>
          <w:shd w:val="clear" w:color="auto" w:fill="FFFFFF"/>
        </w:rPr>
        <w:t>公务</w:t>
      </w:r>
      <w:r>
        <w:rPr>
          <w:rFonts w:hint="eastAsia" w:ascii="Times New Roman" w:hAnsi="方正仿宋_GBK" w:eastAsia="方正仿宋_GBK" w:cs="方正仿宋_GBK"/>
          <w:b w:val="0"/>
          <w:bCs w:val="0"/>
          <w:color w:val="auto"/>
          <w:sz w:val="32"/>
          <w:szCs w:val="32"/>
          <w:highlight w:val="none"/>
          <w:shd w:val="clear" w:color="auto" w:fill="FFFFFF"/>
          <w:lang w:eastAsia="zh-CN"/>
        </w:rPr>
        <w:t>用</w:t>
      </w:r>
      <w:r>
        <w:rPr>
          <w:rFonts w:ascii="Times New Roman" w:hAnsi="方正仿宋_GBK" w:eastAsia="方正仿宋_GBK" w:cs="方正仿宋_GBK"/>
          <w:b w:val="0"/>
          <w:bCs w:val="0"/>
          <w:color w:val="auto"/>
          <w:sz w:val="32"/>
          <w:szCs w:val="32"/>
          <w:highlight w:val="none"/>
          <w:shd w:val="clear" w:color="auto" w:fill="FFFFFF"/>
        </w:rPr>
        <w:t>车运行维护费</w:t>
      </w:r>
      <w:r>
        <w:rPr>
          <w:rFonts w:hint="default" w:ascii="Times New Roman" w:hAnsi="Times New Roman" w:eastAsia="方正仿宋_GBK"/>
          <w:b w:val="0"/>
          <w:bCs w:val="0"/>
          <w:color w:val="auto"/>
          <w:sz w:val="32"/>
          <w:szCs w:val="32"/>
          <w:highlight w:val="none"/>
          <w:shd w:val="clear" w:color="auto" w:fill="FFFFFF"/>
        </w:rPr>
        <w:t>2.56</w:t>
      </w:r>
      <w:r>
        <w:rPr>
          <w:rFonts w:ascii="Times New Roman" w:hAnsi="方正仿宋_GBK" w:eastAsia="方正仿宋_GBK" w:cs="方正仿宋_GBK"/>
          <w:b w:val="0"/>
          <w:bCs w:val="0"/>
          <w:color w:val="auto"/>
          <w:sz w:val="32"/>
          <w:szCs w:val="32"/>
          <w:highlight w:val="none"/>
          <w:shd w:val="clear" w:color="auto" w:fill="FFFFFF"/>
        </w:rPr>
        <w:t>万元</w:t>
      </w:r>
      <w:r>
        <w:rPr>
          <w:rFonts w:hint="eastAsia" w:ascii="Times New Roman" w:hAnsi="方正仿宋_GBK" w:eastAsia="方正仿宋_GBK" w:cs="方正仿宋_GBK"/>
          <w:b w:val="0"/>
          <w:bCs w:val="0"/>
          <w:color w:val="auto"/>
          <w:sz w:val="32"/>
          <w:szCs w:val="32"/>
          <w:highlight w:val="none"/>
          <w:shd w:val="clear" w:color="auto" w:fill="FFFFFF"/>
          <w:lang w:eastAsia="zh-CN"/>
        </w:rPr>
        <w:t>，</w:t>
      </w:r>
      <w:r>
        <w:rPr>
          <w:rFonts w:ascii="Times New Roman" w:hAnsi="方正仿宋_GBK" w:eastAsia="方正仿宋_GBK" w:cs="方正仿宋_GBK"/>
          <w:b w:val="0"/>
          <w:bCs w:val="0"/>
          <w:color w:val="auto"/>
          <w:sz w:val="32"/>
          <w:szCs w:val="32"/>
          <w:highlight w:val="none"/>
          <w:shd w:val="clear" w:color="auto" w:fill="FFFFFF"/>
        </w:rPr>
        <w:t>主要用于</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交易中心车辆开展</w:t>
      </w:r>
      <w:r>
        <w:rPr>
          <w:rFonts w:hint="eastAsia" w:ascii="Times New Roman" w:hAnsi="方正仿宋_GBK" w:eastAsia="方正仿宋_GBK" w:cs="方正仿宋_GBK"/>
          <w:b w:val="0"/>
          <w:bCs w:val="0"/>
          <w:color w:val="auto"/>
          <w:sz w:val="32"/>
          <w:szCs w:val="32"/>
          <w:highlight w:val="none"/>
          <w:shd w:val="clear" w:color="auto" w:fill="FFFFFF"/>
        </w:rPr>
        <w:t>各类</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招投标</w:t>
      </w:r>
      <w:r>
        <w:rPr>
          <w:rFonts w:hint="eastAsia" w:ascii="Times New Roman" w:hAnsi="方正仿宋_GBK" w:eastAsia="方正仿宋_GBK" w:cs="方正仿宋_GBK"/>
          <w:b w:val="0"/>
          <w:bCs w:val="0"/>
          <w:color w:val="auto"/>
          <w:sz w:val="32"/>
          <w:szCs w:val="32"/>
          <w:highlight w:val="none"/>
          <w:shd w:val="clear" w:color="auto" w:fill="FFFFFF"/>
        </w:rPr>
        <w:t>交易活动</w:t>
      </w:r>
      <w:r>
        <w:rPr>
          <w:rFonts w:hint="eastAsia" w:ascii="Times New Roman" w:hAnsi="方正仿宋_GBK" w:eastAsia="方正仿宋_GBK" w:cs="方正仿宋_GBK"/>
          <w:b w:val="0"/>
          <w:bCs w:val="0"/>
          <w:color w:val="auto"/>
          <w:sz w:val="32"/>
          <w:szCs w:val="32"/>
          <w:highlight w:val="none"/>
          <w:shd w:val="clear" w:color="auto" w:fill="FFFFFF"/>
          <w:lang w:eastAsia="zh-CN"/>
        </w:rPr>
        <w:t>、</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公务下乡</w:t>
      </w:r>
      <w:r>
        <w:rPr>
          <w:rFonts w:hint="eastAsia" w:ascii="Times New Roman" w:hAnsi="方正仿宋_GBK" w:eastAsia="方正仿宋_GBK" w:cs="方正仿宋_GBK"/>
          <w:b w:val="0"/>
          <w:bCs w:val="0"/>
          <w:color w:val="auto"/>
          <w:sz w:val="32"/>
          <w:szCs w:val="32"/>
          <w:highlight w:val="none"/>
          <w:shd w:val="clear" w:color="auto" w:fill="FFFFFF"/>
        </w:rPr>
        <w:t>办理</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工作</w:t>
      </w:r>
      <w:r>
        <w:rPr>
          <w:rFonts w:hint="eastAsia" w:hAnsi="方正仿宋_GBK" w:eastAsia="方正仿宋_GBK" w:cs="方正仿宋_GBK"/>
          <w:b w:val="0"/>
          <w:bCs w:val="0"/>
          <w:color w:val="auto"/>
          <w:sz w:val="32"/>
          <w:szCs w:val="32"/>
          <w:highlight w:val="none"/>
          <w:shd w:val="clear" w:color="auto" w:fill="FFFFFF"/>
          <w:lang w:val="en-US" w:eastAsia="zh-CN"/>
        </w:rPr>
        <w:t>的</w:t>
      </w:r>
      <w:r>
        <w:rPr>
          <w:rFonts w:ascii="Times New Roman" w:hAnsi="方正仿宋_GBK" w:eastAsia="方正仿宋_GBK" w:cs="方正仿宋_GBK"/>
          <w:b w:val="0"/>
          <w:bCs w:val="0"/>
          <w:color w:val="auto"/>
          <w:sz w:val="32"/>
          <w:szCs w:val="32"/>
          <w:highlight w:val="none"/>
          <w:shd w:val="clear" w:color="auto" w:fill="FFFFFF"/>
        </w:rPr>
        <w:t>加油、维修保养、保险等</w:t>
      </w:r>
      <w:r>
        <w:rPr>
          <w:rFonts w:hint="eastAsia" w:hAnsi="方正仿宋_GBK" w:eastAsia="方正仿宋_GBK" w:cs="方正仿宋_GBK"/>
          <w:b w:val="0"/>
          <w:bCs w:val="0"/>
          <w:color w:val="auto"/>
          <w:sz w:val="32"/>
          <w:szCs w:val="32"/>
          <w:highlight w:val="none"/>
          <w:shd w:val="clear" w:color="auto" w:fill="FFFFFF"/>
          <w:lang w:eastAsia="zh-CN"/>
        </w:rPr>
        <w:t>开支</w:t>
      </w:r>
      <w:r>
        <w:rPr>
          <w:rFonts w:ascii="Times New Roman" w:hAnsi="方正仿宋_GBK" w:eastAsia="方正仿宋_GBK" w:cs="方正仿宋_GBK"/>
          <w:b w:val="0"/>
          <w:bCs w:val="0"/>
          <w:color w:val="auto"/>
          <w:sz w:val="32"/>
          <w:szCs w:val="32"/>
          <w:highlight w:val="none"/>
          <w:shd w:val="clear" w:color="auto" w:fill="FFFFFF"/>
        </w:rPr>
        <w:t>。费用支出</w:t>
      </w:r>
      <w:r>
        <w:rPr>
          <w:rFonts w:hint="default" w:ascii="Times New Roman" w:hAnsi="Times New Roman" w:eastAsia="方正仿宋_GBK"/>
          <w:b w:val="0"/>
          <w:bCs w:val="0"/>
          <w:color w:val="auto"/>
          <w:sz w:val="32"/>
          <w:szCs w:val="32"/>
          <w:highlight w:val="none"/>
          <w:shd w:val="clear" w:color="auto" w:fill="FFFFFF"/>
        </w:rPr>
        <w:t>较年初预算数减少0.14万元，下降5.2%</w:t>
      </w:r>
      <w:r>
        <w:rPr>
          <w:rFonts w:ascii="Times New Roman" w:hAnsi="方正仿宋_GBK" w:eastAsia="方正仿宋_GBK" w:cs="方正仿宋_GBK"/>
          <w:b w:val="0"/>
          <w:bCs w:val="0"/>
          <w:color w:val="auto"/>
          <w:sz w:val="32"/>
          <w:szCs w:val="32"/>
          <w:highlight w:val="none"/>
          <w:shd w:val="clear" w:color="auto" w:fill="FFFFFF"/>
        </w:rPr>
        <w:t>，主要原因是</w:t>
      </w:r>
      <w:r>
        <w:rPr>
          <w:rFonts w:hint="eastAsia" w:ascii="Times New Roman" w:hAnsi="方正仿宋_GBK" w:eastAsia="方正仿宋_GBK" w:cs="方正仿宋_GBK"/>
          <w:b w:val="0"/>
          <w:bCs w:val="0"/>
          <w:color w:val="auto"/>
          <w:sz w:val="32"/>
          <w:szCs w:val="32"/>
          <w:highlight w:val="none"/>
          <w:shd w:val="clear" w:color="auto" w:fill="FFFFFF"/>
          <w:lang w:eastAsia="zh-CN"/>
        </w:rPr>
        <w:t>本年实际开支公车维护有所减少，导致费用下降</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较上年支出数减少0.43万元，下降14.4%</w:t>
      </w:r>
      <w:r>
        <w:rPr>
          <w:rFonts w:ascii="Times New Roman" w:hAnsi="方正仿宋_GBK" w:eastAsia="方正仿宋_GBK" w:cs="方正仿宋_GBK"/>
          <w:b w:val="0"/>
          <w:bCs w:val="0"/>
          <w:color w:val="auto"/>
          <w:sz w:val="32"/>
          <w:szCs w:val="32"/>
          <w:highlight w:val="none"/>
          <w:shd w:val="clear" w:color="auto" w:fill="FFFFFF"/>
        </w:rPr>
        <w:t>，</w:t>
      </w:r>
      <w:r>
        <w:rPr>
          <w:rFonts w:ascii="Times New Roman" w:hAnsi="Times New Roman" w:eastAsia="方正仿宋_GBK" w:cs="方正仿宋_GBK"/>
          <w:b w:val="0"/>
          <w:bCs w:val="0"/>
          <w:color w:val="auto"/>
          <w:sz w:val="32"/>
          <w:szCs w:val="32"/>
          <w:highlight w:val="none"/>
          <w:shd w:val="clear" w:color="auto" w:fill="FFFFFF"/>
        </w:rPr>
        <w:t>主要原因是</w:t>
      </w:r>
      <w:r>
        <w:rPr>
          <w:rFonts w:hint="eastAsia" w:ascii="Times New Roman" w:hAnsi="Times New Roman" w:eastAsia="方正仿宋_GBK" w:cs="方正仿宋_GBK"/>
          <w:b w:val="0"/>
          <w:bCs w:val="0"/>
          <w:color w:val="auto"/>
          <w:sz w:val="32"/>
          <w:highlight w:val="none"/>
          <w:lang w:val="en-US" w:eastAsia="zh-CN"/>
        </w:rPr>
        <w:t>严控“三公”经费，缩减开支</w:t>
      </w:r>
      <w:r>
        <w:rPr>
          <w:rFonts w:ascii="Times New Roman" w:hAnsi="方正仿宋_GBK" w:eastAsia="方正仿宋_GBK" w:cs="方正仿宋_GBK"/>
          <w:b w:val="0"/>
          <w:bCs w:val="0"/>
          <w:color w:val="auto"/>
          <w:sz w:val="32"/>
          <w:szCs w:val="32"/>
          <w:highlight w:val="none"/>
          <w:shd w:val="clear" w:color="auto" w:fill="FFFFFF"/>
        </w:rPr>
        <w:t>。</w:t>
      </w:r>
    </w:p>
    <w:p w14:paraId="12F3CBE5">
      <w:pPr>
        <w:pStyle w:val="9"/>
        <w:snapToGrid w:val="0"/>
        <w:spacing w:before="0" w:beforeAutospacing="0" w:after="0" w:afterAutospacing="0" w:line="596" w:lineRule="exact"/>
        <w:ind w:firstLine="640" w:firstLineChars="200"/>
        <w:jc w:val="both"/>
        <w:rPr>
          <w:rFonts w:hint="default" w:ascii="Times New Roman" w:hAnsi="方正仿宋_GBK" w:eastAsia="方正仿宋_GBK" w:cs="方正仿宋_GBK"/>
          <w:b w:val="0"/>
          <w:bCs w:val="0"/>
          <w:color w:val="auto"/>
          <w:sz w:val="32"/>
          <w:szCs w:val="32"/>
          <w:highlight w:val="none"/>
        </w:rPr>
      </w:pPr>
      <w:r>
        <w:rPr>
          <w:rFonts w:ascii="Times New Roman" w:hAnsi="方正仿宋_GBK" w:eastAsia="方正仿宋_GBK" w:cs="方正仿宋_GBK"/>
          <w:b w:val="0"/>
          <w:bCs w:val="0"/>
          <w:color w:val="auto"/>
          <w:sz w:val="32"/>
          <w:szCs w:val="32"/>
          <w:highlight w:val="none"/>
          <w:shd w:val="clear" w:color="auto" w:fill="FFFFFF"/>
        </w:rPr>
        <w:t>公务接待费</w:t>
      </w:r>
      <w:r>
        <w:rPr>
          <w:rFonts w:hint="default" w:ascii="Times New Roman" w:hAnsi="Times New Roman" w:eastAsia="方正仿宋_GBK"/>
          <w:b w:val="0"/>
          <w:bCs w:val="0"/>
          <w:color w:val="auto"/>
          <w:sz w:val="32"/>
          <w:szCs w:val="32"/>
          <w:highlight w:val="none"/>
          <w:shd w:val="clear" w:color="auto" w:fill="FFFFFF"/>
        </w:rPr>
        <w:t>0.08</w:t>
      </w:r>
      <w:r>
        <w:rPr>
          <w:rFonts w:ascii="Times New Roman" w:hAnsi="方正仿宋_GBK" w:eastAsia="方正仿宋_GBK" w:cs="方正仿宋_GBK"/>
          <w:b w:val="0"/>
          <w:bCs w:val="0"/>
          <w:color w:val="auto"/>
          <w:sz w:val="32"/>
          <w:szCs w:val="32"/>
          <w:highlight w:val="none"/>
          <w:shd w:val="clear" w:color="auto" w:fill="FFFFFF"/>
        </w:rPr>
        <w:t>万元，</w:t>
      </w:r>
      <w:r>
        <w:rPr>
          <w:rFonts w:hint="eastAsia" w:ascii="Times New Roman" w:hAnsi="方正仿宋_GBK" w:eastAsia="方正仿宋_GBK" w:cs="方正仿宋_GBK"/>
          <w:b w:val="0"/>
          <w:bCs w:val="0"/>
          <w:color w:val="auto"/>
          <w:sz w:val="32"/>
          <w:szCs w:val="32"/>
          <w:highlight w:val="none"/>
          <w:shd w:val="clear" w:color="auto" w:fill="FFFFFF"/>
        </w:rPr>
        <w:t>主要用于接待</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上级部门公共交易事务检查工作、向上对接招投标</w:t>
      </w:r>
      <w:r>
        <w:rPr>
          <w:rFonts w:hint="eastAsia" w:hAnsi="方正仿宋_GBK" w:eastAsia="方正仿宋_GBK" w:cs="方正仿宋_GBK"/>
          <w:b w:val="0"/>
          <w:bCs w:val="0"/>
          <w:color w:val="auto"/>
          <w:sz w:val="32"/>
          <w:szCs w:val="32"/>
          <w:highlight w:val="none"/>
          <w:shd w:val="clear" w:color="auto" w:fill="FFFFFF"/>
          <w:lang w:val="en-US" w:eastAsia="zh-CN"/>
        </w:rPr>
        <w:t>等工作</w:t>
      </w:r>
      <w:r>
        <w:rPr>
          <w:rFonts w:ascii="Times New Roman" w:hAnsi="方正仿宋_GBK" w:eastAsia="方正仿宋_GBK" w:cs="方正仿宋_GBK"/>
          <w:b w:val="0"/>
          <w:bCs w:val="0"/>
          <w:color w:val="auto"/>
          <w:sz w:val="32"/>
          <w:szCs w:val="32"/>
          <w:highlight w:val="none"/>
          <w:shd w:val="clear" w:color="auto" w:fill="FFFFFF"/>
        </w:rPr>
        <w:t>。费用支出</w:t>
      </w:r>
      <w:r>
        <w:rPr>
          <w:rFonts w:hint="default" w:ascii="Times New Roman" w:hAnsi="Times New Roman" w:eastAsia="方正仿宋_GBK"/>
          <w:b w:val="0"/>
          <w:bCs w:val="0"/>
          <w:color w:val="auto"/>
          <w:sz w:val="32"/>
          <w:szCs w:val="32"/>
          <w:highlight w:val="none"/>
          <w:shd w:val="clear" w:color="auto" w:fill="FFFFFF"/>
        </w:rPr>
        <w:t>较年初预算数减少1.92万元，下降96.0%</w:t>
      </w:r>
      <w:r>
        <w:rPr>
          <w:rFonts w:hint="eastAsia" w:ascii="Times New Roman" w:hAnsi="Times New Roman" w:eastAsia="方正仿宋_GBK"/>
          <w:b w:val="0"/>
          <w:bCs w:val="0"/>
          <w:color w:val="auto"/>
          <w:sz w:val="32"/>
          <w:szCs w:val="32"/>
          <w:highlight w:val="none"/>
          <w:shd w:val="clear" w:color="auto" w:fill="FFFFFF"/>
          <w:lang w:eastAsia="zh-CN"/>
        </w:rPr>
        <w:t>，</w:t>
      </w:r>
      <w:r>
        <w:rPr>
          <w:rFonts w:hint="eastAsia" w:ascii="Times New Roman" w:hAnsi="方正仿宋_GBK" w:eastAsia="方正仿宋_GBK" w:cs="方正仿宋_GBK"/>
          <w:b w:val="0"/>
          <w:bCs w:val="0"/>
          <w:color w:val="auto"/>
          <w:sz w:val="32"/>
          <w:szCs w:val="32"/>
          <w:highlight w:val="none"/>
          <w:shd w:val="clear" w:color="auto" w:fill="FFFFFF"/>
        </w:rPr>
        <w:t>主要原因是</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严控公务接待支出</w:t>
      </w:r>
      <w:r>
        <w:rPr>
          <w:rFonts w:ascii="Times New Roman" w:hAnsi="方正仿宋_GBK" w:eastAsia="方正仿宋_GBK" w:cs="方正仿宋_GBK"/>
          <w:b w:val="0"/>
          <w:bCs w:val="0"/>
          <w:color w:val="auto"/>
          <w:sz w:val="32"/>
          <w:szCs w:val="32"/>
          <w:highlight w:val="none"/>
          <w:shd w:val="clear" w:color="auto" w:fill="FFFFFF"/>
        </w:rPr>
        <w:t>。</w:t>
      </w:r>
      <w:r>
        <w:rPr>
          <w:rFonts w:hint="default" w:ascii="Times New Roman" w:hAnsi="Times New Roman" w:eastAsia="方正仿宋_GBK"/>
          <w:b w:val="0"/>
          <w:bCs w:val="0"/>
          <w:color w:val="auto"/>
          <w:sz w:val="32"/>
          <w:szCs w:val="32"/>
          <w:highlight w:val="none"/>
          <w:shd w:val="clear" w:color="auto" w:fill="FFFFFF"/>
        </w:rPr>
        <w:t>较上年支出数减少1.25万元，下降94.0%</w:t>
      </w:r>
      <w:r>
        <w:rPr>
          <w:rFonts w:ascii="Times New Roman" w:hAnsi="方正仿宋_GBK" w:eastAsia="方正仿宋_GBK" w:cs="方正仿宋_GBK"/>
          <w:b w:val="0"/>
          <w:bCs w:val="0"/>
          <w:color w:val="auto"/>
          <w:sz w:val="32"/>
          <w:szCs w:val="32"/>
          <w:highlight w:val="none"/>
          <w:shd w:val="clear" w:color="auto" w:fill="FFFFFF"/>
        </w:rPr>
        <w:t>，</w:t>
      </w:r>
      <w:r>
        <w:rPr>
          <w:rFonts w:hint="eastAsia" w:ascii="Times New Roman" w:hAnsi="方正仿宋_GBK" w:eastAsia="方正仿宋_GBK" w:cs="方正仿宋_GBK"/>
          <w:b w:val="0"/>
          <w:bCs w:val="0"/>
          <w:color w:val="auto"/>
          <w:sz w:val="32"/>
          <w:szCs w:val="32"/>
          <w:highlight w:val="none"/>
          <w:shd w:val="clear" w:color="auto" w:fill="FFFFFF"/>
        </w:rPr>
        <w:t>主要原因是</w:t>
      </w:r>
      <w:r>
        <w:rPr>
          <w:rFonts w:hint="eastAsia" w:ascii="Times New Roman" w:hAnsi="方正仿宋_GBK" w:eastAsia="方正仿宋_GBK" w:cs="方正仿宋_GBK"/>
          <w:b w:val="0"/>
          <w:bCs w:val="0"/>
          <w:color w:val="auto"/>
          <w:sz w:val="32"/>
          <w:szCs w:val="32"/>
          <w:highlight w:val="none"/>
          <w:shd w:val="clear" w:color="auto" w:fill="FFFFFF"/>
          <w:lang w:val="en-US" w:eastAsia="zh-CN"/>
        </w:rPr>
        <w:t>严控公务接待支出</w:t>
      </w:r>
      <w:r>
        <w:rPr>
          <w:rFonts w:ascii="Times New Roman" w:hAnsi="方正仿宋_GBK" w:eastAsia="方正仿宋_GBK" w:cs="方正仿宋_GBK"/>
          <w:b w:val="0"/>
          <w:bCs w:val="0"/>
          <w:color w:val="auto"/>
          <w:sz w:val="32"/>
          <w:szCs w:val="32"/>
          <w:highlight w:val="none"/>
          <w:shd w:val="clear" w:color="auto" w:fill="FFFFFF"/>
        </w:rPr>
        <w:t>。</w:t>
      </w:r>
    </w:p>
    <w:p w14:paraId="207EDDB6">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（三）“三公”经费实物量情况</w:t>
      </w:r>
    </w:p>
    <w:p w14:paraId="0D3AAEC4">
      <w:pPr>
        <w:pStyle w:val="9"/>
        <w:snapToGrid w:val="0"/>
        <w:spacing w:before="0" w:beforeAutospacing="0" w:after="0" w:afterAutospacing="0" w:line="596" w:lineRule="exact"/>
        <w:ind w:firstLine="640" w:firstLineChars="200"/>
        <w:jc w:val="both"/>
        <w:rPr>
          <w:rFonts w:hint="default" w:ascii="Times New Roman" w:hAnsi="方正仿宋_GBK" w:eastAsia="方正仿宋_GBK" w:cs="方正仿宋_GBK"/>
          <w:b w:val="0"/>
          <w:bCs w:val="0"/>
          <w:color w:val="auto"/>
          <w:sz w:val="32"/>
          <w:szCs w:val="32"/>
          <w:highlight w:val="none"/>
        </w:rPr>
      </w:pP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年度本</w:t>
      </w:r>
      <w:r>
        <w:rPr>
          <w:rFonts w:hint="eastAsia" w:ascii="Times New Roman" w:hAnsi="方正仿宋_GBK" w:eastAsia="方正仿宋_GBK" w:cs="方正仿宋_GBK"/>
          <w:b w:val="0"/>
          <w:bCs w:val="0"/>
          <w:color w:val="auto"/>
          <w:sz w:val="32"/>
          <w:szCs w:val="32"/>
          <w:highlight w:val="none"/>
          <w:shd w:val="clear" w:color="auto" w:fill="FFFFFF"/>
          <w:lang w:eastAsia="zh-CN"/>
        </w:rPr>
        <w:t>单位</w:t>
      </w:r>
      <w:r>
        <w:rPr>
          <w:rFonts w:ascii="Times New Roman" w:hAnsi="方正仿宋_GBK" w:eastAsia="方正仿宋_GBK" w:cs="方正仿宋_GBK"/>
          <w:b w:val="0"/>
          <w:bCs w:val="0"/>
          <w:color w:val="auto"/>
          <w:sz w:val="32"/>
          <w:szCs w:val="32"/>
          <w:highlight w:val="none"/>
          <w:shd w:val="clear" w:color="auto" w:fill="FFFFFF"/>
        </w:rPr>
        <w:t>因公出国（境）共计</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个团组，</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人；公务用车购置</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辆，公务车保有量为</w:t>
      </w:r>
      <w:r>
        <w:rPr>
          <w:rFonts w:hint="default" w:ascii="Times New Roman" w:hAnsi="Times New Roman" w:eastAsia="方正仿宋_GBK"/>
          <w:b w:val="0"/>
          <w:bCs w:val="0"/>
          <w:color w:val="auto"/>
          <w:sz w:val="32"/>
          <w:szCs w:val="32"/>
          <w:highlight w:val="none"/>
          <w:shd w:val="clear" w:color="auto" w:fill="FFFFFF"/>
        </w:rPr>
        <w:t>1</w:t>
      </w:r>
      <w:r>
        <w:rPr>
          <w:rFonts w:ascii="Times New Roman" w:hAnsi="方正仿宋_GBK" w:eastAsia="方正仿宋_GBK" w:cs="方正仿宋_GBK"/>
          <w:b w:val="0"/>
          <w:bCs w:val="0"/>
          <w:color w:val="auto"/>
          <w:sz w:val="32"/>
          <w:szCs w:val="32"/>
          <w:highlight w:val="none"/>
          <w:shd w:val="clear" w:color="auto" w:fill="FFFFFF"/>
        </w:rPr>
        <w:t>辆；国内公务接待</w:t>
      </w:r>
      <w:r>
        <w:rPr>
          <w:rFonts w:hint="default" w:ascii="Times New Roman" w:hAnsi="Times New Roman" w:eastAsia="方正仿宋_GBK"/>
          <w:b w:val="0"/>
          <w:bCs w:val="0"/>
          <w:color w:val="auto"/>
          <w:sz w:val="32"/>
          <w:szCs w:val="32"/>
          <w:highlight w:val="none"/>
          <w:shd w:val="clear" w:color="auto" w:fill="FFFFFF"/>
        </w:rPr>
        <w:t>1</w:t>
      </w:r>
      <w:r>
        <w:rPr>
          <w:rFonts w:ascii="Times New Roman" w:hAnsi="方正仿宋_GBK" w:eastAsia="方正仿宋_GBK" w:cs="方正仿宋_GBK"/>
          <w:b w:val="0"/>
          <w:bCs w:val="0"/>
          <w:color w:val="auto"/>
          <w:sz w:val="32"/>
          <w:szCs w:val="32"/>
          <w:highlight w:val="none"/>
          <w:shd w:val="clear" w:color="auto" w:fill="FFFFFF"/>
        </w:rPr>
        <w:t>批次</w:t>
      </w:r>
      <w:r>
        <w:rPr>
          <w:rFonts w:hint="default" w:ascii="Times New Roman" w:hAnsi="Times New Roman" w:eastAsia="方正仿宋_GBK"/>
          <w:b w:val="0"/>
          <w:bCs w:val="0"/>
          <w:color w:val="auto"/>
          <w:sz w:val="32"/>
          <w:szCs w:val="32"/>
          <w:highlight w:val="none"/>
          <w:shd w:val="clear" w:color="auto" w:fill="FFFFFF"/>
        </w:rPr>
        <w:t>10</w:t>
      </w:r>
      <w:r>
        <w:rPr>
          <w:rFonts w:ascii="Times New Roman" w:hAnsi="方正仿宋_GBK" w:eastAsia="方正仿宋_GBK" w:cs="方正仿宋_GBK"/>
          <w:b w:val="0"/>
          <w:bCs w:val="0"/>
          <w:color w:val="auto"/>
          <w:sz w:val="32"/>
          <w:szCs w:val="32"/>
          <w:highlight w:val="none"/>
          <w:shd w:val="clear" w:color="auto" w:fill="FFFFFF"/>
        </w:rPr>
        <w:t>人，其中：国内外事接待</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批次，</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人；国（境）外公务接待</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批次，</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人。</w:t>
      </w: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年本</w:t>
      </w:r>
      <w:r>
        <w:rPr>
          <w:rFonts w:hint="eastAsia" w:ascii="Times New Roman" w:hAnsi="方正仿宋_GBK" w:eastAsia="方正仿宋_GBK" w:cs="方正仿宋_GBK"/>
          <w:b w:val="0"/>
          <w:bCs w:val="0"/>
          <w:color w:val="auto"/>
          <w:sz w:val="32"/>
          <w:szCs w:val="32"/>
          <w:highlight w:val="none"/>
          <w:shd w:val="clear" w:color="auto" w:fill="FFFFFF"/>
          <w:lang w:eastAsia="zh-CN"/>
        </w:rPr>
        <w:t>单位</w:t>
      </w:r>
      <w:r>
        <w:rPr>
          <w:rFonts w:ascii="Times New Roman" w:hAnsi="方正仿宋_GBK" w:eastAsia="方正仿宋_GBK" w:cs="方正仿宋_GBK"/>
          <w:b w:val="0"/>
          <w:bCs w:val="0"/>
          <w:color w:val="auto"/>
          <w:sz w:val="32"/>
          <w:szCs w:val="32"/>
          <w:highlight w:val="none"/>
          <w:shd w:val="clear" w:color="auto" w:fill="FFFFFF"/>
        </w:rPr>
        <w:t>人均接待费</w:t>
      </w:r>
      <w:r>
        <w:rPr>
          <w:rFonts w:hint="default" w:ascii="Times New Roman" w:hAnsi="Times New Roman" w:eastAsia="方正仿宋_GBK"/>
          <w:b w:val="0"/>
          <w:bCs w:val="0"/>
          <w:color w:val="auto"/>
          <w:sz w:val="32"/>
          <w:szCs w:val="32"/>
          <w:highlight w:val="none"/>
          <w:shd w:val="clear" w:color="auto" w:fill="FFFFFF"/>
        </w:rPr>
        <w:t>79.00</w:t>
      </w:r>
      <w:r>
        <w:rPr>
          <w:rFonts w:ascii="Times New Roman" w:hAnsi="方正仿宋_GBK" w:eastAsia="方正仿宋_GBK" w:cs="方正仿宋_GBK"/>
          <w:b w:val="0"/>
          <w:bCs w:val="0"/>
          <w:color w:val="auto"/>
          <w:sz w:val="32"/>
          <w:szCs w:val="32"/>
          <w:highlight w:val="none"/>
          <w:shd w:val="clear" w:color="auto" w:fill="FFFFFF"/>
        </w:rPr>
        <w:t>元，车均购置费</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万元，车均维护费</w:t>
      </w:r>
      <w:r>
        <w:rPr>
          <w:rFonts w:hint="default" w:ascii="Times New Roman" w:hAnsi="Times New Roman" w:eastAsia="方正仿宋_GBK"/>
          <w:b w:val="0"/>
          <w:bCs w:val="0"/>
          <w:color w:val="auto"/>
          <w:sz w:val="32"/>
          <w:szCs w:val="32"/>
          <w:highlight w:val="none"/>
          <w:shd w:val="clear" w:color="auto" w:fill="FFFFFF"/>
        </w:rPr>
        <w:t>2.56</w:t>
      </w:r>
      <w:r>
        <w:rPr>
          <w:rFonts w:ascii="Times New Roman" w:hAnsi="方正仿宋_GBK" w:eastAsia="方正仿宋_GBK" w:cs="方正仿宋_GBK"/>
          <w:b w:val="0"/>
          <w:bCs w:val="0"/>
          <w:color w:val="auto"/>
          <w:sz w:val="32"/>
          <w:szCs w:val="32"/>
          <w:highlight w:val="none"/>
          <w:shd w:val="clear" w:color="auto" w:fill="FFFFFF"/>
        </w:rPr>
        <w:t>万元。</w:t>
      </w:r>
    </w:p>
    <w:p w14:paraId="3E147F64">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Times New Roman" w:hAnsi="方正黑体_GBK" w:eastAsia="方正黑体_GBK" w:cs="方正黑体_GBK"/>
          <w:b w:val="0"/>
          <w:bCs w:val="0"/>
          <w:color w:val="auto"/>
          <w:sz w:val="32"/>
          <w:szCs w:val="32"/>
          <w:highlight w:val="none"/>
          <w:shd w:val="clear" w:color="auto" w:fill="FFFFFF"/>
        </w:rPr>
      </w:pPr>
      <w:r>
        <w:rPr>
          <w:rStyle w:val="13"/>
          <w:rFonts w:ascii="Times New Roman" w:hAnsi="方正黑体_GBK" w:eastAsia="方正黑体_GBK" w:cs="方正黑体_GBK"/>
          <w:b w:val="0"/>
          <w:bCs w:val="0"/>
          <w:color w:val="auto"/>
          <w:sz w:val="32"/>
          <w:szCs w:val="32"/>
          <w:highlight w:val="none"/>
          <w:shd w:val="clear" w:color="auto" w:fill="FFFFFF"/>
        </w:rPr>
        <w:t>四、其他需要说明的事项</w:t>
      </w:r>
    </w:p>
    <w:p w14:paraId="0D5A100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Fonts w:hint="default" w:ascii="Times New Roman" w:hAnsi="方正楷体_GBK" w:eastAsia="方正楷体_GBK" w:cs="方正楷体_GBK"/>
          <w:b w:val="0"/>
          <w:bCs w:val="0"/>
          <w:color w:val="auto"/>
          <w:sz w:val="32"/>
          <w:szCs w:val="32"/>
          <w:highlight w:val="none"/>
          <w:shd w:val="clear" w:color="auto" w:fill="FFFFFF"/>
        </w:rPr>
      </w:pPr>
      <w:r>
        <w:rPr>
          <w:rFonts w:ascii="Times New Roman" w:hAnsi="方正楷体_GBK" w:eastAsia="方正楷体_GBK" w:cs="方正楷体_GBK"/>
          <w:b w:val="0"/>
          <w:bCs w:val="0"/>
          <w:color w:val="auto"/>
          <w:sz w:val="32"/>
          <w:szCs w:val="32"/>
          <w:highlight w:val="none"/>
          <w:shd w:val="clear" w:color="auto" w:fill="FFFFFF"/>
        </w:rPr>
        <w:t>（一）财政拨款会议费、培训费和差旅费情况说明</w:t>
      </w:r>
    </w:p>
    <w:p w14:paraId="001463BD">
      <w:pPr>
        <w:pStyle w:val="9"/>
        <w:snapToGrid w:val="0"/>
        <w:spacing w:before="0" w:beforeAutospacing="0" w:after="0" w:afterAutospacing="0" w:line="596" w:lineRule="exact"/>
        <w:ind w:firstLine="640" w:firstLineChars="200"/>
        <w:jc w:val="both"/>
        <w:rPr>
          <w:rFonts w:hint="default" w:ascii="Times New Roman" w:hAnsi="方正仿宋_GBK" w:eastAsia="方正仿宋_GBK" w:cs="方正仿宋_GBK"/>
          <w:b w:val="0"/>
          <w:bCs w:val="0"/>
          <w:color w:val="auto"/>
          <w:sz w:val="32"/>
          <w:szCs w:val="32"/>
          <w:highlight w:val="none"/>
        </w:rPr>
      </w:pPr>
      <w:r>
        <w:rPr>
          <w:rFonts w:ascii="Times New Roman" w:hAnsi="方正仿宋_GBK" w:eastAsia="方正仿宋_GBK" w:cs="方正仿宋_GBK"/>
          <w:b w:val="0"/>
          <w:bCs w:val="0"/>
          <w:color w:val="auto"/>
          <w:sz w:val="32"/>
          <w:szCs w:val="32"/>
          <w:highlight w:val="none"/>
          <w:shd w:val="clear" w:color="auto" w:fill="FFFFFF"/>
        </w:rPr>
        <w:t>本年度会议费支出</w:t>
      </w:r>
      <w:r>
        <w:rPr>
          <w:rFonts w:hint="default" w:ascii="Times New Roman" w:hAnsi="方正仿宋_GBK" w:eastAsia="方正仿宋_GBK" w:cs="方正仿宋_GBK"/>
          <w:b w:val="0"/>
          <w:bCs w:val="0"/>
          <w:color w:val="auto"/>
          <w:sz w:val="32"/>
          <w:szCs w:val="32"/>
          <w:highlight w:val="none"/>
          <w:shd w:val="clear" w:color="auto" w:fill="FFFFFF"/>
        </w:rPr>
        <w:t>0.00</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方正仿宋_GBK" w:eastAsia="方正仿宋_GBK" w:cs="方正仿宋_GBK"/>
          <w:b w:val="0"/>
          <w:bCs w:val="0"/>
          <w:color w:val="auto"/>
          <w:sz w:val="32"/>
          <w:szCs w:val="32"/>
          <w:highlight w:val="none"/>
          <w:shd w:val="clear" w:color="auto" w:fill="FFFFFF"/>
        </w:rPr>
        <w:t>与2023年度相比，无增减</w:t>
      </w:r>
      <w:r>
        <w:rPr>
          <w:rFonts w:ascii="Times New Roman" w:hAnsi="方正仿宋_GBK" w:eastAsia="方正仿宋_GBK" w:cs="方正仿宋_GBK"/>
          <w:b w:val="0"/>
          <w:bCs w:val="0"/>
          <w:color w:val="auto"/>
          <w:sz w:val="32"/>
          <w:szCs w:val="32"/>
          <w:highlight w:val="none"/>
          <w:shd w:val="clear" w:color="auto" w:fill="FFFFFF"/>
        </w:rPr>
        <w:t>，主要原因是</w:t>
      </w:r>
      <w:r>
        <w:rPr>
          <w:rFonts w:hint="eastAsia" w:ascii="Times New Roman" w:hAnsi="方正仿宋_GBK" w:eastAsia="方正仿宋_GBK" w:cs="方正仿宋_GBK"/>
          <w:b w:val="0"/>
          <w:bCs w:val="0"/>
          <w:color w:val="auto"/>
          <w:sz w:val="32"/>
          <w:szCs w:val="32"/>
          <w:highlight w:val="none"/>
          <w:shd w:val="clear" w:color="auto" w:fill="FFFFFF"/>
        </w:rPr>
        <w:t>与</w:t>
      </w:r>
      <w:r>
        <w:rPr>
          <w:rFonts w:hint="eastAsia" w:hAnsi="方正仿宋_GBK" w:eastAsia="方正仿宋_GBK" w:cs="方正仿宋_GBK"/>
          <w:b w:val="0"/>
          <w:bCs w:val="0"/>
          <w:color w:val="auto"/>
          <w:sz w:val="32"/>
          <w:szCs w:val="32"/>
          <w:highlight w:val="none"/>
          <w:shd w:val="clear" w:color="auto" w:fill="FFFFFF"/>
          <w:lang w:eastAsia="zh-CN"/>
        </w:rPr>
        <w:t>上年度</w:t>
      </w:r>
      <w:r>
        <w:rPr>
          <w:rFonts w:ascii="Times New Roman" w:hAnsi="方正仿宋_GBK" w:eastAsia="方正仿宋_GBK" w:cs="方正仿宋_GBK"/>
          <w:b w:val="0"/>
          <w:bCs w:val="0"/>
          <w:color w:val="auto"/>
          <w:sz w:val="32"/>
          <w:szCs w:val="32"/>
          <w:highlight w:val="none"/>
          <w:shd w:val="clear" w:color="auto" w:fill="FFFFFF"/>
        </w:rPr>
        <w:t>决算数</w:t>
      </w:r>
      <w:r>
        <w:rPr>
          <w:rFonts w:hint="eastAsia" w:ascii="Times New Roman" w:hAnsi="方正仿宋_GBK" w:eastAsia="方正仿宋_GBK" w:cs="方正仿宋_GBK"/>
          <w:b w:val="0"/>
          <w:bCs w:val="0"/>
          <w:color w:val="auto"/>
          <w:sz w:val="32"/>
          <w:szCs w:val="32"/>
          <w:highlight w:val="none"/>
          <w:shd w:val="clear" w:color="auto" w:fill="FFFFFF"/>
        </w:rPr>
        <w:t>持平</w:t>
      </w:r>
      <w:r>
        <w:rPr>
          <w:rFonts w:ascii="Times New Roman" w:hAnsi="方正仿宋_GBK" w:eastAsia="方正仿宋_GBK" w:cs="方正仿宋_GBK"/>
          <w:b w:val="0"/>
          <w:bCs w:val="0"/>
          <w:color w:val="auto"/>
          <w:sz w:val="32"/>
          <w:szCs w:val="32"/>
          <w:highlight w:val="none"/>
          <w:shd w:val="clear" w:color="auto" w:fill="FFFFFF"/>
        </w:rPr>
        <w:t>。本年度培训费支出</w:t>
      </w:r>
      <w:r>
        <w:rPr>
          <w:rFonts w:hint="default" w:ascii="Times New Roman" w:hAnsi="Times New Roman" w:eastAsia="方正仿宋_GBK"/>
          <w:b w:val="0"/>
          <w:bCs w:val="0"/>
          <w:color w:val="auto"/>
          <w:sz w:val="32"/>
          <w:szCs w:val="32"/>
          <w:highlight w:val="none"/>
          <w:shd w:val="clear" w:color="auto" w:fill="FFFFFF"/>
        </w:rPr>
        <w:t>0.45</w:t>
      </w:r>
      <w:r>
        <w:rPr>
          <w:rFonts w:ascii="Times New Roman" w:hAnsi="方正仿宋_GBK" w:eastAsia="方正仿宋_GBK" w:cs="方正仿宋_GBK"/>
          <w:b w:val="0"/>
          <w:bCs w:val="0"/>
          <w:color w:val="auto"/>
          <w:sz w:val="32"/>
          <w:szCs w:val="32"/>
          <w:highlight w:val="none"/>
          <w:shd w:val="clear" w:color="auto" w:fill="FFFFFF"/>
        </w:rPr>
        <w:t>万元，</w:t>
      </w:r>
      <w:r>
        <w:rPr>
          <w:rFonts w:hint="default" w:ascii="Times New Roman" w:hAnsi="Times New Roman" w:eastAsia="方正仿宋_GBK"/>
          <w:b w:val="0"/>
          <w:bCs w:val="0"/>
          <w:color w:val="auto"/>
          <w:sz w:val="32"/>
          <w:szCs w:val="32"/>
          <w:highlight w:val="none"/>
          <w:shd w:val="clear" w:color="auto" w:fill="FFFFFF"/>
        </w:rPr>
        <w:t>与2023年度相比，增加0.17万元，增长60.7%</w:t>
      </w:r>
      <w:r>
        <w:rPr>
          <w:rFonts w:ascii="Times New Roman" w:hAnsi="方正仿宋_GBK" w:eastAsia="方正仿宋_GBK" w:cs="方正仿宋_GBK"/>
          <w:b w:val="0"/>
          <w:bCs w:val="0"/>
          <w:color w:val="auto"/>
          <w:sz w:val="32"/>
          <w:szCs w:val="32"/>
          <w:highlight w:val="none"/>
          <w:shd w:val="clear" w:color="auto" w:fill="FFFFFF"/>
        </w:rPr>
        <w:t>，主要原因是</w:t>
      </w:r>
      <w:r>
        <w:rPr>
          <w:rFonts w:hint="eastAsia" w:ascii="Times New Roman" w:hAnsi="方正仿宋_GBK" w:eastAsia="方正仿宋_GBK" w:cs="方正仿宋_GBK"/>
          <w:b w:val="0"/>
          <w:bCs w:val="0"/>
          <w:color w:val="auto"/>
          <w:sz w:val="32"/>
          <w:szCs w:val="32"/>
          <w:highlight w:val="none"/>
          <w:shd w:val="clear" w:color="auto" w:fill="FFFFFF"/>
          <w:lang w:eastAsia="zh-CN"/>
        </w:rPr>
        <w:t>外出培训有所增加</w:t>
      </w:r>
      <w:r>
        <w:rPr>
          <w:rFonts w:ascii="Times New Roman" w:hAnsi="方正仿宋_GBK" w:eastAsia="方正仿宋_GBK" w:cs="方正仿宋_GBK"/>
          <w:b w:val="0"/>
          <w:bCs w:val="0"/>
          <w:color w:val="auto"/>
          <w:sz w:val="32"/>
          <w:szCs w:val="32"/>
          <w:highlight w:val="none"/>
          <w:shd w:val="clear" w:color="auto" w:fill="FFFFFF"/>
        </w:rPr>
        <w:t>。本年度差旅费支出</w:t>
      </w:r>
      <w:r>
        <w:rPr>
          <w:rFonts w:hint="default" w:ascii="Times New Roman" w:hAnsi="Times New Roman" w:eastAsia="方正仿宋_GBK"/>
          <w:b w:val="0"/>
          <w:bCs w:val="0"/>
          <w:color w:val="auto"/>
          <w:sz w:val="32"/>
          <w:szCs w:val="32"/>
          <w:highlight w:val="none"/>
          <w:shd w:val="clear" w:color="auto" w:fill="FFFFFF"/>
        </w:rPr>
        <w:t>6.87</w:t>
      </w:r>
      <w:r>
        <w:rPr>
          <w:rFonts w:ascii="Times New Roman" w:hAnsi="方正仿宋_GBK" w:eastAsia="方正仿宋_GBK" w:cs="方正仿宋_GBK"/>
          <w:b w:val="0"/>
          <w:bCs w:val="0"/>
          <w:color w:val="auto"/>
          <w:sz w:val="32"/>
          <w:szCs w:val="32"/>
          <w:highlight w:val="none"/>
        </w:rPr>
        <w:t>万元，</w:t>
      </w:r>
      <w:r>
        <w:rPr>
          <w:rFonts w:hint="default" w:ascii="Times New Roman" w:hAnsi="Times New Roman" w:eastAsia="方正仿宋_GBK"/>
          <w:b w:val="0"/>
          <w:bCs w:val="0"/>
          <w:color w:val="auto"/>
          <w:sz w:val="32"/>
          <w:szCs w:val="32"/>
          <w:highlight w:val="none"/>
          <w:shd w:val="clear" w:color="auto" w:fill="FFFFFF"/>
        </w:rPr>
        <w:t>与2023年度相比，增加1.10万元，增长19.1%</w:t>
      </w:r>
      <w:r>
        <w:rPr>
          <w:rFonts w:ascii="Times New Roman" w:hAnsi="方正仿宋_GBK" w:eastAsia="方正仿宋_GBK" w:cs="方正仿宋_GBK"/>
          <w:b w:val="0"/>
          <w:bCs w:val="0"/>
          <w:color w:val="auto"/>
          <w:sz w:val="32"/>
          <w:szCs w:val="32"/>
          <w:highlight w:val="none"/>
          <w:shd w:val="clear" w:color="auto" w:fill="FFFFFF"/>
        </w:rPr>
        <w:t>，主要原因是</w:t>
      </w:r>
      <w:r>
        <w:rPr>
          <w:rFonts w:hint="eastAsia" w:ascii="Times New Roman" w:hAnsi="方正仿宋_GBK" w:eastAsia="方正仿宋_GBK" w:cs="方正仿宋_GBK"/>
          <w:b w:val="0"/>
          <w:bCs w:val="0"/>
          <w:color w:val="auto"/>
          <w:sz w:val="32"/>
          <w:szCs w:val="32"/>
          <w:highlight w:val="none"/>
          <w:shd w:val="clear" w:color="auto" w:fill="FFFFFF"/>
          <w:lang w:eastAsia="zh-CN"/>
        </w:rPr>
        <w:t>公务出差有所增加</w:t>
      </w:r>
      <w:r>
        <w:rPr>
          <w:rFonts w:ascii="Times New Roman" w:hAnsi="方正仿宋_GBK" w:eastAsia="方正仿宋_GBK" w:cs="方正仿宋_GBK"/>
          <w:b w:val="0"/>
          <w:bCs w:val="0"/>
          <w:color w:val="auto"/>
          <w:sz w:val="32"/>
          <w:szCs w:val="32"/>
          <w:highlight w:val="none"/>
          <w:shd w:val="clear" w:color="auto" w:fill="FFFFFF"/>
        </w:rPr>
        <w:t>。</w:t>
      </w:r>
    </w:p>
    <w:p w14:paraId="3CCCA685">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（二）机关运行经费情况说明</w:t>
      </w:r>
    </w:p>
    <w:p w14:paraId="03DCD981">
      <w:pPr>
        <w:pStyle w:val="9"/>
        <w:snapToGrid w:val="0"/>
        <w:spacing w:before="0" w:beforeAutospacing="0" w:after="0" w:afterAutospacing="0" w:line="596" w:lineRule="exact"/>
        <w:ind w:firstLine="640" w:firstLineChars="200"/>
        <w:jc w:val="both"/>
        <w:rPr>
          <w:rFonts w:hint="default" w:ascii="Times New Roman" w:hAnsi="方正仿宋_GBK" w:eastAsia="方正仿宋_GBK" w:cs="方正仿宋_GBK"/>
          <w:b w:val="0"/>
          <w:bCs w:val="0"/>
          <w:color w:val="auto"/>
          <w:sz w:val="32"/>
          <w:szCs w:val="32"/>
          <w:highlight w:val="none"/>
          <w:shd w:val="clear" w:color="auto" w:fill="FFFFFF"/>
        </w:rPr>
      </w:pPr>
      <w:r>
        <w:rPr>
          <w:rFonts w:hint="default" w:ascii="Times New Roman" w:hAnsi="方正仿宋_GBK" w:eastAsia="方正仿宋_GBK" w:cs="方正仿宋_GBK"/>
          <w:b w:val="0"/>
          <w:bCs w:val="0"/>
          <w:color w:val="auto"/>
          <w:sz w:val="32"/>
          <w:szCs w:val="32"/>
          <w:highlight w:val="none"/>
          <w:shd w:val="clear" w:color="auto" w:fill="FFFFFF"/>
        </w:rPr>
        <w:t>按照部门决算列报口径，我</w:t>
      </w:r>
      <w:r>
        <w:rPr>
          <w:rFonts w:hint="eastAsia" w:ascii="Times New Roman" w:hAnsi="方正仿宋_GBK" w:eastAsia="方正仿宋_GBK" w:cs="方正仿宋_GBK"/>
          <w:b w:val="0"/>
          <w:bCs w:val="0"/>
          <w:color w:val="auto"/>
          <w:sz w:val="32"/>
          <w:szCs w:val="32"/>
          <w:highlight w:val="none"/>
          <w:shd w:val="clear" w:color="auto" w:fill="FFFFFF"/>
          <w:lang w:eastAsia="zh-CN"/>
        </w:rPr>
        <w:t>单位</w:t>
      </w:r>
      <w:r>
        <w:rPr>
          <w:rFonts w:hint="default" w:ascii="Times New Roman" w:hAnsi="方正仿宋_GBK" w:eastAsia="方正仿宋_GBK" w:cs="方正仿宋_GBK"/>
          <w:b w:val="0"/>
          <w:bCs w:val="0"/>
          <w:color w:val="auto"/>
          <w:sz w:val="32"/>
          <w:szCs w:val="32"/>
          <w:highlight w:val="none"/>
          <w:shd w:val="clear" w:color="auto" w:fill="FFFFFF"/>
        </w:rPr>
        <w:t>不在机关运行经费统计范围之内。</w:t>
      </w:r>
    </w:p>
    <w:p w14:paraId="142061F5">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（三）国有资产占用情况说明</w:t>
      </w:r>
    </w:p>
    <w:p w14:paraId="6D9F77E5">
      <w:pPr>
        <w:pStyle w:val="9"/>
        <w:snapToGrid w:val="0"/>
        <w:spacing w:before="0" w:beforeAutospacing="0" w:after="0" w:afterAutospacing="0" w:line="596" w:lineRule="exact"/>
        <w:ind w:firstLine="640" w:firstLineChars="200"/>
        <w:jc w:val="both"/>
        <w:rPr>
          <w:rFonts w:hint="default" w:ascii="Times New Roman" w:hAnsi="方正仿宋_GBK" w:eastAsia="方正仿宋_GBK" w:cs="方正仿宋_GBK"/>
          <w:b w:val="0"/>
          <w:bCs w:val="0"/>
          <w:color w:val="auto"/>
          <w:sz w:val="32"/>
          <w:szCs w:val="32"/>
          <w:highlight w:val="none"/>
        </w:rPr>
      </w:pPr>
      <w:r>
        <w:rPr>
          <w:rFonts w:ascii="Times New Roman" w:hAnsi="方正仿宋_GBK" w:eastAsia="方正仿宋_GBK" w:cs="方正仿宋_GBK"/>
          <w:b w:val="0"/>
          <w:bCs w:val="0"/>
          <w:color w:val="auto"/>
          <w:sz w:val="32"/>
          <w:szCs w:val="32"/>
          <w:highlight w:val="none"/>
          <w:shd w:val="clear" w:color="auto" w:fill="FFFFFF"/>
        </w:rPr>
        <w:t>截至</w:t>
      </w:r>
      <w:r>
        <w:rPr>
          <w:rFonts w:hint="default" w:ascii="Times New Roman" w:hAnsi="Times New Roman" w:eastAsia="方正仿宋_GBK"/>
          <w:b w:val="0"/>
          <w:bCs w:val="0"/>
          <w:color w:val="auto"/>
          <w:sz w:val="32"/>
          <w:szCs w:val="32"/>
          <w:highlight w:val="none"/>
          <w:shd w:val="clear" w:color="auto" w:fill="FFFFFF"/>
        </w:rPr>
        <w:t>2024</w:t>
      </w:r>
      <w:r>
        <w:rPr>
          <w:rFonts w:ascii="Times New Roman" w:hAnsi="方正仿宋_GBK" w:eastAsia="方正仿宋_GBK" w:cs="方正仿宋_GBK"/>
          <w:b w:val="0"/>
          <w:bCs w:val="0"/>
          <w:color w:val="auto"/>
          <w:sz w:val="32"/>
          <w:szCs w:val="32"/>
          <w:highlight w:val="none"/>
          <w:shd w:val="clear" w:color="auto" w:fill="FFFFFF"/>
        </w:rPr>
        <w:t>年</w:t>
      </w:r>
      <w:r>
        <w:rPr>
          <w:rFonts w:hint="default" w:ascii="Times New Roman" w:hAnsi="Times New Roman" w:eastAsia="方正仿宋_GBK"/>
          <w:b w:val="0"/>
          <w:bCs w:val="0"/>
          <w:color w:val="auto"/>
          <w:sz w:val="32"/>
          <w:szCs w:val="32"/>
          <w:highlight w:val="none"/>
          <w:shd w:val="clear" w:color="auto" w:fill="FFFFFF"/>
        </w:rPr>
        <w:t>12</w:t>
      </w:r>
      <w:r>
        <w:rPr>
          <w:rFonts w:ascii="Times New Roman" w:hAnsi="方正仿宋_GBK" w:eastAsia="方正仿宋_GBK" w:cs="方正仿宋_GBK"/>
          <w:b w:val="0"/>
          <w:bCs w:val="0"/>
          <w:color w:val="auto"/>
          <w:sz w:val="32"/>
          <w:szCs w:val="32"/>
          <w:highlight w:val="none"/>
          <w:shd w:val="clear" w:color="auto" w:fill="FFFFFF"/>
        </w:rPr>
        <w:t>月</w:t>
      </w:r>
      <w:r>
        <w:rPr>
          <w:rFonts w:hint="default" w:ascii="Times New Roman" w:hAnsi="Times New Roman" w:eastAsia="方正仿宋_GBK"/>
          <w:b w:val="0"/>
          <w:bCs w:val="0"/>
          <w:color w:val="auto"/>
          <w:sz w:val="32"/>
          <w:szCs w:val="32"/>
          <w:highlight w:val="none"/>
          <w:shd w:val="clear" w:color="auto" w:fill="FFFFFF"/>
        </w:rPr>
        <w:t>31</w:t>
      </w:r>
      <w:r>
        <w:rPr>
          <w:rFonts w:ascii="Times New Roman" w:hAnsi="方正仿宋_GBK" w:eastAsia="方正仿宋_GBK" w:cs="方正仿宋_GBK"/>
          <w:b w:val="0"/>
          <w:bCs w:val="0"/>
          <w:color w:val="auto"/>
          <w:sz w:val="32"/>
          <w:szCs w:val="32"/>
          <w:highlight w:val="none"/>
          <w:shd w:val="clear" w:color="auto" w:fill="FFFFFF"/>
        </w:rPr>
        <w:t>日，本</w:t>
      </w:r>
      <w:r>
        <w:rPr>
          <w:rFonts w:hint="eastAsia" w:ascii="Times New Roman" w:hAnsi="方正仿宋_GBK" w:eastAsia="方正仿宋_GBK" w:cs="方正仿宋_GBK"/>
          <w:b w:val="0"/>
          <w:bCs w:val="0"/>
          <w:color w:val="auto"/>
          <w:sz w:val="32"/>
          <w:szCs w:val="32"/>
          <w:highlight w:val="none"/>
          <w:shd w:val="clear" w:color="auto" w:fill="FFFFFF"/>
          <w:lang w:eastAsia="zh-CN"/>
        </w:rPr>
        <w:t>单位</w:t>
      </w:r>
      <w:r>
        <w:rPr>
          <w:rFonts w:ascii="Times New Roman" w:hAnsi="方正仿宋_GBK" w:eastAsia="方正仿宋_GBK" w:cs="方正仿宋_GBK"/>
          <w:b w:val="0"/>
          <w:bCs w:val="0"/>
          <w:color w:val="auto"/>
          <w:sz w:val="32"/>
          <w:szCs w:val="32"/>
          <w:highlight w:val="none"/>
          <w:shd w:val="clear" w:color="auto" w:fill="FFFFFF"/>
        </w:rPr>
        <w:t>共有车辆</w:t>
      </w:r>
      <w:r>
        <w:rPr>
          <w:rFonts w:hint="default" w:ascii="Times New Roman" w:hAnsi="Times New Roman" w:eastAsia="方正仿宋_GBK"/>
          <w:b w:val="0"/>
          <w:bCs w:val="0"/>
          <w:color w:val="auto"/>
          <w:sz w:val="32"/>
          <w:szCs w:val="32"/>
          <w:highlight w:val="none"/>
          <w:shd w:val="clear" w:color="auto" w:fill="FFFFFF"/>
        </w:rPr>
        <w:t>1</w:t>
      </w:r>
      <w:r>
        <w:rPr>
          <w:rFonts w:ascii="Times New Roman" w:hAnsi="方正仿宋_GBK" w:eastAsia="方正仿宋_GBK" w:cs="方正仿宋_GBK"/>
          <w:b w:val="0"/>
          <w:bCs w:val="0"/>
          <w:color w:val="auto"/>
          <w:sz w:val="32"/>
          <w:szCs w:val="32"/>
          <w:highlight w:val="none"/>
          <w:shd w:val="clear" w:color="auto" w:fill="FFFFFF"/>
        </w:rPr>
        <w:t>辆，其中，副部（省）级及以上领导用车</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辆、</w:t>
      </w:r>
      <w:r>
        <w:rPr>
          <w:rFonts w:hint="eastAsia" w:ascii="方正仿宋_GBK" w:hAnsi="方正仿宋_GBK" w:eastAsia="方正仿宋_GBK" w:cs="方正仿宋_GBK"/>
          <w:color w:val="auto"/>
          <w:sz w:val="32"/>
          <w:szCs w:val="32"/>
          <w:highlight w:val="none"/>
          <w:shd w:val="clear" w:color="auto" w:fill="FFFFFF"/>
          <w:lang w:val="en-US" w:eastAsia="zh-CN"/>
        </w:rPr>
        <w:t>领导干部</w:t>
      </w:r>
      <w:r>
        <w:rPr>
          <w:rFonts w:ascii="Times New Roman" w:hAnsi="方正仿宋_GBK" w:eastAsia="方正仿宋_GBK" w:cs="方正仿宋_GBK"/>
          <w:b w:val="0"/>
          <w:bCs w:val="0"/>
          <w:color w:val="auto"/>
          <w:sz w:val="32"/>
          <w:szCs w:val="32"/>
          <w:highlight w:val="none"/>
          <w:shd w:val="clear" w:color="auto" w:fill="FFFFFF"/>
        </w:rPr>
        <w:t>用车</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辆、机要通信用车</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辆、应急保障用车</w:t>
      </w:r>
      <w:r>
        <w:rPr>
          <w:rFonts w:hint="default" w:ascii="Times New Roman" w:hAnsi="Times New Roman" w:eastAsia="方正仿宋_GBK"/>
          <w:b w:val="0"/>
          <w:bCs w:val="0"/>
          <w:color w:val="auto"/>
          <w:sz w:val="32"/>
          <w:szCs w:val="32"/>
          <w:highlight w:val="none"/>
          <w:shd w:val="clear" w:color="auto" w:fill="FFFFFF"/>
        </w:rPr>
        <w:t>1</w:t>
      </w:r>
      <w:r>
        <w:rPr>
          <w:rFonts w:ascii="Times New Roman" w:hAnsi="方正仿宋_GBK" w:eastAsia="方正仿宋_GBK" w:cs="方正仿宋_GBK"/>
          <w:b w:val="0"/>
          <w:bCs w:val="0"/>
          <w:color w:val="auto"/>
          <w:sz w:val="32"/>
          <w:szCs w:val="32"/>
          <w:highlight w:val="none"/>
          <w:shd w:val="clear" w:color="auto" w:fill="FFFFFF"/>
        </w:rPr>
        <w:t>辆、执法执勤用车</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辆，特种专业技术用车</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辆，离退休干部用车</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辆。单价</w:t>
      </w:r>
      <w:r>
        <w:rPr>
          <w:rFonts w:hint="default" w:ascii="Times New Roman" w:hAnsi="Times New Roman" w:eastAsia="方正仿宋_GBK"/>
          <w:b w:val="0"/>
          <w:bCs w:val="0"/>
          <w:color w:val="auto"/>
          <w:sz w:val="32"/>
          <w:szCs w:val="32"/>
          <w:highlight w:val="none"/>
          <w:shd w:val="clear" w:color="auto" w:fill="FFFFFF"/>
        </w:rPr>
        <w:t>100</w:t>
      </w:r>
      <w:r>
        <w:rPr>
          <w:rFonts w:ascii="Times New Roman" w:hAnsi="方正仿宋_GBK" w:eastAsia="方正仿宋_GBK" w:cs="方正仿宋_GBK"/>
          <w:b w:val="0"/>
          <w:bCs w:val="0"/>
          <w:color w:val="auto"/>
          <w:sz w:val="32"/>
          <w:szCs w:val="32"/>
          <w:highlight w:val="none"/>
          <w:shd w:val="clear" w:color="auto" w:fill="FFFFFF"/>
        </w:rPr>
        <w:t>万元（含）以上</w:t>
      </w:r>
      <w:r>
        <w:rPr>
          <w:rFonts w:hint="eastAsia" w:ascii="方正仿宋_GBK" w:hAnsi="方正仿宋_GBK" w:eastAsia="方正仿宋_GBK" w:cs="方正仿宋_GBK"/>
          <w:color w:val="auto"/>
          <w:sz w:val="32"/>
          <w:szCs w:val="32"/>
          <w:highlight w:val="none"/>
          <w:shd w:val="clear" w:color="auto" w:fill="FFFFFF"/>
          <w:lang w:val="en-US" w:eastAsia="zh-CN"/>
        </w:rPr>
        <w:t>设备（不含车辆）</w:t>
      </w:r>
      <w:r>
        <w:rPr>
          <w:rFonts w:hint="default" w:ascii="Times New Roman" w:hAnsi="Times New Roman" w:eastAsia="方正仿宋_GBK"/>
          <w:b w:val="0"/>
          <w:bCs w:val="0"/>
          <w:color w:val="auto"/>
          <w:sz w:val="32"/>
          <w:szCs w:val="32"/>
          <w:highlight w:val="none"/>
          <w:shd w:val="clear" w:color="auto" w:fill="FFFFFF"/>
        </w:rPr>
        <w:t>0</w:t>
      </w:r>
      <w:r>
        <w:rPr>
          <w:rFonts w:ascii="Times New Roman" w:hAnsi="方正仿宋_GBK" w:eastAsia="方正仿宋_GBK" w:cs="方正仿宋_GBK"/>
          <w:b w:val="0"/>
          <w:bCs w:val="0"/>
          <w:color w:val="auto"/>
          <w:sz w:val="32"/>
          <w:szCs w:val="32"/>
          <w:highlight w:val="none"/>
          <w:shd w:val="clear" w:color="auto" w:fill="FFFFFF"/>
        </w:rPr>
        <w:t>台（套）。</w:t>
      </w:r>
    </w:p>
    <w:p w14:paraId="5E97AAE9">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Times New Roman" w:hAnsi="方正楷体_GBK" w:eastAsia="方正楷体_GBK" w:cs="方正楷体_GBK"/>
          <w:b w:val="0"/>
          <w:bCs w:val="0"/>
          <w:color w:val="auto"/>
          <w:sz w:val="32"/>
          <w:szCs w:val="32"/>
          <w:highlight w:val="none"/>
          <w:shd w:val="clear" w:color="auto" w:fill="FFFFFF"/>
        </w:rPr>
      </w:pPr>
      <w:r>
        <w:rPr>
          <w:rFonts w:hint="eastAsia" w:ascii="Times New Roman" w:hAnsi="方正楷体_GBK" w:eastAsia="方正楷体_GBK" w:cs="方正楷体_GBK"/>
          <w:b w:val="0"/>
          <w:bCs w:val="0"/>
          <w:color w:val="auto"/>
          <w:sz w:val="32"/>
          <w:szCs w:val="32"/>
          <w:highlight w:val="none"/>
          <w:shd w:val="clear" w:color="auto" w:fill="FFFFFF"/>
        </w:rPr>
        <w:t>（四）政府采购支出情况说明</w:t>
      </w:r>
    </w:p>
    <w:p w14:paraId="7101881B">
      <w:pPr>
        <w:pStyle w:val="9"/>
        <w:snapToGrid w:val="0"/>
        <w:spacing w:before="0" w:beforeAutospacing="0" w:after="0" w:afterAutospacing="0" w:line="596" w:lineRule="exact"/>
        <w:ind w:firstLine="640" w:firstLineChars="200"/>
        <w:jc w:val="both"/>
        <w:rPr>
          <w:rFonts w:ascii="Times New Roman" w:hAnsi="方正仿宋_GBK" w:eastAsia="方正仿宋_GBK" w:cs="方正仿宋_GBK"/>
          <w:b w:val="0"/>
          <w:bCs w:val="0"/>
          <w:color w:val="auto"/>
          <w:sz w:val="32"/>
          <w:szCs w:val="32"/>
          <w:highlight w:val="none"/>
          <w:shd w:val="clear" w:color="auto" w:fill="FFFFFF"/>
        </w:rPr>
      </w:pPr>
      <w:r>
        <w:rPr>
          <w:rFonts w:ascii="Times New Roman" w:hAnsi="方正仿宋_GBK" w:eastAsia="方正仿宋_GBK" w:cs="方正仿宋_GBK"/>
          <w:b w:val="0"/>
          <w:bCs w:val="0"/>
          <w:color w:val="auto"/>
          <w:sz w:val="32"/>
          <w:szCs w:val="32"/>
          <w:highlight w:val="none"/>
          <w:shd w:val="clear" w:color="auto" w:fill="FFFFFF"/>
        </w:rPr>
        <w:t>2024年度我</w:t>
      </w:r>
      <w:r>
        <w:rPr>
          <w:rFonts w:hint="eastAsia" w:ascii="Times New Roman" w:hAnsi="方正仿宋_GBK" w:eastAsia="方正仿宋_GBK" w:cs="方正仿宋_GBK"/>
          <w:b w:val="0"/>
          <w:bCs w:val="0"/>
          <w:color w:val="auto"/>
          <w:sz w:val="32"/>
          <w:szCs w:val="32"/>
          <w:highlight w:val="none"/>
          <w:shd w:val="clear" w:color="auto" w:fill="FFFFFF"/>
          <w:lang w:eastAsia="zh-CN"/>
        </w:rPr>
        <w:t>单位</w:t>
      </w:r>
      <w:r>
        <w:rPr>
          <w:rFonts w:ascii="Times New Roman" w:hAnsi="方正仿宋_GBK" w:eastAsia="方正仿宋_GBK" w:cs="方正仿宋_GBK"/>
          <w:b w:val="0"/>
          <w:bCs w:val="0"/>
          <w:color w:val="auto"/>
          <w:sz w:val="32"/>
          <w:szCs w:val="32"/>
          <w:highlight w:val="none"/>
          <w:shd w:val="clear" w:color="auto" w:fill="FFFFFF"/>
        </w:rPr>
        <w:t>未发生政府采购事项，无相关经费支出。</w:t>
      </w:r>
    </w:p>
    <w:p w14:paraId="7525F728">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Times New Roman" w:hAnsi="方正黑体_GBK" w:eastAsia="方正黑体_GBK" w:cs="方正黑体_GBK"/>
          <w:b w:val="0"/>
          <w:bCs w:val="0"/>
          <w:color w:val="auto"/>
          <w:sz w:val="32"/>
          <w:szCs w:val="32"/>
          <w:highlight w:val="none"/>
          <w:shd w:val="clear" w:color="auto" w:fill="FFFFFF"/>
          <w:lang w:val="en-US" w:eastAsia="zh-CN" w:bidi="ar-SA"/>
        </w:rPr>
      </w:pPr>
      <w:r>
        <w:rPr>
          <w:rStyle w:val="13"/>
          <w:rFonts w:hint="eastAsia" w:ascii="Times New Roman" w:hAnsi="方正黑体_GBK" w:eastAsia="方正黑体_GBK" w:cs="方正黑体_GBK"/>
          <w:b w:val="0"/>
          <w:bCs w:val="0"/>
          <w:color w:val="auto"/>
          <w:sz w:val="32"/>
          <w:szCs w:val="32"/>
          <w:highlight w:val="none"/>
          <w:shd w:val="clear" w:color="auto" w:fill="FFFFFF"/>
          <w:lang w:val="en-US" w:eastAsia="zh-CN" w:bidi="ar-SA"/>
        </w:rPr>
        <w:t>五、2024年度预算绩效管理情况说明</w:t>
      </w:r>
    </w:p>
    <w:p w14:paraId="5C0E4229">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Times New Roman" w:hAnsi="方正楷体_GBK" w:eastAsia="方正楷体_GBK" w:cs="方正楷体_GBK"/>
          <w:b w:val="0"/>
          <w:bCs w:val="0"/>
          <w:color w:val="auto"/>
          <w:kern w:val="0"/>
          <w:sz w:val="32"/>
          <w:szCs w:val="32"/>
          <w:highlight w:val="none"/>
          <w:shd w:val="clear" w:fill="FFFFFF"/>
        </w:rPr>
      </w:pPr>
      <w:r>
        <w:rPr>
          <w:rFonts w:hint="eastAsia" w:ascii="Times New Roman" w:hAnsi="方正楷体_GBK" w:eastAsia="方正楷体_GBK" w:cs="方正楷体_GBK"/>
          <w:b w:val="0"/>
          <w:bCs w:val="0"/>
          <w:color w:val="auto"/>
          <w:kern w:val="0"/>
          <w:sz w:val="32"/>
          <w:szCs w:val="32"/>
          <w:highlight w:val="none"/>
          <w:shd w:val="clear" w:fill="FFFFFF"/>
        </w:rPr>
        <w:t>（一）单位自评情况</w:t>
      </w:r>
    </w:p>
    <w:p w14:paraId="256A3BE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Times New Roman" w:hAnsi="Times New Roman" w:eastAsia="方正仿宋_GBK" w:cs="方正仿宋_GBK"/>
          <w:b w:val="0"/>
          <w:bCs w:val="0"/>
          <w:color w:val="auto"/>
          <w:sz w:val="32"/>
          <w:szCs w:val="32"/>
          <w:highlight w:val="none"/>
          <w:shd w:val="clear" w:color="auto" w:fill="FFFFFF"/>
          <w:lang w:eastAsia="zh-CN"/>
        </w:rPr>
      </w:pPr>
      <w:r>
        <w:rPr>
          <w:rFonts w:hint="eastAsia" w:ascii="Times New Roman" w:hAnsi="Times New Roman" w:eastAsia="方正仿宋_GBK" w:cs="方正仿宋_GBK"/>
          <w:b w:val="0"/>
          <w:bCs w:val="0"/>
          <w:color w:val="auto"/>
          <w:sz w:val="32"/>
          <w:szCs w:val="32"/>
          <w:highlight w:val="none"/>
          <w:shd w:val="clear" w:color="auto" w:fill="FFFFFF"/>
        </w:rPr>
        <w:t>根据预算绩效管理要求，我单位对</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3</w:t>
      </w:r>
      <w:r>
        <w:rPr>
          <w:rFonts w:hint="eastAsia" w:ascii="Times New Roman" w:hAnsi="Times New Roman" w:eastAsia="方正仿宋_GBK" w:cs="方正仿宋_GBK"/>
          <w:b w:val="0"/>
          <w:bCs w:val="0"/>
          <w:color w:val="auto"/>
          <w:sz w:val="32"/>
          <w:szCs w:val="32"/>
          <w:highlight w:val="none"/>
          <w:shd w:val="clear" w:color="auto" w:fill="FFFFFF"/>
        </w:rPr>
        <w:t>个项目开展了绩效自评，涉及财政拨款项目支出资金</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22.8</w:t>
      </w:r>
      <w:r>
        <w:rPr>
          <w:rFonts w:hint="eastAsia" w:ascii="Times New Roman" w:hAnsi="Times New Roman" w:eastAsia="方正仿宋_GBK" w:cs="方正仿宋_GBK"/>
          <w:b w:val="0"/>
          <w:bCs w:val="0"/>
          <w:color w:val="auto"/>
          <w:sz w:val="32"/>
          <w:szCs w:val="32"/>
          <w:highlight w:val="none"/>
          <w:shd w:val="clear" w:color="auto" w:fill="FFFFFF"/>
        </w:rPr>
        <w:t>万元</w:t>
      </w:r>
      <w:r>
        <w:rPr>
          <w:rFonts w:hint="eastAsia" w:ascii="Times New Roman" w:hAnsi="Times New Roman" w:cs="方正仿宋_GBK"/>
          <w:color w:val="auto"/>
          <w:sz w:val="32"/>
          <w:szCs w:val="32"/>
          <w:highlight w:val="none"/>
          <w:shd w:val="clear" w:color="auto" w:fill="FFFFFF"/>
          <w:lang w:eastAsia="zh-CN"/>
        </w:rPr>
        <w:t>；</w:t>
      </w:r>
      <w:r>
        <w:rPr>
          <w:rFonts w:hint="eastAsia" w:ascii="Times New Roman" w:hAnsi="Times New Roman" w:eastAsia="方正仿宋_GBK" w:cs="方正仿宋_GBK"/>
          <w:b w:val="0"/>
          <w:bCs w:val="0"/>
          <w:color w:val="auto"/>
          <w:sz w:val="32"/>
          <w:szCs w:val="32"/>
          <w:highlight w:val="none"/>
          <w:shd w:val="clear" w:color="auto" w:fill="FFFFFF"/>
        </w:rPr>
        <w:t>我单位</w:t>
      </w:r>
      <w:r>
        <w:rPr>
          <w:rFonts w:hint="eastAsia" w:ascii="Times New Roman" w:hAnsi="Times New Roman" w:eastAsia="方正仿宋_GBK" w:cs="方正仿宋_GBK"/>
          <w:b w:val="0"/>
          <w:bCs w:val="0"/>
          <w:color w:val="auto"/>
          <w:sz w:val="32"/>
          <w:szCs w:val="32"/>
          <w:highlight w:val="none"/>
          <w:shd w:val="clear" w:color="auto" w:fill="FFFFFF"/>
          <w:lang w:eastAsia="zh-CN"/>
        </w:rPr>
        <w:t>对</w:t>
      </w:r>
      <w:r>
        <w:rPr>
          <w:rFonts w:hint="eastAsia" w:ascii="Times New Roman" w:hAnsi="Times New Roman" w:eastAsia="方正仿宋_GBK" w:cs="方正仿宋_GBK"/>
          <w:b w:val="0"/>
          <w:bCs w:val="0"/>
          <w:color w:val="auto"/>
          <w:sz w:val="32"/>
          <w:szCs w:val="32"/>
          <w:highlight w:val="none"/>
          <w:shd w:val="clear" w:color="auto" w:fill="FFFFFF"/>
        </w:rPr>
        <w:t>政府采购专家评审及相关费用</w:t>
      </w:r>
      <w:r>
        <w:rPr>
          <w:rFonts w:hint="eastAsia" w:ascii="Times New Roman" w:hAnsi="Times New Roman" w:eastAsia="方正仿宋_GBK" w:cs="方正仿宋_GBK"/>
          <w:b w:val="0"/>
          <w:bCs w:val="0"/>
          <w:color w:val="auto"/>
          <w:sz w:val="32"/>
          <w:szCs w:val="32"/>
          <w:highlight w:val="none"/>
          <w:shd w:val="clear" w:color="auto" w:fill="FFFFFF"/>
          <w:lang w:eastAsia="zh-CN"/>
        </w:rPr>
        <w:t>项目</w:t>
      </w:r>
      <w:r>
        <w:rPr>
          <w:rFonts w:hint="eastAsia" w:ascii="Times New Roman" w:hAnsi="Times New Roman" w:eastAsia="方正仿宋_GBK" w:cs="方正仿宋_GBK"/>
          <w:b w:val="0"/>
          <w:bCs w:val="0"/>
          <w:color w:val="auto"/>
          <w:sz w:val="32"/>
          <w:szCs w:val="32"/>
          <w:highlight w:val="none"/>
          <w:shd w:val="clear" w:color="auto" w:fill="FFFFFF"/>
        </w:rPr>
        <w:t>开展了绩效评价，涉及财政拨款项目资金</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12.2</w:t>
      </w:r>
      <w:r>
        <w:rPr>
          <w:rFonts w:hint="eastAsia" w:ascii="Times New Roman" w:hAnsi="Times New Roman" w:eastAsia="方正仿宋_GBK" w:cs="方正仿宋_GBK"/>
          <w:b w:val="0"/>
          <w:bCs w:val="0"/>
          <w:color w:val="auto"/>
          <w:sz w:val="32"/>
          <w:szCs w:val="32"/>
          <w:highlight w:val="none"/>
          <w:shd w:val="clear" w:color="auto" w:fill="FFFFFF"/>
        </w:rPr>
        <w:t>万元，评价得分</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10</w:t>
      </w:r>
      <w:r>
        <w:rPr>
          <w:rFonts w:hint="eastAsia" w:ascii="Times New Roman" w:hAnsi="Times New Roman" w:eastAsia="方正仿宋_GBK" w:cs="方正仿宋_GBK"/>
          <w:b w:val="0"/>
          <w:bCs w:val="0"/>
          <w:color w:val="auto"/>
          <w:sz w:val="32"/>
          <w:szCs w:val="32"/>
          <w:highlight w:val="none"/>
          <w:shd w:val="clear" w:color="auto" w:fill="FFFFFF"/>
        </w:rPr>
        <w:t>分，评价等次为</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优</w:t>
      </w:r>
      <w:r>
        <w:rPr>
          <w:rFonts w:hint="eastAsia" w:ascii="Times New Roman" w:hAnsi="Times New Roman" w:eastAsia="方正仿宋_GBK" w:cs="方正仿宋_GBK"/>
          <w:b w:val="0"/>
          <w:bCs w:val="0"/>
          <w:color w:val="auto"/>
          <w:sz w:val="32"/>
          <w:szCs w:val="32"/>
          <w:highlight w:val="none"/>
          <w:shd w:val="clear" w:color="auto" w:fill="FFFFFF"/>
        </w:rPr>
        <w:t>，绩效评价发现了</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资金拨付不够及时</w:t>
      </w:r>
      <w:r>
        <w:rPr>
          <w:rFonts w:hint="eastAsia" w:ascii="Times New Roman" w:hAnsi="Times New Roman" w:eastAsia="方正仿宋_GBK" w:cs="方正仿宋_GBK"/>
          <w:b w:val="0"/>
          <w:bCs w:val="0"/>
          <w:color w:val="auto"/>
          <w:sz w:val="32"/>
          <w:szCs w:val="32"/>
          <w:highlight w:val="none"/>
          <w:shd w:val="clear" w:color="auto" w:fill="FFFFFF"/>
        </w:rPr>
        <w:t>等问题，提出</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今后要加强财政统筹，提高资金拨付效率</w:t>
      </w:r>
      <w:r>
        <w:rPr>
          <w:rFonts w:hint="eastAsia" w:ascii="Times New Roman" w:hAnsi="Times New Roman" w:eastAsia="方正仿宋_GBK" w:cs="方正仿宋_GBK"/>
          <w:b w:val="0"/>
          <w:bCs w:val="0"/>
          <w:color w:val="auto"/>
          <w:sz w:val="32"/>
          <w:szCs w:val="32"/>
          <w:highlight w:val="none"/>
          <w:shd w:val="clear" w:color="auto" w:fill="FFFFFF"/>
        </w:rPr>
        <w:t>等下一步工作建议</w:t>
      </w:r>
      <w:r>
        <w:rPr>
          <w:rFonts w:hint="eastAsia" w:ascii="Times New Roman" w:hAnsi="Times New Roman" w:eastAsia="方正仿宋_GBK" w:cs="方正仿宋_GBK"/>
          <w:b w:val="0"/>
          <w:bCs w:val="0"/>
          <w:color w:val="auto"/>
          <w:sz w:val="32"/>
          <w:szCs w:val="32"/>
          <w:highlight w:val="none"/>
          <w:shd w:val="clear" w:color="auto" w:fill="FFFFFF"/>
          <w:lang w:eastAsia="zh-CN"/>
        </w:rPr>
        <w:t>。</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二是</w:t>
      </w:r>
      <w:r>
        <w:rPr>
          <w:rFonts w:hint="eastAsia" w:ascii="Times New Roman" w:hAnsi="Times New Roman" w:eastAsia="方正仿宋_GBK" w:cs="方正仿宋_GBK"/>
          <w:b w:val="0"/>
          <w:bCs w:val="0"/>
          <w:color w:val="auto"/>
          <w:sz w:val="32"/>
          <w:szCs w:val="32"/>
          <w:highlight w:val="none"/>
          <w:shd w:val="clear" w:color="auto" w:fill="FFFFFF"/>
        </w:rPr>
        <w:t>对交易中心2024年乡村振兴驻村工作</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项目</w:t>
      </w:r>
      <w:r>
        <w:rPr>
          <w:rFonts w:hint="eastAsia" w:ascii="Times New Roman" w:hAnsi="Times New Roman" w:eastAsia="方正仿宋_GBK" w:cs="方正仿宋_GBK"/>
          <w:b w:val="0"/>
          <w:bCs w:val="0"/>
          <w:color w:val="auto"/>
          <w:sz w:val="32"/>
          <w:szCs w:val="32"/>
          <w:highlight w:val="none"/>
          <w:shd w:val="clear" w:color="auto" w:fill="FFFFFF"/>
        </w:rPr>
        <w:t>开展了绩效评价，涉及财政拨款项目资金</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4.68</w:t>
      </w:r>
      <w:r>
        <w:rPr>
          <w:rFonts w:hint="eastAsia" w:ascii="Times New Roman" w:hAnsi="Times New Roman" w:eastAsia="方正仿宋_GBK" w:cs="方正仿宋_GBK"/>
          <w:b w:val="0"/>
          <w:bCs w:val="0"/>
          <w:color w:val="auto"/>
          <w:sz w:val="32"/>
          <w:szCs w:val="32"/>
          <w:highlight w:val="none"/>
          <w:shd w:val="clear" w:color="auto" w:fill="FFFFFF"/>
        </w:rPr>
        <w:t>万元，评价得分</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10</w:t>
      </w:r>
      <w:r>
        <w:rPr>
          <w:rFonts w:hint="eastAsia" w:ascii="Times New Roman" w:hAnsi="Times New Roman" w:eastAsia="方正仿宋_GBK" w:cs="方正仿宋_GBK"/>
          <w:b w:val="0"/>
          <w:bCs w:val="0"/>
          <w:color w:val="auto"/>
          <w:sz w:val="32"/>
          <w:szCs w:val="32"/>
          <w:highlight w:val="none"/>
          <w:shd w:val="clear" w:color="auto" w:fill="FFFFFF"/>
        </w:rPr>
        <w:t>分，评价等次为</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优</w:t>
      </w:r>
      <w:r>
        <w:rPr>
          <w:rFonts w:hint="eastAsia" w:ascii="Times New Roman" w:hAnsi="Times New Roman" w:eastAsia="方正仿宋_GBK" w:cs="方正仿宋_GBK"/>
          <w:b w:val="0"/>
          <w:bCs w:val="0"/>
          <w:color w:val="auto"/>
          <w:sz w:val="32"/>
          <w:szCs w:val="32"/>
          <w:highlight w:val="none"/>
          <w:shd w:val="clear" w:color="auto" w:fill="FFFFFF"/>
        </w:rPr>
        <w:t>，绩效评价发现了</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资金拨付不够及时</w:t>
      </w:r>
      <w:r>
        <w:rPr>
          <w:rFonts w:hint="eastAsia" w:ascii="Times New Roman" w:hAnsi="Times New Roman" w:eastAsia="方正仿宋_GBK" w:cs="方正仿宋_GBK"/>
          <w:b w:val="0"/>
          <w:bCs w:val="0"/>
          <w:color w:val="auto"/>
          <w:sz w:val="32"/>
          <w:szCs w:val="32"/>
          <w:highlight w:val="none"/>
          <w:shd w:val="clear" w:color="auto" w:fill="FFFFFF"/>
        </w:rPr>
        <w:t>等问题，提出</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今后要加强财政统筹，规范管理，严格落实项目支付管理，提高资金拨付效率</w:t>
      </w:r>
      <w:r>
        <w:rPr>
          <w:rFonts w:hint="eastAsia" w:ascii="Times New Roman" w:hAnsi="Times New Roman" w:eastAsia="方正仿宋_GBK" w:cs="方正仿宋_GBK"/>
          <w:b w:val="0"/>
          <w:bCs w:val="0"/>
          <w:color w:val="auto"/>
          <w:sz w:val="32"/>
          <w:szCs w:val="32"/>
          <w:highlight w:val="none"/>
          <w:shd w:val="clear" w:color="auto" w:fill="FFFFFF"/>
        </w:rPr>
        <w:t>等下一步工作建议</w:t>
      </w:r>
      <w:r>
        <w:rPr>
          <w:rFonts w:hint="eastAsia" w:ascii="Times New Roman" w:hAnsi="Times New Roman" w:cs="方正仿宋_GBK"/>
          <w:color w:val="auto"/>
          <w:sz w:val="32"/>
          <w:szCs w:val="32"/>
          <w:highlight w:val="none"/>
          <w:shd w:val="clear" w:color="auto" w:fill="FFFFFF"/>
          <w:lang w:eastAsia="zh-CN"/>
        </w:rPr>
        <w:t>。</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三是</w:t>
      </w:r>
      <w:r>
        <w:rPr>
          <w:rFonts w:hint="eastAsia" w:ascii="Times New Roman" w:hAnsi="Times New Roman" w:eastAsia="方正仿宋_GBK" w:cs="方正仿宋_GBK"/>
          <w:b w:val="0"/>
          <w:bCs w:val="0"/>
          <w:color w:val="auto"/>
          <w:sz w:val="32"/>
          <w:szCs w:val="32"/>
          <w:highlight w:val="none"/>
          <w:shd w:val="clear" w:color="auto" w:fill="FFFFFF"/>
        </w:rPr>
        <w:t>对建设“交易e起来”云平台系统信息化建设</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项目</w:t>
      </w:r>
      <w:r>
        <w:rPr>
          <w:rFonts w:hint="eastAsia" w:ascii="Times New Roman" w:hAnsi="Times New Roman" w:eastAsia="方正仿宋_GBK" w:cs="方正仿宋_GBK"/>
          <w:b w:val="0"/>
          <w:bCs w:val="0"/>
          <w:color w:val="auto"/>
          <w:sz w:val="32"/>
          <w:szCs w:val="32"/>
          <w:highlight w:val="none"/>
          <w:shd w:val="clear" w:color="auto" w:fill="FFFFFF"/>
        </w:rPr>
        <w:t>开展了绩效评价，涉及财政拨款项目资金</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5.74</w:t>
      </w:r>
      <w:r>
        <w:rPr>
          <w:rFonts w:hint="eastAsia" w:ascii="Times New Roman" w:hAnsi="Times New Roman" w:eastAsia="方正仿宋_GBK" w:cs="方正仿宋_GBK"/>
          <w:b w:val="0"/>
          <w:bCs w:val="0"/>
          <w:color w:val="auto"/>
          <w:sz w:val="32"/>
          <w:szCs w:val="32"/>
          <w:highlight w:val="none"/>
          <w:shd w:val="clear" w:color="auto" w:fill="FFFFFF"/>
        </w:rPr>
        <w:t>万元，评价得分</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10</w:t>
      </w:r>
      <w:r>
        <w:rPr>
          <w:rFonts w:hint="eastAsia" w:ascii="Times New Roman" w:hAnsi="Times New Roman" w:eastAsia="方正仿宋_GBK" w:cs="方正仿宋_GBK"/>
          <w:b w:val="0"/>
          <w:bCs w:val="0"/>
          <w:color w:val="auto"/>
          <w:sz w:val="32"/>
          <w:szCs w:val="32"/>
          <w:highlight w:val="none"/>
          <w:shd w:val="clear" w:color="auto" w:fill="FFFFFF"/>
        </w:rPr>
        <w:t>分，评价等次为</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优</w:t>
      </w:r>
      <w:r>
        <w:rPr>
          <w:rFonts w:hint="eastAsia" w:ascii="Times New Roman" w:hAnsi="Times New Roman" w:eastAsia="方正仿宋_GBK" w:cs="方正仿宋_GBK"/>
          <w:b w:val="0"/>
          <w:bCs w:val="0"/>
          <w:color w:val="auto"/>
          <w:sz w:val="32"/>
          <w:szCs w:val="32"/>
          <w:highlight w:val="none"/>
          <w:shd w:val="clear" w:color="auto" w:fill="FFFFFF"/>
        </w:rPr>
        <w:t>，绩效评价发现了</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绩效目标设置不够合理</w:t>
      </w:r>
      <w:r>
        <w:rPr>
          <w:rFonts w:hint="eastAsia" w:ascii="Times New Roman" w:hAnsi="Times New Roman" w:eastAsia="方正仿宋_GBK" w:cs="方正仿宋_GBK"/>
          <w:b w:val="0"/>
          <w:bCs w:val="0"/>
          <w:color w:val="auto"/>
          <w:sz w:val="32"/>
          <w:szCs w:val="32"/>
          <w:highlight w:val="none"/>
          <w:shd w:val="clear" w:color="auto" w:fill="FFFFFF"/>
        </w:rPr>
        <w:t>等问题，提出</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今后要加强财政统筹，</w:t>
      </w:r>
      <w:r>
        <w:rPr>
          <w:rFonts w:hint="eastAsia" w:ascii="Times New Roman" w:hAnsi="Times New Roman" w:eastAsia="方正仿宋_GBK" w:cs="方正仿宋_GBK"/>
          <w:b w:val="0"/>
          <w:bCs w:val="0"/>
          <w:color w:val="auto"/>
          <w:sz w:val="32"/>
          <w:szCs w:val="32"/>
          <w:highlight w:val="none"/>
          <w:shd w:val="clear" w:color="auto" w:fill="FFFFFF"/>
        </w:rPr>
        <w:t>规范绩效管理</w:t>
      </w:r>
      <w:r>
        <w:rPr>
          <w:rFonts w:hint="eastAsia" w:ascii="Times New Roman" w:hAnsi="Times New Roman" w:eastAsia="方正仿宋_GBK" w:cs="方正仿宋_GBK"/>
          <w:b w:val="0"/>
          <w:bCs w:val="0"/>
          <w:color w:val="auto"/>
          <w:sz w:val="32"/>
          <w:szCs w:val="32"/>
          <w:highlight w:val="none"/>
          <w:shd w:val="clear" w:color="auto" w:fill="FFFFFF"/>
          <w:lang w:eastAsia="zh-CN"/>
        </w:rPr>
        <w:t>，</w:t>
      </w:r>
      <w:r>
        <w:rPr>
          <w:rFonts w:hint="eastAsia" w:ascii="Times New Roman" w:hAnsi="Times New Roman" w:eastAsia="方正仿宋_GBK" w:cs="方正仿宋_GBK"/>
          <w:b w:val="0"/>
          <w:bCs w:val="0"/>
          <w:color w:val="auto"/>
          <w:sz w:val="32"/>
          <w:szCs w:val="32"/>
          <w:highlight w:val="none"/>
          <w:shd w:val="clear" w:color="auto" w:fill="FFFFFF"/>
        </w:rPr>
        <w:t>细化</w:t>
      </w:r>
      <w:r>
        <w:rPr>
          <w:rFonts w:hint="eastAsia" w:ascii="Times New Roman" w:hAnsi="Times New Roman" w:eastAsia="方正仿宋_GBK" w:cs="方正仿宋_GBK"/>
          <w:b w:val="0"/>
          <w:bCs w:val="0"/>
          <w:color w:val="auto"/>
          <w:sz w:val="32"/>
          <w:szCs w:val="32"/>
          <w:highlight w:val="none"/>
          <w:shd w:val="clear" w:color="auto" w:fill="FFFFFF"/>
          <w:lang w:eastAsia="zh-CN"/>
        </w:rPr>
        <w:t>指标设计，使其</w:t>
      </w:r>
      <w:r>
        <w:rPr>
          <w:rFonts w:hint="eastAsia" w:ascii="Times New Roman" w:hAnsi="Times New Roman" w:eastAsia="方正仿宋_GBK" w:cs="方正仿宋_GBK"/>
          <w:b w:val="0"/>
          <w:bCs w:val="0"/>
          <w:color w:val="auto"/>
          <w:sz w:val="32"/>
          <w:szCs w:val="32"/>
          <w:highlight w:val="none"/>
          <w:shd w:val="clear" w:color="auto" w:fill="FFFFFF"/>
        </w:rPr>
        <w:t>更加科学实用</w:t>
      </w:r>
      <w:r>
        <w:rPr>
          <w:rFonts w:hint="eastAsia" w:ascii="Times New Roman" w:hAnsi="Times New Roman" w:eastAsia="方正仿宋_GBK" w:cs="方正仿宋_GBK"/>
          <w:b w:val="0"/>
          <w:bCs w:val="0"/>
          <w:color w:val="auto"/>
          <w:sz w:val="32"/>
          <w:szCs w:val="32"/>
          <w:highlight w:val="none"/>
          <w:shd w:val="clear" w:color="auto" w:fill="FFFFFF"/>
          <w:lang w:eastAsia="zh-CN"/>
        </w:rPr>
        <w:t>，</w:t>
      </w:r>
      <w:r>
        <w:rPr>
          <w:rFonts w:hint="eastAsia" w:ascii="Times New Roman" w:hAnsi="Times New Roman" w:eastAsia="方正仿宋_GBK" w:cs="方正仿宋_GBK"/>
          <w:b w:val="0"/>
          <w:bCs w:val="0"/>
          <w:color w:val="auto"/>
          <w:sz w:val="32"/>
          <w:szCs w:val="32"/>
          <w:highlight w:val="none"/>
          <w:shd w:val="clear" w:color="auto" w:fill="FFFFFF"/>
          <w:lang w:val="en-US" w:eastAsia="zh-CN"/>
        </w:rPr>
        <w:t>提高资金使用实效等</w:t>
      </w:r>
      <w:r>
        <w:rPr>
          <w:rFonts w:hint="eastAsia" w:ascii="Times New Roman" w:hAnsi="Times New Roman" w:eastAsia="方正仿宋_GBK" w:cs="方正仿宋_GBK"/>
          <w:b w:val="0"/>
          <w:bCs w:val="0"/>
          <w:color w:val="auto"/>
          <w:sz w:val="32"/>
          <w:szCs w:val="32"/>
          <w:highlight w:val="none"/>
          <w:shd w:val="clear" w:color="auto" w:fill="FFFFFF"/>
        </w:rPr>
        <w:t>工作建议</w:t>
      </w:r>
      <w:r>
        <w:rPr>
          <w:rFonts w:hint="eastAsia" w:ascii="Times New Roman" w:hAnsi="Times New Roman" w:eastAsia="方正仿宋_GBK" w:cs="方正仿宋_GBK"/>
          <w:b w:val="0"/>
          <w:bCs w:val="0"/>
          <w:color w:val="auto"/>
          <w:sz w:val="32"/>
          <w:szCs w:val="32"/>
          <w:highlight w:val="none"/>
          <w:shd w:val="clear" w:color="auto" w:fill="FFFFFF"/>
          <w:lang w:eastAsia="zh-CN"/>
        </w:rPr>
        <w:t>。</w:t>
      </w:r>
    </w:p>
    <w:p w14:paraId="55ABCA4E">
      <w:pPr>
        <w:pStyle w:val="17"/>
        <w:keepNext w:val="0"/>
        <w:keepLines w:val="0"/>
        <w:pageBreakBefore w:val="0"/>
        <w:kinsoku/>
        <w:overflowPunct w:val="0"/>
        <w:topLinePunct/>
        <w:autoSpaceDE w:val="0"/>
        <w:autoSpaceDN/>
        <w:bidi w:val="0"/>
        <w:spacing w:beforeAutospacing="0" w:line="560" w:lineRule="exact"/>
        <w:ind w:firstLine="640" w:firstLineChars="200"/>
        <w:rPr>
          <w:rFonts w:hint="default" w:ascii="Times New Roman" w:hAnsi="Times New Roman" w:eastAsia="方正仿宋_GBK" w:cs="方正仿宋_GBK"/>
          <w:b w:val="0"/>
          <w:bCs w:val="0"/>
          <w:color w:val="auto"/>
          <w:sz w:val="32"/>
          <w:szCs w:val="32"/>
          <w:highlight w:val="none"/>
          <w:shd w:val="clear" w:color="auto" w:fill="FFFFFF"/>
          <w:lang w:val="en-US" w:eastAsia="zh-CN"/>
        </w:rPr>
      </w:pPr>
      <w:r>
        <w:rPr>
          <w:rFonts w:hint="eastAsia" w:ascii="Times New Roman" w:hAnsi="Times New Roman" w:eastAsia="方正仿宋_GBK" w:cs="方正仿宋_GBK"/>
          <w:b w:val="0"/>
          <w:bCs w:val="0"/>
          <w:color w:val="auto"/>
          <w:sz w:val="32"/>
          <w:szCs w:val="32"/>
          <w:highlight w:val="none"/>
          <w:shd w:val="clear" w:color="auto" w:fill="FFFFFF"/>
          <w:lang w:val="en-US" w:eastAsia="zh-CN"/>
        </w:rPr>
        <w:t>绩效自评表3个</w:t>
      </w:r>
    </w:p>
    <w:p w14:paraId="51F47C6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Times New Roman" w:hAnsi="Times New Roman" w:eastAsia="方正仿宋_GBK" w:cs="方正仿宋_GBK"/>
          <w:b w:val="0"/>
          <w:bCs w:val="0"/>
          <w:color w:val="auto"/>
          <w:sz w:val="32"/>
          <w:szCs w:val="32"/>
          <w:highlight w:val="none"/>
          <w:shd w:val="clear" w:color="auto" w:fill="FFFFFF"/>
          <w:lang w:eastAsia="zh-CN"/>
        </w:rPr>
      </w:pP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34"/>
        <w:gridCol w:w="884"/>
        <w:gridCol w:w="884"/>
        <w:gridCol w:w="822"/>
        <w:gridCol w:w="649"/>
        <w:gridCol w:w="917"/>
        <w:gridCol w:w="844"/>
        <w:gridCol w:w="618"/>
        <w:gridCol w:w="575"/>
        <w:gridCol w:w="756"/>
        <w:gridCol w:w="666"/>
      </w:tblGrid>
      <w:tr w14:paraId="13EB5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7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C3FC">
            <w:pPr>
              <w:keepNext w:val="0"/>
              <w:keepLines w:val="0"/>
              <w:widowControl/>
              <w:suppressLineNumbers w:val="0"/>
              <w:jc w:val="center"/>
              <w:textAlignment w:val="center"/>
              <w:rPr>
                <w:rFonts w:ascii="Times New Roman" w:hAnsi="微软雅黑" w:eastAsia="微软雅黑" w:cs="微软雅黑"/>
                <w:b/>
                <w:bCs/>
                <w:i w:val="0"/>
                <w:iCs w:val="0"/>
                <w:color w:val="auto"/>
                <w:sz w:val="40"/>
                <w:szCs w:val="40"/>
                <w:highlight w:val="none"/>
                <w:u w:val="none"/>
              </w:rPr>
            </w:pPr>
            <w:r>
              <w:rPr>
                <w:rFonts w:hint="eastAsia" w:ascii="Times New Roman" w:hAnsi="微软雅黑" w:eastAsia="微软雅黑" w:cs="微软雅黑"/>
                <w:b/>
                <w:bCs/>
                <w:i w:val="0"/>
                <w:iCs w:val="0"/>
                <w:color w:val="auto"/>
                <w:kern w:val="0"/>
                <w:sz w:val="40"/>
                <w:szCs w:val="40"/>
                <w:highlight w:val="none"/>
                <w:u w:val="none"/>
                <w:lang w:val="en-US" w:eastAsia="zh-CN" w:bidi="ar"/>
              </w:rPr>
              <w:t>2024年度项目绩效自评表</w:t>
            </w:r>
          </w:p>
        </w:tc>
      </w:tr>
      <w:tr w14:paraId="22C68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07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7B6E1">
            <w:pPr>
              <w:jc w:val="right"/>
              <w:rPr>
                <w:rFonts w:hint="eastAsia" w:ascii="Times New Roman" w:hAnsi="宋体" w:eastAsia="宋体" w:cs="宋体"/>
                <w:b/>
                <w:bCs/>
                <w:i w:val="0"/>
                <w:iCs w:val="0"/>
                <w:color w:val="auto"/>
                <w:sz w:val="22"/>
                <w:szCs w:val="22"/>
                <w:highlight w:val="none"/>
                <w:u w:val="none"/>
              </w:rPr>
            </w:pPr>
          </w:p>
        </w:tc>
      </w:tr>
      <w:tr w14:paraId="62E71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E0A11">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项目名称：</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E5C37">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政府采购专家评审及相关费用</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E5CC4">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项目编码：</w:t>
            </w:r>
          </w:p>
        </w:tc>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0207">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50023024T000004056622</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41017">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自评总分：</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5823">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3959">
            <w:pPr>
              <w:jc w:val="right"/>
              <w:rPr>
                <w:rFonts w:hint="eastAsia" w:ascii="Times New Roman" w:hAnsi="宋体" w:eastAsia="宋体" w:cs="宋体"/>
                <w:b/>
                <w:bCs/>
                <w:i w:val="0"/>
                <w:iCs w:val="0"/>
                <w:color w:val="auto"/>
                <w:sz w:val="22"/>
                <w:szCs w:val="22"/>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9677">
            <w:pPr>
              <w:rPr>
                <w:rFonts w:hint="eastAsia" w:ascii="Times New Roman" w:hAnsi="宋体" w:eastAsia="宋体" w:cs="宋体"/>
                <w:i w:val="0"/>
                <w:iCs w:val="0"/>
                <w:color w:val="auto"/>
                <w:sz w:val="22"/>
                <w:szCs w:val="22"/>
                <w:highlight w:val="none"/>
                <w:u w:val="none"/>
              </w:rPr>
            </w:pPr>
          </w:p>
        </w:tc>
      </w:tr>
      <w:tr w14:paraId="0FFBE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49D2">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项目主管部门：</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8CECC">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602-丰都县公共资源交易事务中心</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428BA">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财政归口处室：</w:t>
            </w:r>
          </w:p>
        </w:tc>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146B7">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006-经建科</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8273">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部门联系人：</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9C52">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曾燕</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B345A">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联系电话：</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7D92">
            <w:pPr>
              <w:keepNext w:val="0"/>
              <w:keepLines w:val="0"/>
              <w:widowControl/>
              <w:suppressLineNumbers w:val="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70731860</w:t>
            </w:r>
          </w:p>
        </w:tc>
      </w:tr>
      <w:tr w14:paraId="046B0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7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F215">
            <w:pPr>
              <w:keepNext w:val="0"/>
              <w:keepLines w:val="0"/>
              <w:widowControl/>
              <w:suppressLineNumbers w:val="0"/>
              <w:jc w:val="center"/>
              <w:textAlignment w:val="center"/>
              <w:rPr>
                <w:rFonts w:hint="eastAsia" w:ascii="Times New Roman" w:hAnsi="微软雅黑" w:eastAsia="微软雅黑" w:cs="微软雅黑"/>
                <w:b/>
                <w:bCs/>
                <w:i w:val="0"/>
                <w:iCs w:val="0"/>
                <w:color w:val="auto"/>
                <w:sz w:val="28"/>
                <w:szCs w:val="28"/>
                <w:highlight w:val="none"/>
                <w:u w:val="none"/>
              </w:rPr>
            </w:pPr>
            <w:r>
              <w:rPr>
                <w:rFonts w:hint="eastAsia" w:ascii="Times New Roman" w:hAnsi="微软雅黑" w:eastAsia="微软雅黑" w:cs="微软雅黑"/>
                <w:b/>
                <w:bCs/>
                <w:i w:val="0"/>
                <w:iCs w:val="0"/>
                <w:color w:val="auto"/>
                <w:kern w:val="0"/>
                <w:sz w:val="28"/>
                <w:szCs w:val="28"/>
                <w:highlight w:val="none"/>
                <w:u w:val="none"/>
                <w:lang w:val="en-US" w:eastAsia="zh-CN" w:bidi="ar"/>
              </w:rPr>
              <w:t>资金情况</w:t>
            </w:r>
          </w:p>
        </w:tc>
      </w:tr>
      <w:tr w14:paraId="08B06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7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FDE51">
            <w:pPr>
              <w:jc w:val="center"/>
              <w:rPr>
                <w:rFonts w:hint="eastAsia" w:ascii="Times New Roman" w:hAnsi="宋体" w:eastAsia="宋体" w:cs="宋体"/>
                <w:i w:val="0"/>
                <w:iCs w:val="0"/>
                <w:color w:val="auto"/>
                <w:sz w:val="22"/>
                <w:szCs w:val="22"/>
                <w:highlight w:val="none"/>
                <w:u w:val="none"/>
              </w:rPr>
            </w:pPr>
          </w:p>
        </w:tc>
        <w:tc>
          <w:tcPr>
            <w:tcW w:w="1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C4F6">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年初预算数</w:t>
            </w:r>
          </w:p>
        </w:tc>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28A47">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全年（调整）预算数</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3452F">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全年执行数</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B73E">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执行率</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9A56">
            <w:pPr>
              <w:keepNext w:val="0"/>
              <w:keepLines w:val="0"/>
              <w:widowControl/>
              <w:suppressLineNumbers w:val="0"/>
              <w:jc w:val="lef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执行率权重</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4EB4">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执行率得分</w:t>
            </w:r>
          </w:p>
        </w:tc>
      </w:tr>
      <w:tr w14:paraId="6CD1E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834" w:type="dxa"/>
            <w:tcBorders>
              <w:top w:val="single" w:color="000000" w:sz="4" w:space="0"/>
              <w:left w:val="single" w:color="000000" w:sz="4" w:space="0"/>
              <w:bottom w:val="single" w:color="000000" w:sz="4" w:space="0"/>
              <w:right w:val="nil"/>
            </w:tcBorders>
            <w:shd w:val="clear" w:color="auto" w:fill="auto"/>
            <w:vAlign w:val="center"/>
          </w:tcPr>
          <w:p w14:paraId="330B49A6">
            <w:pPr>
              <w:keepNext w:val="0"/>
              <w:keepLines w:val="0"/>
              <w:widowControl/>
              <w:suppressLineNumbers w:val="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年度总金额</w:t>
            </w:r>
          </w:p>
        </w:tc>
        <w:tc>
          <w:tcPr>
            <w:tcW w:w="884" w:type="dxa"/>
            <w:tcBorders>
              <w:top w:val="single" w:color="000000" w:sz="4" w:space="0"/>
              <w:left w:val="nil"/>
              <w:bottom w:val="single" w:color="000000" w:sz="4" w:space="0"/>
              <w:right w:val="single" w:color="000000" w:sz="4" w:space="0"/>
            </w:tcBorders>
            <w:shd w:val="clear" w:color="auto" w:fill="auto"/>
            <w:noWrap/>
            <w:vAlign w:val="center"/>
          </w:tcPr>
          <w:p w14:paraId="298F1E94">
            <w:pPr>
              <w:rPr>
                <w:rFonts w:hint="eastAsia" w:ascii="Times New Roman" w:hAnsi="宋体" w:eastAsia="宋体" w:cs="宋体"/>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nil"/>
            </w:tcBorders>
            <w:shd w:val="clear" w:color="auto" w:fill="auto"/>
            <w:noWrap/>
            <w:vAlign w:val="center"/>
          </w:tcPr>
          <w:p w14:paraId="7F2F187D">
            <w:pPr>
              <w:rPr>
                <w:rFonts w:hint="eastAsia" w:ascii="Times New Roman" w:hAnsi="宋体" w:eastAsia="宋体" w:cs="宋体"/>
                <w:i w:val="0"/>
                <w:iCs w:val="0"/>
                <w:color w:val="auto"/>
                <w:sz w:val="22"/>
                <w:szCs w:val="22"/>
                <w:highlight w:val="none"/>
                <w:u w:val="none"/>
              </w:rPr>
            </w:pPr>
          </w:p>
        </w:tc>
        <w:tc>
          <w:tcPr>
            <w:tcW w:w="822" w:type="dxa"/>
            <w:tcBorders>
              <w:top w:val="single" w:color="000000" w:sz="4" w:space="0"/>
              <w:left w:val="nil"/>
              <w:bottom w:val="single" w:color="000000" w:sz="4" w:space="0"/>
              <w:right w:val="single" w:color="000000" w:sz="4" w:space="0"/>
            </w:tcBorders>
            <w:shd w:val="clear" w:color="auto" w:fill="auto"/>
            <w:noWrap/>
            <w:vAlign w:val="center"/>
          </w:tcPr>
          <w:p w14:paraId="72B467D8">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122,000.00 </w:t>
            </w:r>
          </w:p>
        </w:tc>
        <w:tc>
          <w:tcPr>
            <w:tcW w:w="649" w:type="dxa"/>
            <w:tcBorders>
              <w:top w:val="single" w:color="000000" w:sz="4" w:space="0"/>
              <w:left w:val="single" w:color="000000" w:sz="4" w:space="0"/>
              <w:bottom w:val="single" w:color="000000" w:sz="4" w:space="0"/>
              <w:right w:val="nil"/>
            </w:tcBorders>
            <w:shd w:val="clear" w:color="auto" w:fill="auto"/>
            <w:noWrap/>
            <w:vAlign w:val="center"/>
          </w:tcPr>
          <w:p w14:paraId="6F278657">
            <w:pPr>
              <w:rPr>
                <w:rFonts w:hint="eastAsia" w:ascii="Times New Roman" w:hAnsi="宋体" w:eastAsia="宋体" w:cs="宋体"/>
                <w:i w:val="0"/>
                <w:iCs w:val="0"/>
                <w:color w:val="auto"/>
                <w:sz w:val="22"/>
                <w:szCs w:val="22"/>
                <w:highlight w:val="none"/>
                <w:u w:val="none"/>
              </w:rPr>
            </w:pPr>
          </w:p>
        </w:tc>
        <w:tc>
          <w:tcPr>
            <w:tcW w:w="917" w:type="dxa"/>
            <w:tcBorders>
              <w:top w:val="single" w:color="000000" w:sz="4" w:space="0"/>
              <w:left w:val="nil"/>
              <w:bottom w:val="single" w:color="000000" w:sz="4" w:space="0"/>
              <w:right w:val="single" w:color="000000" w:sz="4" w:space="0"/>
            </w:tcBorders>
            <w:shd w:val="clear" w:color="auto" w:fill="auto"/>
            <w:vAlign w:val="center"/>
          </w:tcPr>
          <w:p w14:paraId="597A0C06">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122,000.00 </w:t>
            </w:r>
          </w:p>
        </w:tc>
        <w:tc>
          <w:tcPr>
            <w:tcW w:w="844" w:type="dxa"/>
            <w:tcBorders>
              <w:top w:val="single" w:color="000000" w:sz="4" w:space="0"/>
              <w:left w:val="single" w:color="000000" w:sz="4" w:space="0"/>
              <w:bottom w:val="single" w:color="000000" w:sz="4" w:space="0"/>
              <w:right w:val="nil"/>
            </w:tcBorders>
            <w:shd w:val="clear" w:color="auto" w:fill="auto"/>
            <w:noWrap/>
            <w:vAlign w:val="center"/>
          </w:tcPr>
          <w:p w14:paraId="1B8BB211">
            <w:pPr>
              <w:rPr>
                <w:rFonts w:hint="eastAsia" w:ascii="Times New Roman" w:hAnsi="宋体" w:eastAsia="宋体" w:cs="宋体"/>
                <w:i w:val="0"/>
                <w:iCs w:val="0"/>
                <w:color w:val="auto"/>
                <w:sz w:val="22"/>
                <w:szCs w:val="22"/>
                <w:highlight w:val="none"/>
                <w:u w:val="none"/>
              </w:rPr>
            </w:pPr>
          </w:p>
        </w:tc>
        <w:tc>
          <w:tcPr>
            <w:tcW w:w="618" w:type="dxa"/>
            <w:tcBorders>
              <w:top w:val="single" w:color="000000" w:sz="4" w:space="0"/>
              <w:left w:val="nil"/>
              <w:bottom w:val="single" w:color="000000" w:sz="4" w:space="0"/>
              <w:right w:val="single" w:color="000000" w:sz="4" w:space="0"/>
            </w:tcBorders>
            <w:shd w:val="clear" w:color="auto" w:fill="auto"/>
            <w:noWrap/>
            <w:vAlign w:val="center"/>
          </w:tcPr>
          <w:p w14:paraId="211C60DC">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122,000.00 </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115A">
            <w:pPr>
              <w:rPr>
                <w:rFonts w:hint="eastAsia" w:ascii="Times New Roman" w:hAnsi="宋体" w:eastAsia="宋体" w:cs="宋体"/>
                <w:i w:val="0"/>
                <w:iCs w:val="0"/>
                <w:color w:val="auto"/>
                <w:sz w:val="22"/>
                <w:szCs w:val="22"/>
                <w:highlight w:val="none"/>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1A591">
            <w:pPr>
              <w:rPr>
                <w:rFonts w:hint="eastAsia" w:ascii="Times New Roman" w:hAnsi="宋体" w:eastAsia="宋体" w:cs="宋体"/>
                <w:i w:val="0"/>
                <w:iCs w:val="0"/>
                <w:color w:val="auto"/>
                <w:sz w:val="22"/>
                <w:szCs w:val="22"/>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27485">
            <w:pPr>
              <w:jc w:val="right"/>
              <w:rPr>
                <w:rFonts w:hint="eastAsia" w:ascii="Times New Roman" w:hAnsi="宋体" w:eastAsia="宋体" w:cs="宋体"/>
                <w:i w:val="0"/>
                <w:iCs w:val="0"/>
                <w:color w:val="auto"/>
                <w:sz w:val="22"/>
                <w:szCs w:val="22"/>
                <w:highlight w:val="none"/>
                <w:u w:val="none"/>
              </w:rPr>
            </w:pPr>
          </w:p>
        </w:tc>
      </w:tr>
      <w:tr w14:paraId="1299F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834" w:type="dxa"/>
            <w:tcBorders>
              <w:top w:val="single" w:color="000000" w:sz="4" w:space="0"/>
              <w:left w:val="single" w:color="000000" w:sz="4" w:space="0"/>
              <w:bottom w:val="single" w:color="000000" w:sz="4" w:space="0"/>
              <w:right w:val="nil"/>
            </w:tcBorders>
            <w:shd w:val="clear" w:color="auto" w:fill="auto"/>
            <w:vAlign w:val="center"/>
          </w:tcPr>
          <w:p w14:paraId="0454C97A">
            <w:pPr>
              <w:keepNext w:val="0"/>
              <w:keepLines w:val="0"/>
              <w:widowControl/>
              <w:suppressLineNumbers w:val="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其中：财政拨款</w:t>
            </w:r>
          </w:p>
        </w:tc>
        <w:tc>
          <w:tcPr>
            <w:tcW w:w="884" w:type="dxa"/>
            <w:tcBorders>
              <w:top w:val="single" w:color="000000" w:sz="4" w:space="0"/>
              <w:left w:val="nil"/>
              <w:bottom w:val="single" w:color="000000" w:sz="4" w:space="0"/>
              <w:right w:val="single" w:color="000000" w:sz="4" w:space="0"/>
            </w:tcBorders>
            <w:shd w:val="clear" w:color="auto" w:fill="auto"/>
            <w:noWrap/>
            <w:vAlign w:val="center"/>
          </w:tcPr>
          <w:p w14:paraId="25D9A2FC">
            <w:pPr>
              <w:rPr>
                <w:rFonts w:hint="eastAsia" w:ascii="Times New Roman" w:hAnsi="宋体" w:eastAsia="宋体" w:cs="宋体"/>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nil"/>
            </w:tcBorders>
            <w:shd w:val="clear" w:color="auto" w:fill="auto"/>
            <w:noWrap/>
            <w:vAlign w:val="center"/>
          </w:tcPr>
          <w:p w14:paraId="5EF56338">
            <w:pPr>
              <w:rPr>
                <w:rFonts w:hint="eastAsia" w:ascii="Times New Roman" w:hAnsi="宋体" w:eastAsia="宋体" w:cs="宋体"/>
                <w:i w:val="0"/>
                <w:iCs w:val="0"/>
                <w:color w:val="auto"/>
                <w:sz w:val="22"/>
                <w:szCs w:val="22"/>
                <w:highlight w:val="none"/>
                <w:u w:val="none"/>
              </w:rPr>
            </w:pPr>
          </w:p>
        </w:tc>
        <w:tc>
          <w:tcPr>
            <w:tcW w:w="822" w:type="dxa"/>
            <w:tcBorders>
              <w:top w:val="single" w:color="000000" w:sz="4" w:space="0"/>
              <w:left w:val="nil"/>
              <w:bottom w:val="single" w:color="000000" w:sz="4" w:space="0"/>
              <w:right w:val="single" w:color="000000" w:sz="4" w:space="0"/>
            </w:tcBorders>
            <w:shd w:val="clear" w:color="auto" w:fill="auto"/>
            <w:noWrap/>
            <w:vAlign w:val="center"/>
          </w:tcPr>
          <w:p w14:paraId="34D087C4">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122,000.00 </w:t>
            </w:r>
          </w:p>
        </w:tc>
        <w:tc>
          <w:tcPr>
            <w:tcW w:w="649" w:type="dxa"/>
            <w:tcBorders>
              <w:top w:val="single" w:color="000000" w:sz="4" w:space="0"/>
              <w:left w:val="single" w:color="000000" w:sz="4" w:space="0"/>
              <w:bottom w:val="single" w:color="000000" w:sz="4" w:space="0"/>
              <w:right w:val="nil"/>
            </w:tcBorders>
            <w:shd w:val="clear" w:color="auto" w:fill="auto"/>
            <w:noWrap/>
            <w:vAlign w:val="center"/>
          </w:tcPr>
          <w:p w14:paraId="05C12616">
            <w:pPr>
              <w:rPr>
                <w:rFonts w:hint="eastAsia" w:ascii="Times New Roman" w:hAnsi="宋体" w:eastAsia="宋体" w:cs="宋体"/>
                <w:i w:val="0"/>
                <w:iCs w:val="0"/>
                <w:color w:val="auto"/>
                <w:sz w:val="22"/>
                <w:szCs w:val="22"/>
                <w:highlight w:val="none"/>
                <w:u w:val="none"/>
              </w:rPr>
            </w:pPr>
          </w:p>
        </w:tc>
        <w:tc>
          <w:tcPr>
            <w:tcW w:w="917" w:type="dxa"/>
            <w:tcBorders>
              <w:top w:val="single" w:color="000000" w:sz="4" w:space="0"/>
              <w:left w:val="nil"/>
              <w:bottom w:val="single" w:color="000000" w:sz="4" w:space="0"/>
              <w:right w:val="single" w:color="000000" w:sz="4" w:space="0"/>
            </w:tcBorders>
            <w:shd w:val="clear" w:color="auto" w:fill="auto"/>
            <w:vAlign w:val="center"/>
          </w:tcPr>
          <w:p w14:paraId="745E5D61">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122,000.00 </w:t>
            </w:r>
          </w:p>
        </w:tc>
        <w:tc>
          <w:tcPr>
            <w:tcW w:w="844" w:type="dxa"/>
            <w:tcBorders>
              <w:top w:val="single" w:color="000000" w:sz="4" w:space="0"/>
              <w:left w:val="single" w:color="000000" w:sz="4" w:space="0"/>
              <w:bottom w:val="single" w:color="000000" w:sz="4" w:space="0"/>
              <w:right w:val="nil"/>
            </w:tcBorders>
            <w:shd w:val="clear" w:color="auto" w:fill="auto"/>
            <w:noWrap/>
            <w:vAlign w:val="center"/>
          </w:tcPr>
          <w:p w14:paraId="003E089D">
            <w:pPr>
              <w:rPr>
                <w:rFonts w:hint="eastAsia" w:ascii="Times New Roman" w:hAnsi="宋体" w:eastAsia="宋体" w:cs="宋体"/>
                <w:i w:val="0"/>
                <w:iCs w:val="0"/>
                <w:color w:val="auto"/>
                <w:sz w:val="22"/>
                <w:szCs w:val="22"/>
                <w:highlight w:val="none"/>
                <w:u w:val="none"/>
              </w:rPr>
            </w:pPr>
          </w:p>
        </w:tc>
        <w:tc>
          <w:tcPr>
            <w:tcW w:w="618" w:type="dxa"/>
            <w:tcBorders>
              <w:top w:val="single" w:color="000000" w:sz="4" w:space="0"/>
              <w:left w:val="nil"/>
              <w:bottom w:val="single" w:color="000000" w:sz="4" w:space="0"/>
              <w:right w:val="single" w:color="000000" w:sz="4" w:space="0"/>
            </w:tcBorders>
            <w:shd w:val="clear" w:color="auto" w:fill="auto"/>
            <w:noWrap/>
            <w:vAlign w:val="center"/>
          </w:tcPr>
          <w:p w14:paraId="48503BF8">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122,000.00 </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30FF">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D26B4">
            <w:pPr>
              <w:keepNext w:val="0"/>
              <w:keepLines w:val="0"/>
              <w:widowControl/>
              <w:suppressLineNumbers w:val="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10.00</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5F09">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10.00 </w:t>
            </w:r>
          </w:p>
        </w:tc>
      </w:tr>
      <w:tr w14:paraId="5C1DF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834" w:type="dxa"/>
            <w:tcBorders>
              <w:top w:val="single" w:color="000000" w:sz="4" w:space="0"/>
              <w:left w:val="single" w:color="000000" w:sz="4" w:space="0"/>
              <w:bottom w:val="single" w:color="000000" w:sz="4" w:space="0"/>
              <w:right w:val="nil"/>
            </w:tcBorders>
            <w:shd w:val="clear" w:color="auto" w:fill="auto"/>
            <w:vAlign w:val="center"/>
          </w:tcPr>
          <w:p w14:paraId="186A2688">
            <w:pPr>
              <w:keepNext w:val="0"/>
              <w:keepLines w:val="0"/>
              <w:widowControl/>
              <w:suppressLineNumbers w:val="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一般公共预算</w:t>
            </w:r>
          </w:p>
        </w:tc>
        <w:tc>
          <w:tcPr>
            <w:tcW w:w="884" w:type="dxa"/>
            <w:tcBorders>
              <w:top w:val="single" w:color="000000" w:sz="4" w:space="0"/>
              <w:left w:val="nil"/>
              <w:bottom w:val="single" w:color="000000" w:sz="4" w:space="0"/>
              <w:right w:val="single" w:color="000000" w:sz="4" w:space="0"/>
            </w:tcBorders>
            <w:shd w:val="clear" w:color="auto" w:fill="auto"/>
            <w:noWrap/>
            <w:vAlign w:val="center"/>
          </w:tcPr>
          <w:p w14:paraId="63AE6D41">
            <w:pPr>
              <w:rPr>
                <w:rFonts w:hint="eastAsia" w:ascii="Times New Roman" w:hAnsi="宋体" w:eastAsia="宋体" w:cs="宋体"/>
                <w:i w:val="0"/>
                <w:iCs w:val="0"/>
                <w:color w:val="auto"/>
                <w:sz w:val="22"/>
                <w:szCs w:val="22"/>
                <w:highlight w:val="none"/>
                <w:u w:val="none"/>
              </w:rPr>
            </w:pPr>
          </w:p>
        </w:tc>
        <w:tc>
          <w:tcPr>
            <w:tcW w:w="884" w:type="dxa"/>
            <w:tcBorders>
              <w:top w:val="single" w:color="000000" w:sz="4" w:space="0"/>
              <w:left w:val="single" w:color="000000" w:sz="4" w:space="0"/>
              <w:bottom w:val="single" w:color="000000" w:sz="4" w:space="0"/>
              <w:right w:val="nil"/>
            </w:tcBorders>
            <w:shd w:val="clear" w:color="auto" w:fill="auto"/>
            <w:noWrap/>
            <w:vAlign w:val="center"/>
          </w:tcPr>
          <w:p w14:paraId="7CA5EB82">
            <w:pPr>
              <w:rPr>
                <w:rFonts w:hint="eastAsia" w:ascii="Times New Roman" w:hAnsi="宋体" w:eastAsia="宋体" w:cs="宋体"/>
                <w:i w:val="0"/>
                <w:iCs w:val="0"/>
                <w:color w:val="auto"/>
                <w:sz w:val="22"/>
                <w:szCs w:val="22"/>
                <w:highlight w:val="none"/>
                <w:u w:val="none"/>
              </w:rPr>
            </w:pPr>
          </w:p>
        </w:tc>
        <w:tc>
          <w:tcPr>
            <w:tcW w:w="822" w:type="dxa"/>
            <w:tcBorders>
              <w:top w:val="single" w:color="000000" w:sz="4" w:space="0"/>
              <w:left w:val="nil"/>
              <w:bottom w:val="single" w:color="000000" w:sz="4" w:space="0"/>
              <w:right w:val="single" w:color="000000" w:sz="4" w:space="0"/>
            </w:tcBorders>
            <w:shd w:val="clear" w:color="auto" w:fill="auto"/>
            <w:noWrap/>
            <w:vAlign w:val="center"/>
          </w:tcPr>
          <w:p w14:paraId="6DD491B0">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122,000.00 </w:t>
            </w:r>
          </w:p>
        </w:tc>
        <w:tc>
          <w:tcPr>
            <w:tcW w:w="649" w:type="dxa"/>
            <w:tcBorders>
              <w:top w:val="single" w:color="000000" w:sz="4" w:space="0"/>
              <w:left w:val="single" w:color="000000" w:sz="4" w:space="0"/>
              <w:bottom w:val="single" w:color="000000" w:sz="4" w:space="0"/>
              <w:right w:val="nil"/>
            </w:tcBorders>
            <w:shd w:val="clear" w:color="auto" w:fill="auto"/>
            <w:noWrap/>
            <w:vAlign w:val="center"/>
          </w:tcPr>
          <w:p w14:paraId="3471138B">
            <w:pPr>
              <w:rPr>
                <w:rFonts w:hint="eastAsia" w:ascii="Times New Roman" w:hAnsi="宋体" w:eastAsia="宋体" w:cs="宋体"/>
                <w:i w:val="0"/>
                <w:iCs w:val="0"/>
                <w:color w:val="auto"/>
                <w:sz w:val="22"/>
                <w:szCs w:val="22"/>
                <w:highlight w:val="none"/>
                <w:u w:val="none"/>
              </w:rPr>
            </w:pPr>
          </w:p>
        </w:tc>
        <w:tc>
          <w:tcPr>
            <w:tcW w:w="917" w:type="dxa"/>
            <w:tcBorders>
              <w:top w:val="single" w:color="000000" w:sz="4" w:space="0"/>
              <w:left w:val="nil"/>
              <w:bottom w:val="single" w:color="000000" w:sz="4" w:space="0"/>
              <w:right w:val="single" w:color="000000" w:sz="4" w:space="0"/>
            </w:tcBorders>
            <w:shd w:val="clear" w:color="auto" w:fill="auto"/>
            <w:vAlign w:val="center"/>
          </w:tcPr>
          <w:p w14:paraId="6B6A75FB">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122,000.00 </w:t>
            </w:r>
          </w:p>
        </w:tc>
        <w:tc>
          <w:tcPr>
            <w:tcW w:w="844" w:type="dxa"/>
            <w:tcBorders>
              <w:top w:val="single" w:color="000000" w:sz="4" w:space="0"/>
              <w:left w:val="single" w:color="000000" w:sz="4" w:space="0"/>
              <w:bottom w:val="single" w:color="000000" w:sz="4" w:space="0"/>
              <w:right w:val="nil"/>
            </w:tcBorders>
            <w:shd w:val="clear" w:color="auto" w:fill="auto"/>
            <w:noWrap/>
            <w:vAlign w:val="center"/>
          </w:tcPr>
          <w:p w14:paraId="4E65CDE5">
            <w:pPr>
              <w:rPr>
                <w:rFonts w:hint="eastAsia" w:ascii="Times New Roman" w:hAnsi="宋体" w:eastAsia="宋体" w:cs="宋体"/>
                <w:i w:val="0"/>
                <w:iCs w:val="0"/>
                <w:color w:val="auto"/>
                <w:sz w:val="22"/>
                <w:szCs w:val="22"/>
                <w:highlight w:val="none"/>
                <w:u w:val="none"/>
              </w:rPr>
            </w:pPr>
          </w:p>
        </w:tc>
        <w:tc>
          <w:tcPr>
            <w:tcW w:w="618" w:type="dxa"/>
            <w:tcBorders>
              <w:top w:val="single" w:color="000000" w:sz="4" w:space="0"/>
              <w:left w:val="nil"/>
              <w:bottom w:val="single" w:color="000000" w:sz="4" w:space="0"/>
              <w:right w:val="single" w:color="000000" w:sz="4" w:space="0"/>
            </w:tcBorders>
            <w:shd w:val="clear" w:color="auto" w:fill="auto"/>
            <w:noWrap/>
            <w:vAlign w:val="center"/>
          </w:tcPr>
          <w:p w14:paraId="4F30FA51">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122,000.00 </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FE6C4">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1FD19">
            <w:pPr>
              <w:rPr>
                <w:rFonts w:hint="eastAsia" w:ascii="Times New Roman" w:hAnsi="宋体" w:eastAsia="宋体" w:cs="宋体"/>
                <w:i w:val="0"/>
                <w:iCs w:val="0"/>
                <w:color w:val="auto"/>
                <w:sz w:val="22"/>
                <w:szCs w:val="22"/>
                <w:highlight w:val="none"/>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C8360">
            <w:pPr>
              <w:jc w:val="right"/>
              <w:rPr>
                <w:rFonts w:hint="eastAsia" w:ascii="Times New Roman" w:hAnsi="宋体" w:eastAsia="宋体" w:cs="宋体"/>
                <w:i w:val="0"/>
                <w:iCs w:val="0"/>
                <w:color w:val="auto"/>
                <w:sz w:val="22"/>
                <w:szCs w:val="22"/>
                <w:highlight w:val="none"/>
                <w:u w:val="none"/>
              </w:rPr>
            </w:pPr>
          </w:p>
        </w:tc>
      </w:tr>
      <w:tr w14:paraId="28240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7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92FB">
            <w:pPr>
              <w:keepNext w:val="0"/>
              <w:keepLines w:val="0"/>
              <w:widowControl/>
              <w:suppressLineNumbers w:val="0"/>
              <w:jc w:val="center"/>
              <w:textAlignment w:val="center"/>
              <w:rPr>
                <w:rFonts w:hint="eastAsia" w:ascii="Times New Roman" w:hAnsi="微软雅黑" w:eastAsia="微软雅黑" w:cs="微软雅黑"/>
                <w:b/>
                <w:bCs/>
                <w:i w:val="0"/>
                <w:iCs w:val="0"/>
                <w:color w:val="auto"/>
                <w:sz w:val="28"/>
                <w:szCs w:val="28"/>
                <w:highlight w:val="none"/>
                <w:u w:val="none"/>
              </w:rPr>
            </w:pPr>
            <w:r>
              <w:rPr>
                <w:rFonts w:hint="eastAsia" w:ascii="Times New Roman" w:hAnsi="微软雅黑" w:eastAsia="微软雅黑" w:cs="微软雅黑"/>
                <w:b/>
                <w:bCs/>
                <w:i w:val="0"/>
                <w:iCs w:val="0"/>
                <w:color w:val="auto"/>
                <w:kern w:val="0"/>
                <w:sz w:val="28"/>
                <w:szCs w:val="28"/>
                <w:highlight w:val="none"/>
                <w:u w:val="none"/>
                <w:lang w:val="en-US" w:eastAsia="zh-CN" w:bidi="ar"/>
              </w:rPr>
              <w:t>绩效目标</w:t>
            </w:r>
          </w:p>
        </w:tc>
      </w:tr>
      <w:tr w14:paraId="725F4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43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6EC5">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年初绩效目标</w:t>
            </w:r>
          </w:p>
        </w:tc>
        <w:tc>
          <w:tcPr>
            <w:tcW w:w="280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AFF2A">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全年（调整）绩效目标</w:t>
            </w:r>
          </w:p>
        </w:tc>
        <w:tc>
          <w:tcPr>
            <w:tcW w:w="19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CD54B">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全年目标实际完成情况</w:t>
            </w:r>
          </w:p>
        </w:tc>
      </w:tr>
      <w:tr w14:paraId="26B2F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431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983D571">
            <w:pPr>
              <w:keepNext w:val="0"/>
              <w:keepLines w:val="0"/>
              <w:widowControl/>
              <w:suppressLineNumbers w:val="0"/>
              <w:jc w:val="left"/>
              <w:textAlignment w:val="top"/>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根据2017年丰都县财政局转发关于《重庆市财政局关于政府采购评审费专家劳务报酬支付标准指导意见的通知》的通知，以及交易中心三定方案要求，集中采购必须由</w:t>
            </w:r>
            <w:r>
              <w:rPr>
                <w:rFonts w:hint="eastAsia" w:cs="宋体"/>
                <w:i w:val="0"/>
                <w:iCs w:val="0"/>
                <w:color w:val="auto"/>
                <w:kern w:val="0"/>
                <w:sz w:val="22"/>
                <w:szCs w:val="22"/>
                <w:highlight w:val="none"/>
                <w:u w:val="none"/>
                <w:lang w:val="en-US" w:eastAsia="zh-CN" w:bidi="ar"/>
              </w:rPr>
              <w:t>非营利</w:t>
            </w:r>
            <w:r>
              <w:rPr>
                <w:rFonts w:hint="eastAsia" w:ascii="Times New Roman" w:hAnsi="宋体" w:eastAsia="宋体" w:cs="宋体"/>
                <w:i w:val="0"/>
                <w:iCs w:val="0"/>
                <w:color w:val="auto"/>
                <w:kern w:val="0"/>
                <w:sz w:val="22"/>
                <w:szCs w:val="22"/>
                <w:highlight w:val="none"/>
                <w:u w:val="none"/>
                <w:lang w:val="en-US" w:eastAsia="zh-CN" w:bidi="ar"/>
              </w:rPr>
              <w:t>性的事业单位组织采购，这项工作是交易中心在组织实施，所以政府采购专家费用误餐费由交易中心在支付，费用包括专家评审费、伙食费、市场考察费及招标文件印刷费等。</w:t>
            </w:r>
          </w:p>
        </w:tc>
        <w:tc>
          <w:tcPr>
            <w:tcW w:w="280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19A9CDB">
            <w:pPr>
              <w:jc w:val="left"/>
              <w:rPr>
                <w:rFonts w:hint="default" w:ascii="Times New Roman" w:hAnsi="宋体" w:eastAsia="宋体" w:cs="宋体"/>
                <w:i w:val="0"/>
                <w:iCs w:val="0"/>
                <w:color w:val="auto"/>
                <w:sz w:val="22"/>
                <w:szCs w:val="22"/>
                <w:highlight w:val="none"/>
                <w:u w:val="none"/>
                <w:lang w:val="en-US" w:eastAsia="zh-CN"/>
              </w:rPr>
            </w:pPr>
            <w:r>
              <w:rPr>
                <w:rFonts w:hint="eastAsia" w:ascii="Times New Roman" w:hAnsi="宋体" w:eastAsia="宋体" w:cs="宋体"/>
                <w:i w:val="0"/>
                <w:iCs w:val="0"/>
                <w:color w:val="auto"/>
                <w:kern w:val="0"/>
                <w:sz w:val="22"/>
                <w:szCs w:val="22"/>
                <w:highlight w:val="none"/>
                <w:u w:val="none"/>
                <w:lang w:val="en-US" w:eastAsia="zh-CN" w:bidi="ar"/>
              </w:rPr>
              <w:t>根据2017年丰都县财政局转发关于《重庆市财政局关于政府采购评审费专家劳务报酬支付标准指导意见的通知》的通知，以及交易中心三定方案要求，集中采购必须由</w:t>
            </w:r>
            <w:r>
              <w:rPr>
                <w:rFonts w:hint="eastAsia" w:cs="宋体"/>
                <w:i w:val="0"/>
                <w:iCs w:val="0"/>
                <w:color w:val="auto"/>
                <w:kern w:val="0"/>
                <w:sz w:val="22"/>
                <w:szCs w:val="22"/>
                <w:highlight w:val="none"/>
                <w:u w:val="none"/>
                <w:lang w:val="en-US" w:eastAsia="zh-CN" w:bidi="ar"/>
              </w:rPr>
              <w:t>非营利</w:t>
            </w:r>
            <w:r>
              <w:rPr>
                <w:rFonts w:hint="eastAsia" w:ascii="Times New Roman" w:hAnsi="宋体" w:eastAsia="宋体" w:cs="宋体"/>
                <w:i w:val="0"/>
                <w:iCs w:val="0"/>
                <w:color w:val="auto"/>
                <w:kern w:val="0"/>
                <w:sz w:val="22"/>
                <w:szCs w:val="22"/>
                <w:highlight w:val="none"/>
                <w:u w:val="none"/>
                <w:lang w:val="en-US" w:eastAsia="zh-CN" w:bidi="ar"/>
              </w:rPr>
              <w:t>性的事业单位组织采购，这项工作是交易中心在组织实施，所以政府采购专家费用误餐费由交易中心在支付，费用包括专家评审费、伙食费、市场考察费及招标文件印刷费等。</w:t>
            </w:r>
          </w:p>
        </w:tc>
        <w:tc>
          <w:tcPr>
            <w:tcW w:w="199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1F9799D">
            <w:pPr>
              <w:keepNext w:val="0"/>
              <w:keepLines w:val="0"/>
              <w:widowControl/>
              <w:suppressLineNumbers w:val="0"/>
              <w:jc w:val="left"/>
              <w:textAlignment w:val="top"/>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已完成</w:t>
            </w:r>
          </w:p>
        </w:tc>
      </w:tr>
      <w:tr w14:paraId="1095C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7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F32AB">
            <w:pPr>
              <w:keepNext w:val="0"/>
              <w:keepLines w:val="0"/>
              <w:widowControl/>
              <w:suppressLineNumbers w:val="0"/>
              <w:jc w:val="center"/>
              <w:textAlignment w:val="center"/>
              <w:rPr>
                <w:rFonts w:hint="eastAsia" w:ascii="Times New Roman" w:hAnsi="微软雅黑" w:eastAsia="微软雅黑" w:cs="微软雅黑"/>
                <w:b/>
                <w:bCs/>
                <w:i w:val="0"/>
                <w:iCs w:val="0"/>
                <w:color w:val="auto"/>
                <w:sz w:val="28"/>
                <w:szCs w:val="28"/>
                <w:highlight w:val="none"/>
                <w:u w:val="none"/>
              </w:rPr>
            </w:pPr>
            <w:r>
              <w:rPr>
                <w:rFonts w:hint="eastAsia" w:ascii="Times New Roman" w:hAnsi="微软雅黑" w:eastAsia="微软雅黑" w:cs="微软雅黑"/>
                <w:b/>
                <w:bCs/>
                <w:i w:val="0"/>
                <w:iCs w:val="0"/>
                <w:color w:val="auto"/>
                <w:kern w:val="0"/>
                <w:sz w:val="28"/>
                <w:szCs w:val="28"/>
                <w:highlight w:val="none"/>
                <w:u w:val="none"/>
                <w:lang w:val="en-US" w:eastAsia="zh-CN" w:bidi="ar"/>
              </w:rPr>
              <w:t>绩效指标</w:t>
            </w:r>
          </w:p>
        </w:tc>
      </w:tr>
      <w:tr w14:paraId="6E0CA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291FC">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指标名称</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72BD3">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计量单位</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053FF">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指标性质</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1575B">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指标值</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08A9">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全年完成值</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5E08">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偏离度（%）</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E920">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得分系数（%）</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EF80">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指标权重</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3522">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指标得分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14D55">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是否核心指标</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E584">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说明</w:t>
            </w:r>
          </w:p>
        </w:tc>
      </w:tr>
      <w:tr w14:paraId="610A6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87B31">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全年项目数量</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AB61">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场次</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7E52">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9731">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40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384B9">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40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EBB0">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2CAB">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3D16">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40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33A9A">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40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6123D">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是</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9C48B">
            <w:pPr>
              <w:jc w:val="left"/>
              <w:rPr>
                <w:rFonts w:hint="eastAsia" w:ascii="Times New Roman" w:hAnsi="宋体" w:eastAsia="宋体" w:cs="宋体"/>
                <w:i w:val="0"/>
                <w:iCs w:val="0"/>
                <w:color w:val="auto"/>
                <w:sz w:val="22"/>
                <w:szCs w:val="22"/>
                <w:highlight w:val="none"/>
                <w:u w:val="none"/>
              </w:rPr>
            </w:pPr>
          </w:p>
        </w:tc>
      </w:tr>
      <w:tr w14:paraId="30280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AB23B">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相关单位购买符合单位要求的产品</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E87F9">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场次</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65E3">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定性</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7E77">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40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7A6ED">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7D362">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F0B7">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BACA3">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20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2CB6C">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93B26">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是</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EA3B8">
            <w:pPr>
              <w:jc w:val="left"/>
              <w:rPr>
                <w:rFonts w:hint="eastAsia" w:ascii="Times New Roman" w:hAnsi="宋体" w:eastAsia="宋体" w:cs="宋体"/>
                <w:i w:val="0"/>
                <w:iCs w:val="0"/>
                <w:color w:val="auto"/>
                <w:sz w:val="22"/>
                <w:szCs w:val="22"/>
                <w:highlight w:val="none"/>
                <w:u w:val="none"/>
              </w:rPr>
            </w:pPr>
          </w:p>
        </w:tc>
      </w:tr>
      <w:tr w14:paraId="55BBB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1F1FD">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各商家更方便快捷地为各单位提供服务</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A7BF">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E4B55">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8C429">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90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0226">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90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E36A6">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724C">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2BCD4">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4E569">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339F">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否</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90F9">
            <w:pPr>
              <w:jc w:val="left"/>
              <w:rPr>
                <w:rFonts w:hint="eastAsia" w:ascii="Times New Roman" w:hAnsi="宋体" w:eastAsia="宋体" w:cs="宋体"/>
                <w:i w:val="0"/>
                <w:iCs w:val="0"/>
                <w:color w:val="auto"/>
                <w:sz w:val="22"/>
                <w:szCs w:val="22"/>
                <w:highlight w:val="none"/>
                <w:u w:val="none"/>
              </w:rPr>
            </w:pPr>
          </w:p>
        </w:tc>
      </w:tr>
      <w:tr w14:paraId="48E6B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16EB1">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各单位能接到各商家更快捷的服务</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C5F4">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67E38">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243C9">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90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17165">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90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2DCC">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7B341">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2D499">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64C1F">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94FA6">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否</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62CA">
            <w:pPr>
              <w:jc w:val="left"/>
              <w:rPr>
                <w:rFonts w:hint="eastAsia" w:ascii="Times New Roman" w:hAnsi="宋体" w:eastAsia="宋体" w:cs="宋体"/>
                <w:i w:val="0"/>
                <w:iCs w:val="0"/>
                <w:color w:val="auto"/>
                <w:sz w:val="22"/>
                <w:szCs w:val="22"/>
                <w:highlight w:val="none"/>
                <w:u w:val="none"/>
              </w:rPr>
            </w:pPr>
          </w:p>
        </w:tc>
      </w:tr>
      <w:tr w14:paraId="17137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96B7">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节约财政资金</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956F4">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68BE">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F1F9">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7481D">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3D98">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280AC">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0704F">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B42E9">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7F81F">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否</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A3C31">
            <w:pPr>
              <w:jc w:val="left"/>
              <w:rPr>
                <w:rFonts w:hint="eastAsia" w:ascii="Times New Roman" w:hAnsi="宋体" w:eastAsia="宋体" w:cs="宋体"/>
                <w:i w:val="0"/>
                <w:iCs w:val="0"/>
                <w:color w:val="auto"/>
                <w:sz w:val="22"/>
                <w:szCs w:val="22"/>
                <w:highlight w:val="none"/>
                <w:u w:val="none"/>
              </w:rPr>
            </w:pPr>
          </w:p>
        </w:tc>
      </w:tr>
      <w:tr w14:paraId="4CF9E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851B8">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各单位购买到符合要求的正品</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F9EE">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54EAD">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A1D7">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90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378F">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90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5F0F">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6A84">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5FF1">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5DE83">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FF855">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否</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8A0A">
            <w:pPr>
              <w:jc w:val="left"/>
              <w:rPr>
                <w:rFonts w:hint="eastAsia" w:ascii="Times New Roman" w:hAnsi="宋体" w:eastAsia="宋体" w:cs="宋体"/>
                <w:i w:val="0"/>
                <w:iCs w:val="0"/>
                <w:color w:val="auto"/>
                <w:sz w:val="22"/>
                <w:szCs w:val="22"/>
                <w:highlight w:val="none"/>
                <w:u w:val="none"/>
              </w:rPr>
            </w:pPr>
          </w:p>
        </w:tc>
      </w:tr>
    </w:tbl>
    <w:p w14:paraId="0815BE1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Times New Roman" w:hAnsi="Times New Roman" w:eastAsia="方正仿宋_GBK" w:cs="方正仿宋_GBK"/>
          <w:b w:val="0"/>
          <w:bCs w:val="0"/>
          <w:color w:val="auto"/>
          <w:sz w:val="32"/>
          <w:szCs w:val="32"/>
          <w:highlight w:val="none"/>
          <w:shd w:val="clear" w:color="auto" w:fill="FFFFFF"/>
          <w:lang w:eastAsia="zh-CN"/>
        </w:rPr>
      </w:pP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40"/>
        <w:gridCol w:w="767"/>
        <w:gridCol w:w="767"/>
        <w:gridCol w:w="656"/>
        <w:gridCol w:w="531"/>
        <w:gridCol w:w="593"/>
        <w:gridCol w:w="656"/>
        <w:gridCol w:w="468"/>
        <w:gridCol w:w="468"/>
        <w:gridCol w:w="593"/>
        <w:gridCol w:w="531"/>
      </w:tblGrid>
      <w:tr w14:paraId="46365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0396">
            <w:pPr>
              <w:keepNext w:val="0"/>
              <w:keepLines w:val="0"/>
              <w:widowControl/>
              <w:suppressLineNumbers w:val="0"/>
              <w:jc w:val="center"/>
              <w:textAlignment w:val="center"/>
              <w:rPr>
                <w:rFonts w:ascii="Times New Roman" w:hAnsi="微软雅黑" w:eastAsia="微软雅黑" w:cs="微软雅黑"/>
                <w:b/>
                <w:bCs/>
                <w:i w:val="0"/>
                <w:iCs w:val="0"/>
                <w:color w:val="auto"/>
                <w:sz w:val="40"/>
                <w:szCs w:val="40"/>
                <w:highlight w:val="none"/>
                <w:u w:val="none"/>
              </w:rPr>
            </w:pPr>
            <w:r>
              <w:rPr>
                <w:rFonts w:hint="eastAsia" w:ascii="Times New Roman" w:hAnsi="微软雅黑" w:eastAsia="微软雅黑" w:cs="微软雅黑"/>
                <w:b/>
                <w:bCs/>
                <w:i w:val="0"/>
                <w:iCs w:val="0"/>
                <w:color w:val="auto"/>
                <w:kern w:val="0"/>
                <w:sz w:val="40"/>
                <w:szCs w:val="40"/>
                <w:highlight w:val="none"/>
                <w:u w:val="none"/>
                <w:lang w:val="en-US" w:eastAsia="zh-CN" w:bidi="ar"/>
              </w:rPr>
              <w:t>2024年度项目绩效自评表</w:t>
            </w:r>
          </w:p>
        </w:tc>
      </w:tr>
      <w:tr w14:paraId="66584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59DF">
            <w:pPr>
              <w:jc w:val="right"/>
              <w:rPr>
                <w:rFonts w:hint="eastAsia" w:ascii="Times New Roman" w:hAnsi="宋体" w:eastAsia="宋体" w:cs="宋体"/>
                <w:b/>
                <w:bCs/>
                <w:i w:val="0"/>
                <w:iCs w:val="0"/>
                <w:color w:val="auto"/>
                <w:sz w:val="22"/>
                <w:szCs w:val="22"/>
                <w:highlight w:val="none"/>
                <w:u w:val="none"/>
              </w:rPr>
            </w:pPr>
          </w:p>
        </w:tc>
      </w:tr>
      <w:tr w14:paraId="7C3E7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F0A1C">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364F3">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交易中心2024年乡村振兴驻村工作经费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D29AA">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3580C">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50023024T000004129687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602C">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070C">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889D3">
            <w:pPr>
              <w:jc w:val="right"/>
              <w:rPr>
                <w:rFonts w:hint="eastAsia" w:ascii="Times New Roman" w:hAnsi="宋体" w:eastAsia="宋体" w:cs="宋体"/>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00D479">
            <w:pPr>
              <w:rPr>
                <w:rFonts w:hint="eastAsia" w:ascii="Times New Roman" w:hAnsi="宋体" w:eastAsia="宋体" w:cs="宋体"/>
                <w:i w:val="0"/>
                <w:iCs w:val="0"/>
                <w:color w:val="auto"/>
                <w:sz w:val="22"/>
                <w:szCs w:val="22"/>
                <w:highlight w:val="none"/>
                <w:u w:val="none"/>
              </w:rPr>
            </w:pPr>
          </w:p>
        </w:tc>
      </w:tr>
      <w:tr w14:paraId="708A2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FEA88">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7E31">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602-丰都县公共资源交易事务中心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8C0A">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4A0F">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006-经建科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13BA3">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13D94">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陈祥满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42FB4">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F6E1A7">
            <w:pPr>
              <w:keepNext w:val="0"/>
              <w:keepLines w:val="0"/>
              <w:widowControl/>
              <w:suppressLineNumbers w:val="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70731858</w:t>
            </w:r>
          </w:p>
        </w:tc>
      </w:tr>
      <w:tr w14:paraId="31A95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D9CE9">
            <w:pPr>
              <w:keepNext w:val="0"/>
              <w:keepLines w:val="0"/>
              <w:widowControl/>
              <w:suppressLineNumbers w:val="0"/>
              <w:jc w:val="center"/>
              <w:textAlignment w:val="center"/>
              <w:rPr>
                <w:rFonts w:hint="eastAsia" w:ascii="Times New Roman" w:hAnsi="微软雅黑" w:eastAsia="微软雅黑" w:cs="微软雅黑"/>
                <w:b/>
                <w:bCs/>
                <w:i w:val="0"/>
                <w:iCs w:val="0"/>
                <w:color w:val="auto"/>
                <w:sz w:val="28"/>
                <w:szCs w:val="28"/>
                <w:highlight w:val="none"/>
                <w:u w:val="none"/>
              </w:rPr>
            </w:pPr>
            <w:r>
              <w:rPr>
                <w:rFonts w:hint="eastAsia" w:ascii="Times New Roman" w:hAnsi="微软雅黑" w:eastAsia="微软雅黑" w:cs="微软雅黑"/>
                <w:b/>
                <w:bCs/>
                <w:i w:val="0"/>
                <w:iCs w:val="0"/>
                <w:color w:val="auto"/>
                <w:kern w:val="0"/>
                <w:sz w:val="28"/>
                <w:szCs w:val="28"/>
                <w:highlight w:val="none"/>
                <w:u w:val="none"/>
                <w:lang w:val="en-US" w:eastAsia="zh-CN" w:bidi="ar"/>
              </w:rPr>
              <w:t>资金情况</w:t>
            </w:r>
          </w:p>
        </w:tc>
      </w:tr>
      <w:tr w14:paraId="3C6E0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1842">
            <w:pPr>
              <w:jc w:val="center"/>
              <w:rPr>
                <w:rFonts w:hint="eastAsia" w:ascii="Times New Roman" w:hAnsi="宋体" w:eastAsia="宋体" w:cs="宋体"/>
                <w:i w:val="0"/>
                <w:iCs w:val="0"/>
                <w:color w:val="auto"/>
                <w:sz w:val="22"/>
                <w:szCs w:val="22"/>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2C4AC">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A527C">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C0B8B">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16EA">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123E5">
            <w:pPr>
              <w:keepNext w:val="0"/>
              <w:keepLines w:val="0"/>
              <w:widowControl/>
              <w:suppressLineNumbers w:val="0"/>
              <w:jc w:val="lef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AFAA7">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执行率得分</w:t>
            </w:r>
          </w:p>
        </w:tc>
      </w:tr>
      <w:tr w14:paraId="1C473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nil"/>
            </w:tcBorders>
            <w:shd w:val="clear" w:color="auto" w:fill="auto"/>
            <w:vAlign w:val="center"/>
          </w:tcPr>
          <w:p w14:paraId="304B6059">
            <w:pPr>
              <w:keepNext w:val="0"/>
              <w:keepLines w:val="0"/>
              <w:widowControl/>
              <w:suppressLineNumbers w:val="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D2842DE">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C1A4CA2">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C9996F9">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26,400.00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D44398E">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24E643A8">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46,800.00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1B90F7F">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F5001E5">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46,800.00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4112D">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062F5">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6709A">
            <w:pPr>
              <w:jc w:val="right"/>
              <w:rPr>
                <w:rFonts w:hint="eastAsia" w:ascii="Times New Roman" w:hAnsi="宋体" w:eastAsia="宋体" w:cs="宋体"/>
                <w:i w:val="0"/>
                <w:iCs w:val="0"/>
                <w:color w:val="auto"/>
                <w:sz w:val="22"/>
                <w:szCs w:val="22"/>
                <w:highlight w:val="none"/>
                <w:u w:val="none"/>
              </w:rPr>
            </w:pPr>
          </w:p>
        </w:tc>
      </w:tr>
      <w:tr w14:paraId="06F3E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nil"/>
            </w:tcBorders>
            <w:shd w:val="clear" w:color="auto" w:fill="auto"/>
            <w:vAlign w:val="center"/>
          </w:tcPr>
          <w:p w14:paraId="3BC3936D">
            <w:pPr>
              <w:keepNext w:val="0"/>
              <w:keepLines w:val="0"/>
              <w:widowControl/>
              <w:suppressLineNumbers w:val="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C2ECF35">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763B878">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9A8DC96">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26,400.00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C36AEC0">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52DB4A41">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46,800.00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9EDC66F">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19A1D8C">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46,800.00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0ACA8">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53034">
            <w:pPr>
              <w:keepNext w:val="0"/>
              <w:keepLines w:val="0"/>
              <w:widowControl/>
              <w:suppressLineNumbers w:val="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D285F">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10.00 </w:t>
            </w:r>
          </w:p>
        </w:tc>
      </w:tr>
      <w:tr w14:paraId="652ED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nil"/>
            </w:tcBorders>
            <w:shd w:val="clear" w:color="auto" w:fill="auto"/>
            <w:vAlign w:val="center"/>
          </w:tcPr>
          <w:p w14:paraId="004FF299">
            <w:pPr>
              <w:keepNext w:val="0"/>
              <w:keepLines w:val="0"/>
              <w:widowControl/>
              <w:suppressLineNumbers w:val="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73DF07A">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989E09D">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5354792">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26,400.00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982F2F1">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4186F1C8">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46,800.00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FBFCF11">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F0C69A9">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46,800.00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E03C5">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766F">
            <w:pPr>
              <w:rPr>
                <w:rFonts w:hint="eastAsia" w:ascii="Times New Roman"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F19C4">
            <w:pPr>
              <w:jc w:val="right"/>
              <w:rPr>
                <w:rFonts w:hint="eastAsia" w:ascii="Times New Roman" w:hAnsi="宋体" w:eastAsia="宋体" w:cs="宋体"/>
                <w:i w:val="0"/>
                <w:iCs w:val="0"/>
                <w:color w:val="auto"/>
                <w:sz w:val="22"/>
                <w:szCs w:val="22"/>
                <w:highlight w:val="none"/>
                <w:u w:val="none"/>
              </w:rPr>
            </w:pPr>
          </w:p>
        </w:tc>
      </w:tr>
      <w:tr w14:paraId="54156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C6D4F">
            <w:pPr>
              <w:keepNext w:val="0"/>
              <w:keepLines w:val="0"/>
              <w:widowControl/>
              <w:suppressLineNumbers w:val="0"/>
              <w:jc w:val="center"/>
              <w:textAlignment w:val="center"/>
              <w:rPr>
                <w:rFonts w:hint="eastAsia" w:ascii="Times New Roman" w:hAnsi="微软雅黑" w:eastAsia="微软雅黑" w:cs="微软雅黑"/>
                <w:b/>
                <w:bCs/>
                <w:i w:val="0"/>
                <w:iCs w:val="0"/>
                <w:color w:val="auto"/>
                <w:sz w:val="28"/>
                <w:szCs w:val="28"/>
                <w:highlight w:val="none"/>
                <w:u w:val="none"/>
              </w:rPr>
            </w:pPr>
            <w:r>
              <w:rPr>
                <w:rFonts w:hint="eastAsia" w:ascii="Times New Roman" w:hAnsi="微软雅黑" w:eastAsia="微软雅黑" w:cs="微软雅黑"/>
                <w:b/>
                <w:bCs/>
                <w:i w:val="0"/>
                <w:iCs w:val="0"/>
                <w:color w:val="auto"/>
                <w:kern w:val="0"/>
                <w:sz w:val="28"/>
                <w:szCs w:val="28"/>
                <w:highlight w:val="none"/>
                <w:u w:val="none"/>
                <w:lang w:val="en-US" w:eastAsia="zh-CN" w:bidi="ar"/>
              </w:rPr>
              <w:t>绩效目标</w:t>
            </w:r>
          </w:p>
        </w:tc>
      </w:tr>
      <w:tr w14:paraId="61574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DC3C2">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AE4B">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3B20">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全年目标实际完成情况</w:t>
            </w:r>
          </w:p>
        </w:tc>
      </w:tr>
      <w:tr w14:paraId="23396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475A916">
            <w:pPr>
              <w:keepNext w:val="0"/>
              <w:keepLines w:val="0"/>
              <w:widowControl/>
              <w:suppressLineNumbers w:val="0"/>
              <w:jc w:val="left"/>
              <w:textAlignment w:val="top"/>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保障乡村振兴驻村工作队员的日常补助支出。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BC1511C">
            <w:pPr>
              <w:jc w:val="left"/>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保障乡村振兴驻村工作队员的日常补助支出。</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E3A8292">
            <w:pPr>
              <w:keepNext w:val="0"/>
              <w:keepLines w:val="0"/>
              <w:widowControl/>
              <w:suppressLineNumbers w:val="0"/>
              <w:jc w:val="left"/>
              <w:textAlignment w:val="top"/>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全部完成。</w:t>
            </w:r>
          </w:p>
        </w:tc>
      </w:tr>
      <w:tr w14:paraId="1CFC2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23A0E">
            <w:pPr>
              <w:keepNext w:val="0"/>
              <w:keepLines w:val="0"/>
              <w:widowControl/>
              <w:suppressLineNumbers w:val="0"/>
              <w:jc w:val="center"/>
              <w:textAlignment w:val="center"/>
              <w:rPr>
                <w:rFonts w:hint="eastAsia" w:ascii="Times New Roman" w:hAnsi="微软雅黑" w:eastAsia="微软雅黑" w:cs="微软雅黑"/>
                <w:b/>
                <w:bCs/>
                <w:i w:val="0"/>
                <w:iCs w:val="0"/>
                <w:color w:val="auto"/>
                <w:sz w:val="28"/>
                <w:szCs w:val="28"/>
                <w:highlight w:val="none"/>
                <w:u w:val="none"/>
              </w:rPr>
            </w:pPr>
            <w:r>
              <w:rPr>
                <w:rFonts w:hint="eastAsia" w:ascii="Times New Roman" w:hAnsi="微软雅黑" w:eastAsia="微软雅黑" w:cs="微软雅黑"/>
                <w:b/>
                <w:bCs/>
                <w:i w:val="0"/>
                <w:iCs w:val="0"/>
                <w:color w:val="auto"/>
                <w:kern w:val="0"/>
                <w:sz w:val="28"/>
                <w:szCs w:val="28"/>
                <w:highlight w:val="none"/>
                <w:u w:val="none"/>
                <w:lang w:val="en-US" w:eastAsia="zh-CN" w:bidi="ar"/>
              </w:rPr>
              <w:t>绩效指标</w:t>
            </w:r>
          </w:p>
        </w:tc>
      </w:tr>
      <w:tr w14:paraId="5A5FC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83842">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3B3E8">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06FA1">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78AF7">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3D9D">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DD5AF">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A5EB7">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FFC5D">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51619">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89CD">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2ECB1">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说明</w:t>
            </w:r>
          </w:p>
        </w:tc>
      </w:tr>
      <w:tr w14:paraId="29DF9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7BCF3">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2024年驻村天数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57739">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A1A4E">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7A91">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99E16">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92D1">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51DD">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9D9A0">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B0D8A">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C43C">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70A0">
            <w:pPr>
              <w:jc w:val="left"/>
              <w:rPr>
                <w:rFonts w:hint="eastAsia" w:ascii="Times New Roman" w:hAnsi="宋体" w:eastAsia="宋体" w:cs="宋体"/>
                <w:i w:val="0"/>
                <w:iCs w:val="0"/>
                <w:color w:val="auto"/>
                <w:sz w:val="22"/>
                <w:szCs w:val="22"/>
                <w:highlight w:val="none"/>
                <w:u w:val="none"/>
              </w:rPr>
            </w:pPr>
          </w:p>
        </w:tc>
      </w:tr>
      <w:tr w14:paraId="03D22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44B2F">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宣传各类政策，改变村上工作人员和各帮扶对象对各种问题的认识。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5535">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56840">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7A61">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BF78">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699AF">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EECE">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EF4C4">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DDF4">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658C1">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901F">
            <w:pPr>
              <w:jc w:val="left"/>
              <w:rPr>
                <w:rFonts w:hint="eastAsia" w:ascii="Times New Roman" w:hAnsi="宋体" w:eastAsia="宋体" w:cs="宋体"/>
                <w:i w:val="0"/>
                <w:iCs w:val="0"/>
                <w:color w:val="auto"/>
                <w:sz w:val="22"/>
                <w:szCs w:val="22"/>
                <w:highlight w:val="none"/>
                <w:u w:val="none"/>
              </w:rPr>
            </w:pPr>
          </w:p>
        </w:tc>
      </w:tr>
      <w:tr w14:paraId="5DFB8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D6E85">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认真履行职责，帮助村上完成日常工作。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542E9">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1C6E6">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C0777">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25952">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8B7F2">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31DA">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62AB">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C95A">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D7D60">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868D2">
            <w:pPr>
              <w:jc w:val="left"/>
              <w:rPr>
                <w:rFonts w:hint="eastAsia" w:ascii="Times New Roman" w:hAnsi="宋体" w:eastAsia="宋体" w:cs="宋体"/>
                <w:i w:val="0"/>
                <w:iCs w:val="0"/>
                <w:color w:val="auto"/>
                <w:sz w:val="22"/>
                <w:szCs w:val="22"/>
                <w:highlight w:val="none"/>
                <w:u w:val="none"/>
              </w:rPr>
            </w:pPr>
          </w:p>
        </w:tc>
      </w:tr>
      <w:tr w14:paraId="1CB8D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C4E7">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在驻村工作期间每年遍访各帮扶对象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423CA">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0E5DB">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5F96">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874FC">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DE43">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86CEA">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E9611">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8804">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D5D9A">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2F07A">
            <w:pPr>
              <w:jc w:val="left"/>
              <w:rPr>
                <w:rFonts w:hint="eastAsia" w:ascii="Times New Roman" w:hAnsi="宋体" w:eastAsia="宋体" w:cs="宋体"/>
                <w:i w:val="0"/>
                <w:iCs w:val="0"/>
                <w:color w:val="auto"/>
                <w:sz w:val="22"/>
                <w:szCs w:val="22"/>
                <w:highlight w:val="none"/>
                <w:u w:val="none"/>
              </w:rPr>
            </w:pPr>
          </w:p>
        </w:tc>
      </w:tr>
      <w:tr w14:paraId="5273E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743CB">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通过驻村工作队员平时工作潜移默化</w:t>
            </w:r>
            <w:r>
              <w:rPr>
                <w:rFonts w:hint="eastAsia" w:ascii="Times New Roman" w:cs="宋体"/>
                <w:i w:val="0"/>
                <w:iCs w:val="0"/>
                <w:color w:val="auto"/>
                <w:kern w:val="0"/>
                <w:sz w:val="22"/>
                <w:szCs w:val="22"/>
                <w:highlight w:val="none"/>
                <w:u w:val="none"/>
                <w:lang w:val="en-US" w:eastAsia="zh-CN" w:bidi="ar"/>
              </w:rPr>
              <w:t>地</w:t>
            </w:r>
            <w:r>
              <w:rPr>
                <w:rFonts w:hint="eastAsia" w:ascii="Times New Roman" w:hAnsi="宋体" w:eastAsia="宋体" w:cs="宋体"/>
                <w:i w:val="0"/>
                <w:iCs w:val="0"/>
                <w:color w:val="auto"/>
                <w:kern w:val="0"/>
                <w:sz w:val="22"/>
                <w:szCs w:val="22"/>
                <w:highlight w:val="none"/>
                <w:u w:val="none"/>
                <w:lang w:val="en-US" w:eastAsia="zh-CN" w:bidi="ar"/>
              </w:rPr>
              <w:t>影响，逐步改变村上工作队员和帮扶对象对各种问题的认识。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B39A4">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DD00">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26E85">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C7C3D">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34D71">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77C29">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A0CD">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13CC4">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8049">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647DA">
            <w:pPr>
              <w:jc w:val="left"/>
              <w:rPr>
                <w:rFonts w:hint="eastAsia" w:ascii="Times New Roman" w:hAnsi="宋体" w:eastAsia="宋体" w:cs="宋体"/>
                <w:i w:val="0"/>
                <w:iCs w:val="0"/>
                <w:color w:val="auto"/>
                <w:sz w:val="22"/>
                <w:szCs w:val="22"/>
                <w:highlight w:val="none"/>
                <w:u w:val="none"/>
              </w:rPr>
            </w:pPr>
          </w:p>
        </w:tc>
      </w:tr>
    </w:tbl>
    <w:p w14:paraId="7542FF0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Times New Roman" w:hAnsi="Times New Roman" w:eastAsia="方正仿宋_GBK" w:cs="方正仿宋_GBK"/>
          <w:b w:val="0"/>
          <w:bCs w:val="0"/>
          <w:color w:val="auto"/>
          <w:sz w:val="32"/>
          <w:szCs w:val="32"/>
          <w:highlight w:val="none"/>
          <w:shd w:val="clear" w:color="auto" w:fill="FFFFFF"/>
          <w:lang w:eastAsia="zh-CN"/>
        </w:r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1"/>
        <w:gridCol w:w="599"/>
        <w:gridCol w:w="601"/>
        <w:gridCol w:w="499"/>
        <w:gridCol w:w="418"/>
        <w:gridCol w:w="459"/>
        <w:gridCol w:w="499"/>
        <w:gridCol w:w="378"/>
        <w:gridCol w:w="378"/>
        <w:gridCol w:w="459"/>
        <w:gridCol w:w="419"/>
      </w:tblGrid>
      <w:tr w14:paraId="57474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EB21A">
            <w:pPr>
              <w:keepNext w:val="0"/>
              <w:keepLines w:val="0"/>
              <w:widowControl/>
              <w:suppressLineNumbers w:val="0"/>
              <w:jc w:val="center"/>
              <w:textAlignment w:val="center"/>
              <w:rPr>
                <w:rFonts w:ascii="Times New Roman" w:hAnsi="微软雅黑" w:eastAsia="微软雅黑" w:cs="微软雅黑"/>
                <w:b/>
                <w:bCs/>
                <w:i w:val="0"/>
                <w:iCs w:val="0"/>
                <w:color w:val="auto"/>
                <w:sz w:val="40"/>
                <w:szCs w:val="40"/>
                <w:highlight w:val="none"/>
                <w:u w:val="none"/>
              </w:rPr>
            </w:pPr>
            <w:r>
              <w:rPr>
                <w:rFonts w:hint="eastAsia" w:ascii="Times New Roman" w:hAnsi="微软雅黑" w:eastAsia="微软雅黑" w:cs="微软雅黑"/>
                <w:b/>
                <w:bCs/>
                <w:i w:val="0"/>
                <w:iCs w:val="0"/>
                <w:color w:val="auto"/>
                <w:kern w:val="0"/>
                <w:sz w:val="40"/>
                <w:szCs w:val="40"/>
                <w:highlight w:val="none"/>
                <w:u w:val="none"/>
                <w:lang w:val="en-US" w:eastAsia="zh-CN" w:bidi="ar"/>
              </w:rPr>
              <w:t>2024年度项目绩效自评表</w:t>
            </w:r>
          </w:p>
        </w:tc>
      </w:tr>
      <w:tr w14:paraId="77757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DE7E0">
            <w:pPr>
              <w:jc w:val="right"/>
              <w:rPr>
                <w:rFonts w:hint="eastAsia" w:ascii="Times New Roman" w:hAnsi="宋体" w:eastAsia="宋体" w:cs="宋体"/>
                <w:b/>
                <w:bCs/>
                <w:i w:val="0"/>
                <w:iCs w:val="0"/>
                <w:color w:val="auto"/>
                <w:sz w:val="22"/>
                <w:szCs w:val="22"/>
                <w:highlight w:val="none"/>
                <w:u w:val="none"/>
              </w:rPr>
            </w:pPr>
          </w:p>
        </w:tc>
      </w:tr>
      <w:tr w14:paraId="4031E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B0216">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项目名称：</w:t>
            </w:r>
          </w:p>
        </w:tc>
        <w:tc>
          <w:tcPr>
            <w:tcW w:w="6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9E443">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建设“交易e起来”云平台系统信息化建设</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DB70">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项目编码：</w:t>
            </w:r>
          </w:p>
        </w:tc>
        <w:tc>
          <w:tcPr>
            <w:tcW w:w="4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D114">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50023024T000004466067</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2229">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自评总分：</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F0445">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38BA">
            <w:pPr>
              <w:jc w:val="right"/>
              <w:rPr>
                <w:rFonts w:hint="eastAsia" w:ascii="Times New Roman" w:hAnsi="宋体" w:eastAsia="宋体" w:cs="宋体"/>
                <w:b/>
                <w:bCs/>
                <w:i w:val="0"/>
                <w:iCs w:val="0"/>
                <w:color w:val="auto"/>
                <w:sz w:val="22"/>
                <w:szCs w:val="22"/>
                <w:highlight w:val="none"/>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B3E9F">
            <w:pPr>
              <w:rPr>
                <w:rFonts w:hint="eastAsia" w:ascii="Times New Roman" w:hAnsi="宋体" w:eastAsia="宋体" w:cs="宋体"/>
                <w:i w:val="0"/>
                <w:iCs w:val="0"/>
                <w:color w:val="auto"/>
                <w:sz w:val="22"/>
                <w:szCs w:val="22"/>
                <w:highlight w:val="none"/>
                <w:u w:val="none"/>
              </w:rPr>
            </w:pPr>
          </w:p>
        </w:tc>
      </w:tr>
      <w:tr w14:paraId="13291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C8917">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项目主管部门：</w:t>
            </w:r>
          </w:p>
        </w:tc>
        <w:tc>
          <w:tcPr>
            <w:tcW w:w="6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D5021">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602-丰都县公共资源交易事务中心</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3E95">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财政归口处室：</w:t>
            </w:r>
          </w:p>
        </w:tc>
        <w:tc>
          <w:tcPr>
            <w:tcW w:w="4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F09A">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006-经建科</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C1F7B">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部门联系人：</w:t>
            </w:r>
          </w:p>
        </w:tc>
        <w:tc>
          <w:tcPr>
            <w:tcW w:w="4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C2C0">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梁怡</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3F0E">
            <w:pPr>
              <w:keepNext w:val="0"/>
              <w:keepLines w:val="0"/>
              <w:widowControl/>
              <w:suppressLineNumbers w:val="0"/>
              <w:jc w:val="righ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联系电话：</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B6145">
            <w:pPr>
              <w:keepNext w:val="0"/>
              <w:keepLines w:val="0"/>
              <w:widowControl/>
              <w:suppressLineNumbers w:val="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70731853</w:t>
            </w:r>
          </w:p>
        </w:tc>
      </w:tr>
      <w:tr w14:paraId="7E58E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EC58">
            <w:pPr>
              <w:keepNext w:val="0"/>
              <w:keepLines w:val="0"/>
              <w:widowControl/>
              <w:suppressLineNumbers w:val="0"/>
              <w:jc w:val="center"/>
              <w:textAlignment w:val="center"/>
              <w:rPr>
                <w:rFonts w:hint="eastAsia" w:ascii="Times New Roman" w:hAnsi="微软雅黑" w:eastAsia="微软雅黑" w:cs="微软雅黑"/>
                <w:b/>
                <w:bCs/>
                <w:i w:val="0"/>
                <w:iCs w:val="0"/>
                <w:color w:val="auto"/>
                <w:sz w:val="28"/>
                <w:szCs w:val="28"/>
                <w:highlight w:val="none"/>
                <w:u w:val="none"/>
              </w:rPr>
            </w:pPr>
            <w:r>
              <w:rPr>
                <w:rFonts w:hint="eastAsia" w:ascii="Times New Roman" w:hAnsi="微软雅黑" w:eastAsia="微软雅黑" w:cs="微软雅黑"/>
                <w:b/>
                <w:bCs/>
                <w:i w:val="0"/>
                <w:iCs w:val="0"/>
                <w:color w:val="auto"/>
                <w:kern w:val="0"/>
                <w:sz w:val="28"/>
                <w:szCs w:val="28"/>
                <w:highlight w:val="none"/>
                <w:u w:val="none"/>
                <w:lang w:val="en-US" w:eastAsia="zh-CN" w:bidi="ar"/>
              </w:rPr>
              <w:t>资金情况</w:t>
            </w:r>
          </w:p>
        </w:tc>
      </w:tr>
      <w:tr w14:paraId="0DF61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7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9310">
            <w:pPr>
              <w:jc w:val="center"/>
              <w:rPr>
                <w:rFonts w:hint="eastAsia" w:ascii="Times New Roman" w:hAnsi="宋体" w:eastAsia="宋体" w:cs="宋体"/>
                <w:i w:val="0"/>
                <w:iCs w:val="0"/>
                <w:color w:val="auto"/>
                <w:sz w:val="22"/>
                <w:szCs w:val="22"/>
                <w:highlight w:val="none"/>
                <w:u w:val="none"/>
              </w:rPr>
            </w:pPr>
          </w:p>
        </w:tc>
        <w:tc>
          <w:tcPr>
            <w:tcW w:w="6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58861">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年初预算数</w:t>
            </w:r>
          </w:p>
        </w:tc>
        <w:tc>
          <w:tcPr>
            <w:tcW w:w="4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4FA17">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全年（调整）预算数</w:t>
            </w:r>
          </w:p>
        </w:tc>
        <w:tc>
          <w:tcPr>
            <w:tcW w:w="4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6D720">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全年执行数</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87354">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执行率</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F77C2">
            <w:pPr>
              <w:keepNext w:val="0"/>
              <w:keepLines w:val="0"/>
              <w:widowControl/>
              <w:suppressLineNumbers w:val="0"/>
              <w:jc w:val="left"/>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执行率权重</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4AB2">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执行率得分</w:t>
            </w:r>
          </w:p>
        </w:tc>
      </w:tr>
      <w:tr w14:paraId="506C4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04" w:type="pct"/>
            <w:tcBorders>
              <w:top w:val="single" w:color="000000" w:sz="4" w:space="0"/>
              <w:left w:val="single" w:color="000000" w:sz="4" w:space="0"/>
              <w:bottom w:val="single" w:color="000000" w:sz="4" w:space="0"/>
              <w:right w:val="nil"/>
            </w:tcBorders>
            <w:shd w:val="clear" w:color="auto" w:fill="auto"/>
            <w:vAlign w:val="center"/>
          </w:tcPr>
          <w:p w14:paraId="160CA767">
            <w:pPr>
              <w:keepNext w:val="0"/>
              <w:keepLines w:val="0"/>
              <w:widowControl/>
              <w:suppressLineNumbers w:val="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年度总金额</w:t>
            </w:r>
          </w:p>
        </w:tc>
        <w:tc>
          <w:tcPr>
            <w:tcW w:w="330" w:type="pct"/>
            <w:tcBorders>
              <w:top w:val="single" w:color="000000" w:sz="4" w:space="0"/>
              <w:left w:val="nil"/>
              <w:bottom w:val="single" w:color="000000" w:sz="4" w:space="0"/>
              <w:right w:val="single" w:color="000000" w:sz="4" w:space="0"/>
            </w:tcBorders>
            <w:shd w:val="clear" w:color="auto" w:fill="auto"/>
            <w:noWrap/>
            <w:vAlign w:val="center"/>
          </w:tcPr>
          <w:p w14:paraId="09FB6C9B">
            <w:pPr>
              <w:rPr>
                <w:rFonts w:hint="eastAsia" w:ascii="Times New Roman" w:hAnsi="宋体" w:eastAsia="宋体" w:cs="宋体"/>
                <w:i w:val="0"/>
                <w:iCs w:val="0"/>
                <w:color w:val="auto"/>
                <w:sz w:val="22"/>
                <w:szCs w:val="22"/>
                <w:highlight w:val="none"/>
                <w:u w:val="none"/>
              </w:rPr>
            </w:pPr>
          </w:p>
        </w:tc>
        <w:tc>
          <w:tcPr>
            <w:tcW w:w="330" w:type="pct"/>
            <w:tcBorders>
              <w:top w:val="single" w:color="000000" w:sz="4" w:space="0"/>
              <w:left w:val="single" w:color="000000" w:sz="4" w:space="0"/>
              <w:bottom w:val="single" w:color="000000" w:sz="4" w:space="0"/>
              <w:right w:val="nil"/>
            </w:tcBorders>
            <w:shd w:val="clear" w:color="auto" w:fill="auto"/>
            <w:noWrap/>
            <w:vAlign w:val="center"/>
          </w:tcPr>
          <w:p w14:paraId="318DD918">
            <w:pPr>
              <w:rPr>
                <w:rFonts w:hint="eastAsia" w:ascii="Times New Roman" w:hAnsi="宋体" w:eastAsia="宋体" w:cs="宋体"/>
                <w:i w:val="0"/>
                <w:iCs w:val="0"/>
                <w:color w:val="auto"/>
                <w:sz w:val="22"/>
                <w:szCs w:val="22"/>
                <w:highlight w:val="none"/>
                <w:u w:val="none"/>
              </w:rPr>
            </w:pPr>
          </w:p>
        </w:tc>
        <w:tc>
          <w:tcPr>
            <w:tcW w:w="275" w:type="pct"/>
            <w:tcBorders>
              <w:top w:val="single" w:color="000000" w:sz="4" w:space="0"/>
              <w:left w:val="nil"/>
              <w:bottom w:val="single" w:color="000000" w:sz="4" w:space="0"/>
              <w:right w:val="single" w:color="000000" w:sz="4" w:space="0"/>
            </w:tcBorders>
            <w:shd w:val="clear" w:color="auto" w:fill="auto"/>
            <w:noWrap/>
            <w:vAlign w:val="center"/>
          </w:tcPr>
          <w:p w14:paraId="2037EF83">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0.00 </w:t>
            </w:r>
          </w:p>
        </w:tc>
        <w:tc>
          <w:tcPr>
            <w:tcW w:w="230" w:type="pct"/>
            <w:tcBorders>
              <w:top w:val="single" w:color="000000" w:sz="4" w:space="0"/>
              <w:left w:val="single" w:color="000000" w:sz="4" w:space="0"/>
              <w:bottom w:val="single" w:color="000000" w:sz="4" w:space="0"/>
              <w:right w:val="nil"/>
            </w:tcBorders>
            <w:shd w:val="clear" w:color="auto" w:fill="auto"/>
            <w:noWrap/>
            <w:vAlign w:val="center"/>
          </w:tcPr>
          <w:p w14:paraId="761E2671">
            <w:pPr>
              <w:rPr>
                <w:rFonts w:hint="eastAsia" w:ascii="Times New Roman" w:hAnsi="宋体" w:eastAsia="宋体" w:cs="宋体"/>
                <w:i w:val="0"/>
                <w:iCs w:val="0"/>
                <w:color w:val="auto"/>
                <w:sz w:val="22"/>
                <w:szCs w:val="22"/>
                <w:highlight w:val="none"/>
                <w:u w:val="none"/>
              </w:rPr>
            </w:pPr>
          </w:p>
        </w:tc>
        <w:tc>
          <w:tcPr>
            <w:tcW w:w="253" w:type="pct"/>
            <w:tcBorders>
              <w:top w:val="single" w:color="000000" w:sz="4" w:space="0"/>
              <w:left w:val="nil"/>
              <w:bottom w:val="single" w:color="000000" w:sz="4" w:space="0"/>
              <w:right w:val="single" w:color="000000" w:sz="4" w:space="0"/>
            </w:tcBorders>
            <w:shd w:val="clear" w:color="auto" w:fill="auto"/>
            <w:vAlign w:val="center"/>
          </w:tcPr>
          <w:p w14:paraId="4E30E391">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57,400.00 </w:t>
            </w:r>
          </w:p>
        </w:tc>
        <w:tc>
          <w:tcPr>
            <w:tcW w:w="275" w:type="pct"/>
            <w:tcBorders>
              <w:top w:val="single" w:color="000000" w:sz="4" w:space="0"/>
              <w:left w:val="single" w:color="000000" w:sz="4" w:space="0"/>
              <w:bottom w:val="single" w:color="000000" w:sz="4" w:space="0"/>
              <w:right w:val="nil"/>
            </w:tcBorders>
            <w:shd w:val="clear" w:color="auto" w:fill="auto"/>
            <w:noWrap/>
            <w:vAlign w:val="center"/>
          </w:tcPr>
          <w:p w14:paraId="397E6E56">
            <w:pPr>
              <w:rPr>
                <w:rFonts w:hint="eastAsia" w:ascii="Times New Roman" w:hAnsi="宋体" w:eastAsia="宋体" w:cs="宋体"/>
                <w:i w:val="0"/>
                <w:iCs w:val="0"/>
                <w:color w:val="auto"/>
                <w:sz w:val="22"/>
                <w:szCs w:val="22"/>
                <w:highlight w:val="none"/>
                <w:u w:val="none"/>
              </w:rPr>
            </w:pPr>
          </w:p>
        </w:tc>
        <w:tc>
          <w:tcPr>
            <w:tcW w:w="208" w:type="pct"/>
            <w:tcBorders>
              <w:top w:val="single" w:color="000000" w:sz="4" w:space="0"/>
              <w:left w:val="nil"/>
              <w:bottom w:val="single" w:color="000000" w:sz="4" w:space="0"/>
              <w:right w:val="single" w:color="000000" w:sz="4" w:space="0"/>
            </w:tcBorders>
            <w:shd w:val="clear" w:color="auto" w:fill="auto"/>
            <w:noWrap/>
            <w:vAlign w:val="center"/>
          </w:tcPr>
          <w:p w14:paraId="04278D07">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57,400.00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78C7">
            <w:pPr>
              <w:rPr>
                <w:rFonts w:hint="eastAsia" w:ascii="Times New Roman" w:hAnsi="宋体" w:eastAsia="宋体" w:cs="宋体"/>
                <w:i w:val="0"/>
                <w:iCs w:val="0"/>
                <w:color w:val="auto"/>
                <w:sz w:val="22"/>
                <w:szCs w:val="22"/>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D6E1F">
            <w:pPr>
              <w:rPr>
                <w:rFonts w:hint="eastAsia" w:ascii="Times New Roman" w:hAnsi="宋体" w:eastAsia="宋体" w:cs="宋体"/>
                <w:i w:val="0"/>
                <w:iCs w:val="0"/>
                <w:color w:val="auto"/>
                <w:sz w:val="22"/>
                <w:szCs w:val="22"/>
                <w:highlight w:val="none"/>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F961C">
            <w:pPr>
              <w:jc w:val="right"/>
              <w:rPr>
                <w:rFonts w:hint="eastAsia" w:ascii="Times New Roman" w:hAnsi="宋体" w:eastAsia="宋体" w:cs="宋体"/>
                <w:i w:val="0"/>
                <w:iCs w:val="0"/>
                <w:color w:val="auto"/>
                <w:sz w:val="22"/>
                <w:szCs w:val="22"/>
                <w:highlight w:val="none"/>
                <w:u w:val="none"/>
              </w:rPr>
            </w:pPr>
          </w:p>
        </w:tc>
      </w:tr>
      <w:tr w14:paraId="375C6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04" w:type="pct"/>
            <w:tcBorders>
              <w:top w:val="single" w:color="000000" w:sz="4" w:space="0"/>
              <w:left w:val="single" w:color="000000" w:sz="4" w:space="0"/>
              <w:bottom w:val="single" w:color="000000" w:sz="4" w:space="0"/>
              <w:right w:val="nil"/>
            </w:tcBorders>
            <w:shd w:val="clear" w:color="auto" w:fill="auto"/>
            <w:vAlign w:val="center"/>
          </w:tcPr>
          <w:p w14:paraId="2DA6305E">
            <w:pPr>
              <w:keepNext w:val="0"/>
              <w:keepLines w:val="0"/>
              <w:widowControl/>
              <w:suppressLineNumbers w:val="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其中：财政拨款</w:t>
            </w:r>
          </w:p>
        </w:tc>
        <w:tc>
          <w:tcPr>
            <w:tcW w:w="330" w:type="pct"/>
            <w:tcBorders>
              <w:top w:val="single" w:color="000000" w:sz="4" w:space="0"/>
              <w:left w:val="nil"/>
              <w:bottom w:val="single" w:color="000000" w:sz="4" w:space="0"/>
              <w:right w:val="single" w:color="000000" w:sz="4" w:space="0"/>
            </w:tcBorders>
            <w:shd w:val="clear" w:color="auto" w:fill="auto"/>
            <w:noWrap/>
            <w:vAlign w:val="center"/>
          </w:tcPr>
          <w:p w14:paraId="5F2201A6">
            <w:pPr>
              <w:rPr>
                <w:rFonts w:hint="eastAsia" w:ascii="Times New Roman" w:hAnsi="宋体" w:eastAsia="宋体" w:cs="宋体"/>
                <w:i w:val="0"/>
                <w:iCs w:val="0"/>
                <w:color w:val="auto"/>
                <w:sz w:val="22"/>
                <w:szCs w:val="22"/>
                <w:highlight w:val="none"/>
                <w:u w:val="none"/>
              </w:rPr>
            </w:pPr>
          </w:p>
        </w:tc>
        <w:tc>
          <w:tcPr>
            <w:tcW w:w="330" w:type="pct"/>
            <w:tcBorders>
              <w:top w:val="single" w:color="000000" w:sz="4" w:space="0"/>
              <w:left w:val="single" w:color="000000" w:sz="4" w:space="0"/>
              <w:bottom w:val="single" w:color="000000" w:sz="4" w:space="0"/>
              <w:right w:val="nil"/>
            </w:tcBorders>
            <w:shd w:val="clear" w:color="auto" w:fill="auto"/>
            <w:noWrap/>
            <w:vAlign w:val="center"/>
          </w:tcPr>
          <w:p w14:paraId="32A279D8">
            <w:pPr>
              <w:rPr>
                <w:rFonts w:hint="eastAsia" w:ascii="Times New Roman" w:hAnsi="宋体" w:eastAsia="宋体" w:cs="宋体"/>
                <w:i w:val="0"/>
                <w:iCs w:val="0"/>
                <w:color w:val="auto"/>
                <w:sz w:val="22"/>
                <w:szCs w:val="22"/>
                <w:highlight w:val="none"/>
                <w:u w:val="none"/>
              </w:rPr>
            </w:pPr>
          </w:p>
        </w:tc>
        <w:tc>
          <w:tcPr>
            <w:tcW w:w="275" w:type="pct"/>
            <w:tcBorders>
              <w:top w:val="single" w:color="000000" w:sz="4" w:space="0"/>
              <w:left w:val="nil"/>
              <w:bottom w:val="single" w:color="000000" w:sz="4" w:space="0"/>
              <w:right w:val="single" w:color="000000" w:sz="4" w:space="0"/>
            </w:tcBorders>
            <w:shd w:val="clear" w:color="auto" w:fill="auto"/>
            <w:noWrap/>
            <w:vAlign w:val="center"/>
          </w:tcPr>
          <w:p w14:paraId="3A0853D8">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0.00 </w:t>
            </w:r>
          </w:p>
        </w:tc>
        <w:tc>
          <w:tcPr>
            <w:tcW w:w="230" w:type="pct"/>
            <w:tcBorders>
              <w:top w:val="single" w:color="000000" w:sz="4" w:space="0"/>
              <w:left w:val="single" w:color="000000" w:sz="4" w:space="0"/>
              <w:bottom w:val="single" w:color="000000" w:sz="4" w:space="0"/>
              <w:right w:val="nil"/>
            </w:tcBorders>
            <w:shd w:val="clear" w:color="auto" w:fill="auto"/>
            <w:noWrap/>
            <w:vAlign w:val="center"/>
          </w:tcPr>
          <w:p w14:paraId="778E79BB">
            <w:pPr>
              <w:rPr>
                <w:rFonts w:hint="eastAsia" w:ascii="Times New Roman" w:hAnsi="宋体" w:eastAsia="宋体" w:cs="宋体"/>
                <w:i w:val="0"/>
                <w:iCs w:val="0"/>
                <w:color w:val="auto"/>
                <w:sz w:val="22"/>
                <w:szCs w:val="22"/>
                <w:highlight w:val="none"/>
                <w:u w:val="none"/>
              </w:rPr>
            </w:pPr>
          </w:p>
        </w:tc>
        <w:tc>
          <w:tcPr>
            <w:tcW w:w="253" w:type="pct"/>
            <w:tcBorders>
              <w:top w:val="single" w:color="000000" w:sz="4" w:space="0"/>
              <w:left w:val="nil"/>
              <w:bottom w:val="single" w:color="000000" w:sz="4" w:space="0"/>
              <w:right w:val="single" w:color="000000" w:sz="4" w:space="0"/>
            </w:tcBorders>
            <w:shd w:val="clear" w:color="auto" w:fill="auto"/>
            <w:vAlign w:val="center"/>
          </w:tcPr>
          <w:p w14:paraId="57CF4C24">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57,400.00 </w:t>
            </w:r>
          </w:p>
        </w:tc>
        <w:tc>
          <w:tcPr>
            <w:tcW w:w="275" w:type="pct"/>
            <w:tcBorders>
              <w:top w:val="single" w:color="000000" w:sz="4" w:space="0"/>
              <w:left w:val="single" w:color="000000" w:sz="4" w:space="0"/>
              <w:bottom w:val="single" w:color="000000" w:sz="4" w:space="0"/>
              <w:right w:val="nil"/>
            </w:tcBorders>
            <w:shd w:val="clear" w:color="auto" w:fill="auto"/>
            <w:noWrap/>
            <w:vAlign w:val="center"/>
          </w:tcPr>
          <w:p w14:paraId="4ECD6835">
            <w:pPr>
              <w:rPr>
                <w:rFonts w:hint="eastAsia" w:ascii="Times New Roman" w:hAnsi="宋体" w:eastAsia="宋体" w:cs="宋体"/>
                <w:i w:val="0"/>
                <w:iCs w:val="0"/>
                <w:color w:val="auto"/>
                <w:sz w:val="22"/>
                <w:szCs w:val="22"/>
                <w:highlight w:val="none"/>
                <w:u w:val="none"/>
              </w:rPr>
            </w:pPr>
          </w:p>
        </w:tc>
        <w:tc>
          <w:tcPr>
            <w:tcW w:w="208" w:type="pct"/>
            <w:tcBorders>
              <w:top w:val="single" w:color="000000" w:sz="4" w:space="0"/>
              <w:left w:val="nil"/>
              <w:bottom w:val="single" w:color="000000" w:sz="4" w:space="0"/>
              <w:right w:val="single" w:color="000000" w:sz="4" w:space="0"/>
            </w:tcBorders>
            <w:shd w:val="clear" w:color="auto" w:fill="auto"/>
            <w:noWrap/>
            <w:vAlign w:val="center"/>
          </w:tcPr>
          <w:p w14:paraId="7F438F49">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57,400.00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42EC">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B275">
            <w:pPr>
              <w:keepNext w:val="0"/>
              <w:keepLines w:val="0"/>
              <w:widowControl/>
              <w:suppressLineNumbers w:val="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4E8E5">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10.00 </w:t>
            </w:r>
          </w:p>
        </w:tc>
      </w:tr>
      <w:tr w14:paraId="7E2BE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04" w:type="pct"/>
            <w:tcBorders>
              <w:top w:val="single" w:color="000000" w:sz="4" w:space="0"/>
              <w:left w:val="single" w:color="000000" w:sz="4" w:space="0"/>
              <w:bottom w:val="single" w:color="000000" w:sz="4" w:space="0"/>
              <w:right w:val="nil"/>
            </w:tcBorders>
            <w:shd w:val="clear" w:color="auto" w:fill="auto"/>
            <w:vAlign w:val="center"/>
          </w:tcPr>
          <w:p w14:paraId="4810AEEA">
            <w:pPr>
              <w:keepNext w:val="0"/>
              <w:keepLines w:val="0"/>
              <w:widowControl/>
              <w:suppressLineNumbers w:val="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一般公共预算</w:t>
            </w:r>
          </w:p>
        </w:tc>
        <w:tc>
          <w:tcPr>
            <w:tcW w:w="330" w:type="pct"/>
            <w:tcBorders>
              <w:top w:val="single" w:color="000000" w:sz="4" w:space="0"/>
              <w:left w:val="nil"/>
              <w:bottom w:val="single" w:color="000000" w:sz="4" w:space="0"/>
              <w:right w:val="single" w:color="000000" w:sz="4" w:space="0"/>
            </w:tcBorders>
            <w:shd w:val="clear" w:color="auto" w:fill="auto"/>
            <w:noWrap/>
            <w:vAlign w:val="center"/>
          </w:tcPr>
          <w:p w14:paraId="3261E6F5">
            <w:pPr>
              <w:rPr>
                <w:rFonts w:hint="eastAsia" w:ascii="Times New Roman" w:hAnsi="宋体" w:eastAsia="宋体" w:cs="宋体"/>
                <w:i w:val="0"/>
                <w:iCs w:val="0"/>
                <w:color w:val="auto"/>
                <w:sz w:val="22"/>
                <w:szCs w:val="22"/>
                <w:highlight w:val="none"/>
                <w:u w:val="none"/>
              </w:rPr>
            </w:pPr>
          </w:p>
        </w:tc>
        <w:tc>
          <w:tcPr>
            <w:tcW w:w="330" w:type="pct"/>
            <w:tcBorders>
              <w:top w:val="single" w:color="000000" w:sz="4" w:space="0"/>
              <w:left w:val="single" w:color="000000" w:sz="4" w:space="0"/>
              <w:bottom w:val="single" w:color="000000" w:sz="4" w:space="0"/>
              <w:right w:val="nil"/>
            </w:tcBorders>
            <w:shd w:val="clear" w:color="auto" w:fill="auto"/>
            <w:noWrap/>
            <w:vAlign w:val="center"/>
          </w:tcPr>
          <w:p w14:paraId="3A7DE4C9">
            <w:pPr>
              <w:rPr>
                <w:rFonts w:hint="eastAsia" w:ascii="Times New Roman" w:hAnsi="宋体" w:eastAsia="宋体" w:cs="宋体"/>
                <w:i w:val="0"/>
                <w:iCs w:val="0"/>
                <w:color w:val="auto"/>
                <w:sz w:val="22"/>
                <w:szCs w:val="22"/>
                <w:highlight w:val="none"/>
                <w:u w:val="none"/>
              </w:rPr>
            </w:pPr>
          </w:p>
        </w:tc>
        <w:tc>
          <w:tcPr>
            <w:tcW w:w="275" w:type="pct"/>
            <w:tcBorders>
              <w:top w:val="single" w:color="000000" w:sz="4" w:space="0"/>
              <w:left w:val="nil"/>
              <w:bottom w:val="single" w:color="000000" w:sz="4" w:space="0"/>
              <w:right w:val="single" w:color="000000" w:sz="4" w:space="0"/>
            </w:tcBorders>
            <w:shd w:val="clear" w:color="auto" w:fill="auto"/>
            <w:noWrap/>
            <w:vAlign w:val="center"/>
          </w:tcPr>
          <w:p w14:paraId="796D34E0">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0.00 </w:t>
            </w:r>
          </w:p>
        </w:tc>
        <w:tc>
          <w:tcPr>
            <w:tcW w:w="230" w:type="pct"/>
            <w:tcBorders>
              <w:top w:val="single" w:color="000000" w:sz="4" w:space="0"/>
              <w:left w:val="single" w:color="000000" w:sz="4" w:space="0"/>
              <w:bottom w:val="single" w:color="000000" w:sz="4" w:space="0"/>
              <w:right w:val="nil"/>
            </w:tcBorders>
            <w:shd w:val="clear" w:color="auto" w:fill="auto"/>
            <w:noWrap/>
            <w:vAlign w:val="center"/>
          </w:tcPr>
          <w:p w14:paraId="773A1074">
            <w:pPr>
              <w:rPr>
                <w:rFonts w:hint="eastAsia" w:ascii="Times New Roman" w:hAnsi="宋体" w:eastAsia="宋体" w:cs="宋体"/>
                <w:i w:val="0"/>
                <w:iCs w:val="0"/>
                <w:color w:val="auto"/>
                <w:sz w:val="22"/>
                <w:szCs w:val="22"/>
                <w:highlight w:val="none"/>
                <w:u w:val="none"/>
              </w:rPr>
            </w:pPr>
          </w:p>
        </w:tc>
        <w:tc>
          <w:tcPr>
            <w:tcW w:w="253" w:type="pct"/>
            <w:tcBorders>
              <w:top w:val="single" w:color="000000" w:sz="4" w:space="0"/>
              <w:left w:val="nil"/>
              <w:bottom w:val="single" w:color="000000" w:sz="4" w:space="0"/>
              <w:right w:val="single" w:color="000000" w:sz="4" w:space="0"/>
            </w:tcBorders>
            <w:shd w:val="clear" w:color="auto" w:fill="auto"/>
            <w:vAlign w:val="center"/>
          </w:tcPr>
          <w:p w14:paraId="35B5CB59">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57,400.00 </w:t>
            </w:r>
          </w:p>
        </w:tc>
        <w:tc>
          <w:tcPr>
            <w:tcW w:w="275" w:type="pct"/>
            <w:tcBorders>
              <w:top w:val="single" w:color="000000" w:sz="4" w:space="0"/>
              <w:left w:val="single" w:color="000000" w:sz="4" w:space="0"/>
              <w:bottom w:val="single" w:color="000000" w:sz="4" w:space="0"/>
              <w:right w:val="nil"/>
            </w:tcBorders>
            <w:shd w:val="clear" w:color="auto" w:fill="auto"/>
            <w:noWrap/>
            <w:vAlign w:val="center"/>
          </w:tcPr>
          <w:p w14:paraId="2AD9996F">
            <w:pPr>
              <w:rPr>
                <w:rFonts w:hint="eastAsia" w:ascii="Times New Roman" w:hAnsi="宋体" w:eastAsia="宋体" w:cs="宋体"/>
                <w:i w:val="0"/>
                <w:iCs w:val="0"/>
                <w:color w:val="auto"/>
                <w:sz w:val="22"/>
                <w:szCs w:val="22"/>
                <w:highlight w:val="none"/>
                <w:u w:val="none"/>
              </w:rPr>
            </w:pPr>
          </w:p>
        </w:tc>
        <w:tc>
          <w:tcPr>
            <w:tcW w:w="208" w:type="pct"/>
            <w:tcBorders>
              <w:top w:val="single" w:color="000000" w:sz="4" w:space="0"/>
              <w:left w:val="nil"/>
              <w:bottom w:val="single" w:color="000000" w:sz="4" w:space="0"/>
              <w:right w:val="single" w:color="000000" w:sz="4" w:space="0"/>
            </w:tcBorders>
            <w:shd w:val="clear" w:color="auto" w:fill="auto"/>
            <w:noWrap/>
            <w:vAlign w:val="center"/>
          </w:tcPr>
          <w:p w14:paraId="09FE9AB7">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 xml:space="preserve">57,400.00 </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570A">
            <w:pPr>
              <w:keepNext w:val="0"/>
              <w:keepLines w:val="0"/>
              <w:widowControl/>
              <w:suppressLineNumbers w:val="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0B233">
            <w:pPr>
              <w:rPr>
                <w:rFonts w:hint="eastAsia" w:ascii="Times New Roman" w:hAnsi="宋体" w:eastAsia="宋体" w:cs="宋体"/>
                <w:i w:val="0"/>
                <w:iCs w:val="0"/>
                <w:color w:val="auto"/>
                <w:sz w:val="22"/>
                <w:szCs w:val="22"/>
                <w:highlight w:val="none"/>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BC66">
            <w:pPr>
              <w:jc w:val="right"/>
              <w:rPr>
                <w:rFonts w:hint="eastAsia" w:ascii="Times New Roman" w:hAnsi="宋体" w:eastAsia="宋体" w:cs="宋体"/>
                <w:i w:val="0"/>
                <w:iCs w:val="0"/>
                <w:color w:val="auto"/>
                <w:sz w:val="22"/>
                <w:szCs w:val="22"/>
                <w:highlight w:val="none"/>
                <w:u w:val="none"/>
              </w:rPr>
            </w:pPr>
          </w:p>
        </w:tc>
      </w:tr>
      <w:tr w14:paraId="28E0B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440A">
            <w:pPr>
              <w:keepNext w:val="0"/>
              <w:keepLines w:val="0"/>
              <w:widowControl/>
              <w:suppressLineNumbers w:val="0"/>
              <w:jc w:val="center"/>
              <w:textAlignment w:val="center"/>
              <w:rPr>
                <w:rFonts w:hint="eastAsia" w:ascii="Times New Roman" w:hAnsi="微软雅黑" w:eastAsia="微软雅黑" w:cs="微软雅黑"/>
                <w:b/>
                <w:bCs/>
                <w:i w:val="0"/>
                <w:iCs w:val="0"/>
                <w:color w:val="auto"/>
                <w:sz w:val="28"/>
                <w:szCs w:val="28"/>
                <w:highlight w:val="none"/>
                <w:u w:val="none"/>
              </w:rPr>
            </w:pPr>
            <w:r>
              <w:rPr>
                <w:rFonts w:hint="eastAsia" w:ascii="Times New Roman" w:hAnsi="微软雅黑" w:eastAsia="微软雅黑" w:cs="微软雅黑"/>
                <w:b/>
                <w:bCs/>
                <w:i w:val="0"/>
                <w:iCs w:val="0"/>
                <w:color w:val="auto"/>
                <w:kern w:val="0"/>
                <w:sz w:val="28"/>
                <w:szCs w:val="28"/>
                <w:highlight w:val="none"/>
                <w:u w:val="none"/>
                <w:lang w:val="en-US" w:eastAsia="zh-CN" w:bidi="ar"/>
              </w:rPr>
              <w:t>绩效目标</w:t>
            </w:r>
          </w:p>
        </w:tc>
      </w:tr>
      <w:tr w14:paraId="5A29A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34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0ACE2">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年初绩效目标</w:t>
            </w:r>
          </w:p>
        </w:tc>
        <w:tc>
          <w:tcPr>
            <w:tcW w:w="9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05BC">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全年（调整）绩效目标</w:t>
            </w:r>
          </w:p>
        </w:tc>
        <w:tc>
          <w:tcPr>
            <w:tcW w:w="6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E6DF">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全年目标实际完成情况</w:t>
            </w:r>
          </w:p>
        </w:tc>
      </w:tr>
      <w:tr w14:paraId="00549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334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BB1C6B5">
            <w:pPr>
              <w:keepNext w:val="0"/>
              <w:keepLines w:val="0"/>
              <w:widowControl/>
              <w:suppressLineNumbers w:val="0"/>
              <w:jc w:val="left"/>
              <w:textAlignment w:val="top"/>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为规范限额以下工程建设发包行为，有效降低廉政风险，进一步优化营商环境，提升公共资源交易质效。按照县公管委2023年第一联席会议要求，根据《</w:t>
            </w:r>
            <w:r>
              <w:rPr>
                <w:rFonts w:hint="eastAsia" w:ascii="Times New Roman" w:cs="宋体"/>
                <w:i w:val="0"/>
                <w:iCs w:val="0"/>
                <w:color w:val="auto"/>
                <w:kern w:val="0"/>
                <w:sz w:val="22"/>
                <w:szCs w:val="22"/>
                <w:highlight w:val="none"/>
                <w:u w:val="none"/>
                <w:lang w:val="en-US" w:eastAsia="zh-CN" w:bidi="ar"/>
              </w:rPr>
              <w:t>中华人民共和国招标投标法》《</w:t>
            </w:r>
            <w:r>
              <w:rPr>
                <w:rFonts w:hint="eastAsia" w:ascii="Times New Roman" w:hAnsi="宋体" w:eastAsia="宋体" w:cs="宋体"/>
                <w:i w:val="0"/>
                <w:iCs w:val="0"/>
                <w:color w:val="auto"/>
                <w:kern w:val="0"/>
                <w:sz w:val="22"/>
                <w:szCs w:val="22"/>
                <w:highlight w:val="none"/>
                <w:u w:val="none"/>
                <w:lang w:val="en-US" w:eastAsia="zh-CN" w:bidi="ar"/>
              </w:rPr>
              <w:t>重庆市限额以下工程建设项目发包管理暂行办法》等相关法律法规，参考周边区县成功范例，县交易中心拟采取购买服务方式建设丰都县公共资源“交易e起来”云平台交易系统（以下简称“云平台”交易系统），拟开发建设系统涵盖“400</w:t>
            </w:r>
            <w:r>
              <w:rPr>
                <w:rFonts w:hint="eastAsia" w:ascii="Times New Roman" w:cs="宋体"/>
                <w:i w:val="0"/>
                <w:iCs w:val="0"/>
                <w:color w:val="auto"/>
                <w:kern w:val="0"/>
                <w:sz w:val="22"/>
                <w:szCs w:val="22"/>
                <w:highlight w:val="none"/>
                <w:u w:val="none"/>
                <w:lang w:val="en-US" w:eastAsia="zh-CN" w:bidi="ar"/>
              </w:rPr>
              <w:t>万元</w:t>
            </w:r>
            <w:r>
              <w:rPr>
                <w:rFonts w:hint="eastAsia" w:ascii="Times New Roman" w:hAnsi="宋体" w:eastAsia="宋体" w:cs="宋体"/>
                <w:i w:val="0"/>
                <w:iCs w:val="0"/>
                <w:color w:val="auto"/>
                <w:kern w:val="0"/>
                <w:sz w:val="22"/>
                <w:szCs w:val="22"/>
                <w:highlight w:val="none"/>
                <w:u w:val="none"/>
                <w:lang w:val="en-US" w:eastAsia="zh-CN" w:bidi="ar"/>
              </w:rPr>
              <w:t>（限额）以下工程建设项目发包（包含：公开随机择优竞价、竞争性比选、公开比价、随机抽取四种交易方式），国有建设用地使用权及矿业权出让线上报名，国有资产产权出让出租线上竞价比选”三大功能版块，其建设必要性及主要优势如下：</w:t>
            </w:r>
            <w:r>
              <w:rPr>
                <w:rFonts w:hint="eastAsia" w:ascii="Times New Roman" w:hAnsi="宋体" w:eastAsia="宋体" w:cs="宋体"/>
                <w:i w:val="0"/>
                <w:iCs w:val="0"/>
                <w:color w:val="auto"/>
                <w:kern w:val="0"/>
                <w:sz w:val="22"/>
                <w:szCs w:val="22"/>
                <w:highlight w:val="none"/>
                <w:u w:val="none"/>
                <w:lang w:val="en-US" w:eastAsia="zh-CN" w:bidi="ar"/>
              </w:rPr>
              <w:br w:type="textWrapping"/>
            </w:r>
            <w:r>
              <w:rPr>
                <w:rFonts w:hint="eastAsia" w:ascii="Times New Roman" w:hAnsi="宋体" w:eastAsia="宋体" w:cs="宋体"/>
                <w:i w:val="0"/>
                <w:iCs w:val="0"/>
                <w:color w:val="auto"/>
                <w:kern w:val="0"/>
                <w:sz w:val="22"/>
                <w:szCs w:val="22"/>
                <w:highlight w:val="none"/>
                <w:u w:val="none"/>
                <w:lang w:val="en-US" w:eastAsia="zh-CN" w:bidi="ar"/>
              </w:rPr>
              <w:t>一是有助于降低投标成本优化营商环境。目前，我县土地使用权出让及矿业权出让、限额以下</w:t>
            </w:r>
            <w:r>
              <w:rPr>
                <w:rFonts w:hint="eastAsia" w:ascii="Times New Roman" w:cs="宋体"/>
                <w:i w:val="0"/>
                <w:iCs w:val="0"/>
                <w:color w:val="auto"/>
                <w:kern w:val="0"/>
                <w:sz w:val="22"/>
                <w:szCs w:val="22"/>
                <w:highlight w:val="none"/>
                <w:u w:val="none"/>
                <w:lang w:val="en-US" w:eastAsia="zh-CN" w:bidi="ar"/>
              </w:rPr>
              <w:t>100万—400万</w:t>
            </w:r>
            <w:r>
              <w:rPr>
                <w:rFonts w:hint="eastAsia" w:ascii="Times New Roman" w:hAnsi="宋体" w:eastAsia="宋体" w:cs="宋体"/>
                <w:i w:val="0"/>
                <w:iCs w:val="0"/>
                <w:color w:val="auto"/>
                <w:kern w:val="0"/>
                <w:sz w:val="22"/>
                <w:szCs w:val="22"/>
                <w:highlight w:val="none"/>
                <w:u w:val="none"/>
                <w:lang w:val="en-US" w:eastAsia="zh-CN" w:bidi="ar"/>
              </w:rPr>
              <w:t>工程建设项目发包均采取现场报名，现场竞价或抽选方式进行，线下模式将消耗大量人力、物力、财力，为投标商（竞买人）增加投标成本。“云平台”交易系统采取线上报名，线上交易，能达到绿色招标、数字化招标效果，真正实现投标商（竞买人）“一次不跑、片纸不交、一网通办”。</w:t>
            </w:r>
            <w:r>
              <w:rPr>
                <w:rFonts w:hint="eastAsia" w:ascii="Times New Roman" w:hAnsi="宋体" w:eastAsia="宋体" w:cs="宋体"/>
                <w:i w:val="0"/>
                <w:iCs w:val="0"/>
                <w:color w:val="auto"/>
                <w:kern w:val="0"/>
                <w:sz w:val="22"/>
                <w:szCs w:val="22"/>
                <w:highlight w:val="none"/>
                <w:u w:val="none"/>
                <w:lang w:val="en-US" w:eastAsia="zh-CN" w:bidi="ar"/>
              </w:rPr>
              <w:br w:type="textWrapping"/>
            </w:r>
            <w:r>
              <w:rPr>
                <w:rFonts w:hint="eastAsia" w:ascii="Times New Roman" w:hAnsi="宋体" w:eastAsia="宋体" w:cs="宋体"/>
                <w:i w:val="0"/>
                <w:iCs w:val="0"/>
                <w:color w:val="auto"/>
                <w:kern w:val="0"/>
                <w:sz w:val="22"/>
                <w:szCs w:val="22"/>
                <w:highlight w:val="none"/>
                <w:u w:val="none"/>
                <w:lang w:val="en-US" w:eastAsia="zh-CN" w:bidi="ar"/>
              </w:rPr>
              <w:t>二是有助于补齐县级交易平台服务短板。目前，由于未开发建设国资产权出让线上交易系统，故我县国有资产产权出让出租业务均交由市联交所集团进行，每年交易服务费用支出高达30余万元。 “云平台”系统建成后可将县级国有资产出让出租项目纳入其中，有效补齐平台服务短板，减少县级交易成本支出。</w:t>
            </w:r>
            <w:r>
              <w:rPr>
                <w:rFonts w:hint="eastAsia" w:ascii="Times New Roman" w:hAnsi="宋体" w:eastAsia="宋体" w:cs="宋体"/>
                <w:i w:val="0"/>
                <w:iCs w:val="0"/>
                <w:color w:val="auto"/>
                <w:kern w:val="0"/>
                <w:sz w:val="22"/>
                <w:szCs w:val="22"/>
                <w:highlight w:val="none"/>
                <w:u w:val="none"/>
                <w:lang w:val="en-US" w:eastAsia="zh-CN" w:bidi="ar"/>
              </w:rPr>
              <w:br w:type="textWrapping"/>
            </w:r>
            <w:r>
              <w:rPr>
                <w:rFonts w:hint="eastAsia" w:ascii="Times New Roman" w:hAnsi="宋体" w:eastAsia="宋体" w:cs="宋体"/>
                <w:i w:val="0"/>
                <w:iCs w:val="0"/>
                <w:color w:val="auto"/>
                <w:kern w:val="0"/>
                <w:sz w:val="22"/>
                <w:szCs w:val="22"/>
                <w:highlight w:val="none"/>
                <w:u w:val="none"/>
                <w:lang w:val="en-US" w:eastAsia="zh-CN" w:bidi="ar"/>
              </w:rPr>
              <w:t>三是有助于规范工程建设领域限下项目发包行为。目前，全县尚未制订工程建设领域100万以下项目发包规程，该类别项目均由项目法人自主开展，在发包过程中还不同程度存在“程序不规范、信息不公开、社会效果差、廉政风险大”等问题。“云平台”系统建成后将有效解决上述问题，实现全县限下项目发包“三统一”（即：统一发包方式、统一发包流程、统一交易平台）目标。</w:t>
            </w:r>
            <w:r>
              <w:rPr>
                <w:rFonts w:hint="eastAsia" w:ascii="Times New Roman" w:hAnsi="宋体" w:eastAsia="宋体" w:cs="宋体"/>
                <w:i w:val="0"/>
                <w:iCs w:val="0"/>
                <w:color w:val="auto"/>
                <w:kern w:val="0"/>
                <w:sz w:val="22"/>
                <w:szCs w:val="22"/>
                <w:highlight w:val="none"/>
                <w:u w:val="none"/>
                <w:lang w:val="en-US" w:eastAsia="zh-CN" w:bidi="ar"/>
              </w:rPr>
              <w:br w:type="textWrapping"/>
            </w:r>
            <w:r>
              <w:rPr>
                <w:rFonts w:hint="eastAsia" w:ascii="Times New Roman" w:hAnsi="宋体" w:eastAsia="宋体" w:cs="宋体"/>
                <w:i w:val="0"/>
                <w:iCs w:val="0"/>
                <w:color w:val="auto"/>
                <w:kern w:val="0"/>
                <w:sz w:val="22"/>
                <w:szCs w:val="22"/>
                <w:highlight w:val="none"/>
                <w:u w:val="none"/>
                <w:lang w:val="en-US" w:eastAsia="zh-CN" w:bidi="ar"/>
              </w:rPr>
              <w:t>四是有助于在线监督打击违规违法行为。“云平台”交易系统将开通“在线监督”通道，让监管部门通过在线视频监管、云平台记录投标商（代理机构）登录、编制投标文件、上传投标文件的IP、MAC地址、CPU序列号、硬盘序列号等信息，对投标商提交的投标文件进行交叉比对，对异常现象进行标识，通过技术手段遏制弄虚作假、暗箱操作、串通投标等突出问题。</w:t>
            </w:r>
          </w:p>
        </w:tc>
        <w:tc>
          <w:tcPr>
            <w:tcW w:w="96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0AD0650">
            <w:pPr>
              <w:keepNext w:val="0"/>
              <w:keepLines w:val="0"/>
              <w:widowControl/>
              <w:suppressLineNumbers w:val="0"/>
              <w:jc w:val="left"/>
              <w:textAlignment w:val="top"/>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为规范限额以下工程建设发包行为，有效降低廉政风险，进一步优化营商环境，提升公共资源交易质效。按照县公管委2023年第一联席会议要求，根据《</w:t>
            </w:r>
            <w:r>
              <w:rPr>
                <w:rFonts w:hint="eastAsia" w:ascii="Times New Roman" w:cs="宋体"/>
                <w:i w:val="0"/>
                <w:iCs w:val="0"/>
                <w:color w:val="auto"/>
                <w:kern w:val="0"/>
                <w:sz w:val="22"/>
                <w:szCs w:val="22"/>
                <w:highlight w:val="none"/>
                <w:u w:val="none"/>
                <w:lang w:val="en-US" w:eastAsia="zh-CN" w:bidi="ar"/>
              </w:rPr>
              <w:t>中华人民共和国招标投标法》《</w:t>
            </w:r>
            <w:r>
              <w:rPr>
                <w:rFonts w:hint="eastAsia" w:ascii="Times New Roman" w:hAnsi="宋体" w:eastAsia="宋体" w:cs="宋体"/>
                <w:i w:val="0"/>
                <w:iCs w:val="0"/>
                <w:color w:val="auto"/>
                <w:kern w:val="0"/>
                <w:sz w:val="22"/>
                <w:szCs w:val="22"/>
                <w:highlight w:val="none"/>
                <w:u w:val="none"/>
                <w:lang w:val="en-US" w:eastAsia="zh-CN" w:bidi="ar"/>
              </w:rPr>
              <w:t>重庆市限额以下工程建设项目发包管理暂行办法》等相关法律法规，参考周边区县成功范例，县交易中心拟采取购买服务方式建设丰都县公共资源“交易e起来”云平台交易系统（以下简称“云平台”交易系统），拟开发建设系统涵盖“400</w:t>
            </w:r>
            <w:r>
              <w:rPr>
                <w:rFonts w:hint="eastAsia" w:ascii="Times New Roman" w:cs="宋体"/>
                <w:i w:val="0"/>
                <w:iCs w:val="0"/>
                <w:color w:val="auto"/>
                <w:kern w:val="0"/>
                <w:sz w:val="22"/>
                <w:szCs w:val="22"/>
                <w:highlight w:val="none"/>
                <w:u w:val="none"/>
                <w:lang w:val="en-US" w:eastAsia="zh-CN" w:bidi="ar"/>
              </w:rPr>
              <w:t>万元</w:t>
            </w:r>
            <w:r>
              <w:rPr>
                <w:rFonts w:hint="eastAsia" w:ascii="Times New Roman" w:hAnsi="宋体" w:eastAsia="宋体" w:cs="宋体"/>
                <w:i w:val="0"/>
                <w:iCs w:val="0"/>
                <w:color w:val="auto"/>
                <w:kern w:val="0"/>
                <w:sz w:val="22"/>
                <w:szCs w:val="22"/>
                <w:highlight w:val="none"/>
                <w:u w:val="none"/>
                <w:lang w:val="en-US" w:eastAsia="zh-CN" w:bidi="ar"/>
              </w:rPr>
              <w:t>（限额）以下工程建设项目发包（包含：公开随机择优竞价、竞争性比选、公开比价、随机抽取四种交易方式），国有建设用地使用权及矿业权出让线上报名，国有资产产权出让出租线上竞价比选”三大功能版块，其建设必要性及主要优势如下：</w:t>
            </w:r>
            <w:r>
              <w:rPr>
                <w:rFonts w:hint="eastAsia" w:ascii="Times New Roman" w:hAnsi="宋体" w:eastAsia="宋体" w:cs="宋体"/>
                <w:i w:val="0"/>
                <w:iCs w:val="0"/>
                <w:color w:val="auto"/>
                <w:kern w:val="0"/>
                <w:sz w:val="22"/>
                <w:szCs w:val="22"/>
                <w:highlight w:val="none"/>
                <w:u w:val="none"/>
                <w:lang w:val="en-US" w:eastAsia="zh-CN" w:bidi="ar"/>
              </w:rPr>
              <w:br w:type="textWrapping"/>
            </w:r>
            <w:r>
              <w:rPr>
                <w:rFonts w:hint="eastAsia" w:ascii="Times New Roman" w:hAnsi="宋体" w:eastAsia="宋体" w:cs="宋体"/>
                <w:i w:val="0"/>
                <w:iCs w:val="0"/>
                <w:color w:val="auto"/>
                <w:kern w:val="0"/>
                <w:sz w:val="22"/>
                <w:szCs w:val="22"/>
                <w:highlight w:val="none"/>
                <w:u w:val="none"/>
                <w:lang w:val="en-US" w:eastAsia="zh-CN" w:bidi="ar"/>
              </w:rPr>
              <w:t>一是有助于降低投标成本优化营商环境。目前，我县土地使用权出让及矿业权出让、限额以下</w:t>
            </w:r>
            <w:r>
              <w:rPr>
                <w:rFonts w:hint="eastAsia" w:ascii="Times New Roman" w:cs="宋体"/>
                <w:i w:val="0"/>
                <w:iCs w:val="0"/>
                <w:color w:val="auto"/>
                <w:kern w:val="0"/>
                <w:sz w:val="22"/>
                <w:szCs w:val="22"/>
                <w:highlight w:val="none"/>
                <w:u w:val="none"/>
                <w:lang w:val="en-US" w:eastAsia="zh-CN" w:bidi="ar"/>
              </w:rPr>
              <w:t>100万—400万</w:t>
            </w:r>
            <w:r>
              <w:rPr>
                <w:rFonts w:hint="eastAsia" w:ascii="Times New Roman" w:hAnsi="宋体" w:eastAsia="宋体" w:cs="宋体"/>
                <w:i w:val="0"/>
                <w:iCs w:val="0"/>
                <w:color w:val="auto"/>
                <w:kern w:val="0"/>
                <w:sz w:val="22"/>
                <w:szCs w:val="22"/>
                <w:highlight w:val="none"/>
                <w:u w:val="none"/>
                <w:lang w:val="en-US" w:eastAsia="zh-CN" w:bidi="ar"/>
              </w:rPr>
              <w:t>工程建设项目发包均采取现场报名，现场竞价或抽选方式进行，线下模式将消耗大量人力、物力、财力，为投标商（竞买人）增加投标成本。“云平台”交易系统采取线上报名，线上交易，能达到绿色招标、数字化招标效果，真正实现投标商（竞买人）“一次不跑、片纸不交、一网通办”。</w:t>
            </w:r>
            <w:r>
              <w:rPr>
                <w:rFonts w:hint="eastAsia" w:ascii="Times New Roman" w:hAnsi="宋体" w:eastAsia="宋体" w:cs="宋体"/>
                <w:i w:val="0"/>
                <w:iCs w:val="0"/>
                <w:color w:val="auto"/>
                <w:kern w:val="0"/>
                <w:sz w:val="22"/>
                <w:szCs w:val="22"/>
                <w:highlight w:val="none"/>
                <w:u w:val="none"/>
                <w:lang w:val="en-US" w:eastAsia="zh-CN" w:bidi="ar"/>
              </w:rPr>
              <w:br w:type="textWrapping"/>
            </w:r>
            <w:r>
              <w:rPr>
                <w:rFonts w:hint="eastAsia" w:ascii="Times New Roman" w:hAnsi="宋体" w:eastAsia="宋体" w:cs="宋体"/>
                <w:i w:val="0"/>
                <w:iCs w:val="0"/>
                <w:color w:val="auto"/>
                <w:kern w:val="0"/>
                <w:sz w:val="22"/>
                <w:szCs w:val="22"/>
                <w:highlight w:val="none"/>
                <w:u w:val="none"/>
                <w:lang w:val="en-US" w:eastAsia="zh-CN" w:bidi="ar"/>
              </w:rPr>
              <w:t>二是有助于补齐县级交易平台服务短板。目前，由于未开发建设国资产权出让线上交易系统，故我县国有资产产权出让出租业务均交由市联交所集团进行，每年交易服务费用支出高达30余万元。 “云平台”系统建成后可将县级国有资产出让出租项目纳入其中，有效补齐平台服务短板，减少县级交易成本支出。</w:t>
            </w:r>
            <w:r>
              <w:rPr>
                <w:rFonts w:hint="eastAsia" w:ascii="Times New Roman" w:hAnsi="宋体" w:eastAsia="宋体" w:cs="宋体"/>
                <w:i w:val="0"/>
                <w:iCs w:val="0"/>
                <w:color w:val="auto"/>
                <w:kern w:val="0"/>
                <w:sz w:val="22"/>
                <w:szCs w:val="22"/>
                <w:highlight w:val="none"/>
                <w:u w:val="none"/>
                <w:lang w:val="en-US" w:eastAsia="zh-CN" w:bidi="ar"/>
              </w:rPr>
              <w:br w:type="textWrapping"/>
            </w:r>
            <w:r>
              <w:rPr>
                <w:rFonts w:hint="eastAsia" w:ascii="Times New Roman" w:hAnsi="宋体" w:eastAsia="宋体" w:cs="宋体"/>
                <w:i w:val="0"/>
                <w:iCs w:val="0"/>
                <w:color w:val="auto"/>
                <w:kern w:val="0"/>
                <w:sz w:val="22"/>
                <w:szCs w:val="22"/>
                <w:highlight w:val="none"/>
                <w:u w:val="none"/>
                <w:lang w:val="en-US" w:eastAsia="zh-CN" w:bidi="ar"/>
              </w:rPr>
              <w:t>三是有助于规范工程建设领域限下项目发包行为。目前，全县尚未制订工程建设领域100万以下项目发包规程，该类别项目均由项目法人自主开展，在发包过程中还不同程度存在“程序不规范、信息不公开、社会效果差、廉政风险大”等问题。“云平台”系统建成后将有效解决上述问题，实现全县限下项目发包“三统一”（即：统一发包方式、统一发包流程、统一交易平台）目标。</w:t>
            </w:r>
            <w:r>
              <w:rPr>
                <w:rFonts w:hint="eastAsia" w:ascii="Times New Roman" w:hAnsi="宋体" w:eastAsia="宋体" w:cs="宋体"/>
                <w:i w:val="0"/>
                <w:iCs w:val="0"/>
                <w:color w:val="auto"/>
                <w:kern w:val="0"/>
                <w:sz w:val="22"/>
                <w:szCs w:val="22"/>
                <w:highlight w:val="none"/>
                <w:u w:val="none"/>
                <w:lang w:val="en-US" w:eastAsia="zh-CN" w:bidi="ar"/>
              </w:rPr>
              <w:br w:type="textWrapping"/>
            </w:r>
            <w:r>
              <w:rPr>
                <w:rFonts w:hint="eastAsia" w:ascii="Times New Roman" w:hAnsi="宋体" w:eastAsia="宋体" w:cs="宋体"/>
                <w:i w:val="0"/>
                <w:iCs w:val="0"/>
                <w:color w:val="auto"/>
                <w:kern w:val="0"/>
                <w:sz w:val="22"/>
                <w:szCs w:val="22"/>
                <w:highlight w:val="none"/>
                <w:u w:val="none"/>
                <w:lang w:val="en-US" w:eastAsia="zh-CN" w:bidi="ar"/>
              </w:rPr>
              <w:t>四是有助于在线监督打击违规违法行为。“云平台”交易系统将开通“在线监督”通道，让监管部门通过在线视频监管、云平台记录投标商（代理机构）登录、编制投标文件、上传投标文件的IP、MAC地址、CPU序列号、硬盘序列号等信息，对投标商提交的投标文件进行交叉比对，对异常现象进行标识，通过技术手段遏制弄虚作假、暗箱操作、串通投标等突出问题。</w:t>
            </w:r>
          </w:p>
        </w:tc>
        <w:tc>
          <w:tcPr>
            <w:tcW w:w="692"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A4B718A">
            <w:pPr>
              <w:keepNext w:val="0"/>
              <w:keepLines w:val="0"/>
              <w:widowControl/>
              <w:suppressLineNumbers w:val="0"/>
              <w:jc w:val="left"/>
              <w:textAlignment w:val="top"/>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全部完成</w:t>
            </w:r>
          </w:p>
        </w:tc>
      </w:tr>
      <w:tr w14:paraId="56C71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6048">
            <w:pPr>
              <w:keepNext w:val="0"/>
              <w:keepLines w:val="0"/>
              <w:widowControl/>
              <w:suppressLineNumbers w:val="0"/>
              <w:jc w:val="center"/>
              <w:textAlignment w:val="center"/>
              <w:rPr>
                <w:rFonts w:hint="eastAsia" w:ascii="Times New Roman" w:hAnsi="微软雅黑" w:eastAsia="微软雅黑" w:cs="微软雅黑"/>
                <w:b/>
                <w:bCs/>
                <w:i w:val="0"/>
                <w:iCs w:val="0"/>
                <w:color w:val="auto"/>
                <w:sz w:val="28"/>
                <w:szCs w:val="28"/>
                <w:highlight w:val="none"/>
                <w:u w:val="none"/>
              </w:rPr>
            </w:pPr>
            <w:r>
              <w:rPr>
                <w:rFonts w:hint="eastAsia" w:ascii="Times New Roman" w:hAnsi="微软雅黑" w:eastAsia="微软雅黑" w:cs="微软雅黑"/>
                <w:b/>
                <w:bCs/>
                <w:i w:val="0"/>
                <w:iCs w:val="0"/>
                <w:color w:val="auto"/>
                <w:kern w:val="0"/>
                <w:sz w:val="28"/>
                <w:szCs w:val="28"/>
                <w:highlight w:val="none"/>
                <w:u w:val="none"/>
                <w:lang w:val="en-US" w:eastAsia="zh-CN" w:bidi="ar"/>
              </w:rPr>
              <w:t>绩效指标</w:t>
            </w:r>
          </w:p>
        </w:tc>
      </w:tr>
      <w:tr w14:paraId="2DD58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6E88F">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指标名称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44A87">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计量单位</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BC5EF">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指标性质</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0B5E">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指标值</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4FC5A">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全年完成值</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0F0F">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偏离度（%）</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9C810">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得分系数（%）</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7100">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指标权重</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D2D91">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指标得分</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EF7A1">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是否核心指标</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19297">
            <w:pPr>
              <w:keepNext w:val="0"/>
              <w:keepLines w:val="0"/>
              <w:widowControl/>
              <w:suppressLineNumbers w:val="0"/>
              <w:jc w:val="center"/>
              <w:textAlignment w:val="center"/>
              <w:rPr>
                <w:rFonts w:hint="eastAsia" w:ascii="Times New Roman" w:hAnsi="宋体" w:eastAsia="宋体" w:cs="宋体"/>
                <w:b/>
                <w:bCs/>
                <w:i w:val="0"/>
                <w:iCs w:val="0"/>
                <w:color w:val="auto"/>
                <w:sz w:val="22"/>
                <w:szCs w:val="22"/>
                <w:highlight w:val="none"/>
                <w:u w:val="none"/>
              </w:rPr>
            </w:pPr>
            <w:r>
              <w:rPr>
                <w:rFonts w:hint="eastAsia" w:ascii="Times New Roman" w:hAnsi="宋体" w:eastAsia="宋体" w:cs="宋体"/>
                <w:b/>
                <w:bCs/>
                <w:i w:val="0"/>
                <w:iCs w:val="0"/>
                <w:color w:val="auto"/>
                <w:kern w:val="0"/>
                <w:sz w:val="22"/>
                <w:szCs w:val="22"/>
                <w:highlight w:val="none"/>
                <w:u w:val="none"/>
                <w:lang w:val="en-US" w:eastAsia="zh-CN" w:bidi="ar"/>
              </w:rPr>
              <w:t>说明</w:t>
            </w:r>
          </w:p>
        </w:tc>
      </w:tr>
      <w:tr w14:paraId="2B1E7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703C">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建设三个功能</w:t>
            </w:r>
            <w:r>
              <w:rPr>
                <w:rFonts w:hint="eastAsia" w:ascii="Times New Roman" w:cs="宋体"/>
                <w:i w:val="0"/>
                <w:iCs w:val="0"/>
                <w:color w:val="auto"/>
                <w:kern w:val="0"/>
                <w:sz w:val="22"/>
                <w:szCs w:val="22"/>
                <w:highlight w:val="none"/>
                <w:u w:val="none"/>
                <w:lang w:val="en-US" w:eastAsia="zh-CN" w:bidi="ar"/>
              </w:rPr>
              <w:t>板块</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2DF3A">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2B96">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A148">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98</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B72ED">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98</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0621">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7692">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544BC">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1CD8">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F9E0">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是</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BFCE1">
            <w:pPr>
              <w:jc w:val="left"/>
              <w:rPr>
                <w:rFonts w:hint="eastAsia" w:ascii="Times New Roman" w:hAnsi="宋体" w:eastAsia="宋体" w:cs="宋体"/>
                <w:i w:val="0"/>
                <w:iCs w:val="0"/>
                <w:color w:val="auto"/>
                <w:sz w:val="22"/>
                <w:szCs w:val="22"/>
                <w:highlight w:val="none"/>
                <w:u w:val="none"/>
              </w:rPr>
            </w:pPr>
          </w:p>
        </w:tc>
      </w:tr>
      <w:tr w14:paraId="3AF01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9841">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系统涵盖“400</w:t>
            </w:r>
            <w:r>
              <w:rPr>
                <w:rFonts w:hint="eastAsia" w:ascii="Times New Roman" w:cs="宋体"/>
                <w:i w:val="0"/>
                <w:iCs w:val="0"/>
                <w:color w:val="auto"/>
                <w:kern w:val="0"/>
                <w:sz w:val="22"/>
                <w:szCs w:val="22"/>
                <w:highlight w:val="none"/>
                <w:u w:val="none"/>
                <w:lang w:val="en-US" w:eastAsia="zh-CN" w:bidi="ar"/>
              </w:rPr>
              <w:t>万元</w:t>
            </w:r>
            <w:r>
              <w:rPr>
                <w:rFonts w:hint="eastAsia" w:ascii="Times New Roman" w:hAnsi="宋体" w:eastAsia="宋体" w:cs="宋体"/>
                <w:i w:val="0"/>
                <w:iCs w:val="0"/>
                <w:color w:val="auto"/>
                <w:kern w:val="0"/>
                <w:sz w:val="22"/>
                <w:szCs w:val="22"/>
                <w:highlight w:val="none"/>
                <w:u w:val="none"/>
                <w:lang w:val="en-US" w:eastAsia="zh-CN" w:bidi="ar"/>
              </w:rPr>
              <w:t>（限额）以下工程建设项目发包（包含：公开随机择优竞价、竞争性比选、公开比价、随机抽取四种交易方式），国有建设用地使用权及矿业权出让线上报名，国有资产产权出让出租线上竞价比选”三大功能版块</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BD7C">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3006">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定性</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126E">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98</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4DC6A">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555CC">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ED34E">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59EF">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C207">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FA467">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是</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F583">
            <w:pPr>
              <w:jc w:val="left"/>
              <w:rPr>
                <w:rFonts w:hint="eastAsia" w:ascii="Times New Roman" w:hAnsi="宋体" w:eastAsia="宋体" w:cs="宋体"/>
                <w:i w:val="0"/>
                <w:iCs w:val="0"/>
                <w:color w:val="auto"/>
                <w:sz w:val="22"/>
                <w:szCs w:val="22"/>
                <w:highlight w:val="none"/>
                <w:u w:val="none"/>
              </w:rPr>
            </w:pPr>
          </w:p>
        </w:tc>
      </w:tr>
      <w:tr w14:paraId="19EE4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0A78">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降低投标商投标成本</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8A04">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万元</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600C2">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44BA7">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30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A005A">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30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CEF05">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30CF">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B9504">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D2A9">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3E7D1">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是</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23A15">
            <w:pPr>
              <w:jc w:val="left"/>
              <w:rPr>
                <w:rFonts w:hint="eastAsia" w:ascii="Times New Roman" w:hAnsi="宋体" w:eastAsia="宋体" w:cs="宋体"/>
                <w:i w:val="0"/>
                <w:iCs w:val="0"/>
                <w:color w:val="auto"/>
                <w:sz w:val="22"/>
                <w:szCs w:val="22"/>
                <w:highlight w:val="none"/>
                <w:u w:val="none"/>
              </w:rPr>
            </w:pPr>
          </w:p>
        </w:tc>
      </w:tr>
      <w:tr w14:paraId="4EC57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9666E">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一是有助于降低投标成本优化营商环境。二是有助于补齐县级交易平台服务短板。三是有助于规范工程建设领域限下项目发包行为。四是有助于在线监督打击违规违法行为。</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32935">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B7198">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定性</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046E">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98</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AAD01">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40937">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4BFD8">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0E4A0">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20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FB57F">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4EAEC">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是</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15D0">
            <w:pPr>
              <w:jc w:val="left"/>
              <w:rPr>
                <w:rFonts w:hint="eastAsia" w:ascii="Times New Roman" w:hAnsi="宋体" w:eastAsia="宋体" w:cs="宋体"/>
                <w:i w:val="0"/>
                <w:iCs w:val="0"/>
                <w:color w:val="auto"/>
                <w:sz w:val="22"/>
                <w:szCs w:val="22"/>
                <w:highlight w:val="none"/>
                <w:u w:val="none"/>
              </w:rPr>
            </w:pPr>
          </w:p>
        </w:tc>
      </w:tr>
      <w:tr w14:paraId="6A7FD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86F6">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“云平台”交易系统采取线上报名，线上交易，能达到绿色招标、数字化招标效果，真正实现投标商（竞买人）“一次不跑、片纸不交、一网通办”。</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62266">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5E51">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1DA43">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98</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767D0">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98</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729B">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548F">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950B1">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763D8">
            <w:pPr>
              <w:keepNext w:val="0"/>
              <w:keepLines w:val="0"/>
              <w:widowControl/>
              <w:suppressLineNumbers w:val="0"/>
              <w:ind w:firstLineChars="100"/>
              <w:jc w:val="righ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93F82">
            <w:pPr>
              <w:keepNext w:val="0"/>
              <w:keepLines w:val="0"/>
              <w:widowControl/>
              <w:suppressLineNumbers w:val="0"/>
              <w:ind w:firstLineChars="100"/>
              <w:jc w:val="left"/>
              <w:textAlignment w:val="center"/>
              <w:rPr>
                <w:rFonts w:hint="eastAsia" w:ascii="Times New Roman" w:hAnsi="宋体" w:eastAsia="宋体" w:cs="宋体"/>
                <w:i w:val="0"/>
                <w:iCs w:val="0"/>
                <w:color w:val="auto"/>
                <w:sz w:val="22"/>
                <w:szCs w:val="22"/>
                <w:highlight w:val="none"/>
                <w:u w:val="none"/>
              </w:rPr>
            </w:pPr>
            <w:r>
              <w:rPr>
                <w:rFonts w:hint="eastAsia" w:ascii="Times New Roman" w:hAnsi="宋体" w:eastAsia="宋体" w:cs="宋体"/>
                <w:i w:val="0"/>
                <w:iCs w:val="0"/>
                <w:color w:val="auto"/>
                <w:kern w:val="0"/>
                <w:sz w:val="22"/>
                <w:szCs w:val="22"/>
                <w:highlight w:val="none"/>
                <w:u w:val="none"/>
                <w:lang w:val="en-US" w:eastAsia="zh-CN" w:bidi="ar"/>
              </w:rPr>
              <w:t>否</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6230E">
            <w:pPr>
              <w:jc w:val="left"/>
              <w:rPr>
                <w:rFonts w:hint="eastAsia" w:ascii="Times New Roman" w:hAnsi="宋体" w:eastAsia="宋体" w:cs="宋体"/>
                <w:i w:val="0"/>
                <w:iCs w:val="0"/>
                <w:color w:val="auto"/>
                <w:sz w:val="22"/>
                <w:szCs w:val="22"/>
                <w:highlight w:val="none"/>
                <w:u w:val="none"/>
              </w:rPr>
            </w:pPr>
          </w:p>
        </w:tc>
      </w:tr>
    </w:tbl>
    <w:p w14:paraId="7602F24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left"/>
        <w:textAlignment w:val="auto"/>
        <w:rPr>
          <w:rFonts w:hint="eastAsia" w:ascii="Times New Roman" w:hAnsi="Times New Roman" w:eastAsia="方正仿宋_GBK" w:cs="方正仿宋_GBK"/>
          <w:b w:val="0"/>
          <w:bCs w:val="0"/>
          <w:color w:val="auto"/>
          <w:sz w:val="32"/>
          <w:szCs w:val="32"/>
          <w:highlight w:val="none"/>
          <w:shd w:val="clear" w:color="auto" w:fill="FFFFFF"/>
          <w:lang w:eastAsia="zh-CN"/>
        </w:rPr>
      </w:pPr>
    </w:p>
    <w:p w14:paraId="7CDBFBD9">
      <w:pPr>
        <w:pStyle w:val="14"/>
        <w:keepNext w:val="0"/>
        <w:keepLines w:val="0"/>
        <w:pageBreakBefore w:val="0"/>
        <w:kinsoku/>
        <w:overflowPunct w:val="0"/>
        <w:topLinePunct/>
        <w:autoSpaceDE w:val="0"/>
        <w:autoSpaceDN/>
        <w:bidi w:val="0"/>
        <w:spacing w:beforeAutospacing="0" w:line="560" w:lineRule="exact"/>
        <w:ind w:firstLine="640" w:firstLineChars="200"/>
        <w:rPr>
          <w:rFonts w:ascii="Times New Roman" w:hAnsi="Times New Roman" w:eastAsia="方正楷体_GBK" w:cs="方正楷体_GBK"/>
          <w:b w:val="0"/>
          <w:bCs w:val="0"/>
          <w:color w:val="auto"/>
          <w:sz w:val="32"/>
          <w:szCs w:val="32"/>
          <w:highlight w:val="none"/>
          <w:shd w:val="clear" w:color="auto" w:fill="FFFFFF"/>
        </w:rPr>
      </w:pPr>
      <w:r>
        <w:rPr>
          <w:rFonts w:hint="eastAsia" w:ascii="Times New Roman" w:hAnsi="Times New Roman" w:eastAsia="方正楷体_GBK" w:cs="方正楷体_GBK"/>
          <w:b w:val="0"/>
          <w:bCs w:val="0"/>
          <w:color w:val="auto"/>
          <w:sz w:val="32"/>
          <w:szCs w:val="32"/>
          <w:highlight w:val="none"/>
          <w:shd w:val="clear" w:color="auto" w:fill="FFFFFF"/>
        </w:rPr>
        <w:t>（二）单位绩效评价情况</w:t>
      </w:r>
    </w:p>
    <w:p w14:paraId="657CEC00">
      <w:pPr>
        <w:pStyle w:val="9"/>
        <w:shd w:val="clear" w:color="auto" w:fill="FFFFFF"/>
        <w:ind w:firstLine="640" w:firstLineChars="200"/>
        <w:rPr>
          <w:rFonts w:hint="eastAsia" w:ascii="Times New Roman" w:hAnsi="Times New Roman" w:eastAsia="方正仿宋_GBK" w:cs="方正仿宋_GBK"/>
          <w:b w:val="0"/>
          <w:bCs w:val="0"/>
          <w:color w:val="auto"/>
          <w:sz w:val="32"/>
          <w:szCs w:val="32"/>
          <w:highlight w:val="none"/>
          <w:shd w:val="clear" w:color="auto" w:fill="FFFFFF"/>
          <w:lang w:eastAsia="zh-CN"/>
        </w:rPr>
      </w:pPr>
      <w:r>
        <w:rPr>
          <w:rFonts w:hint="eastAsia" w:ascii="Times New Roman" w:hAnsi="方正仿宋_GBK" w:eastAsia="方正仿宋_GBK" w:cs="方正仿宋_GBK"/>
          <w:b w:val="0"/>
          <w:bCs w:val="0"/>
          <w:color w:val="auto"/>
          <w:sz w:val="32"/>
          <w:szCs w:val="32"/>
          <w:highlight w:val="none"/>
          <w:lang w:val="en-US" w:eastAsia="zh-CN"/>
        </w:rPr>
        <w:t>我单位未组织开展绩效评价</w:t>
      </w:r>
      <w:r>
        <w:rPr>
          <w:rFonts w:hint="eastAsia" w:ascii="Times New Roman" w:hAnsi="方正仿宋_GBK" w:cs="方正仿宋_GBK"/>
          <w:color w:val="auto"/>
          <w:sz w:val="32"/>
          <w:szCs w:val="32"/>
          <w:highlight w:val="none"/>
          <w:lang w:val="en-US" w:eastAsia="zh-CN"/>
        </w:rPr>
        <w:t>。</w:t>
      </w:r>
    </w:p>
    <w:p w14:paraId="53A2535B">
      <w:pPr>
        <w:pStyle w:val="14"/>
        <w:keepNext w:val="0"/>
        <w:keepLines w:val="0"/>
        <w:pageBreakBefore w:val="0"/>
        <w:kinsoku/>
        <w:overflowPunct w:val="0"/>
        <w:topLinePunct/>
        <w:autoSpaceDE w:val="0"/>
        <w:autoSpaceDN/>
        <w:bidi w:val="0"/>
        <w:spacing w:beforeAutospacing="0" w:line="560" w:lineRule="exact"/>
        <w:ind w:firstLine="640" w:firstLineChars="200"/>
        <w:rPr>
          <w:rFonts w:ascii="Times New Roman" w:hAnsi="Times New Roman" w:eastAsia="方正楷体_GBK" w:cs="方正楷体_GBK"/>
          <w:b w:val="0"/>
          <w:bCs w:val="0"/>
          <w:color w:val="auto"/>
          <w:sz w:val="32"/>
          <w:szCs w:val="32"/>
          <w:highlight w:val="none"/>
          <w:shd w:val="clear" w:color="auto" w:fill="FFFFFF"/>
        </w:rPr>
      </w:pPr>
      <w:r>
        <w:rPr>
          <w:rFonts w:hint="eastAsia" w:ascii="Times New Roman" w:hAnsi="Times New Roman" w:eastAsia="方正楷体_GBK" w:cs="方正楷体_GBK"/>
          <w:b w:val="0"/>
          <w:bCs w:val="0"/>
          <w:color w:val="auto"/>
          <w:sz w:val="32"/>
          <w:szCs w:val="32"/>
          <w:highlight w:val="none"/>
          <w:shd w:val="clear" w:color="auto" w:fill="FFFFFF"/>
        </w:rPr>
        <w:t>（三）财政绩效评价情况</w:t>
      </w:r>
    </w:p>
    <w:p w14:paraId="58F8E35D">
      <w:pPr>
        <w:pStyle w:val="17"/>
        <w:keepNext w:val="0"/>
        <w:keepLines w:val="0"/>
        <w:pageBreakBefore w:val="0"/>
        <w:widowControl/>
        <w:kinsoku/>
        <w:overflowPunct w:val="0"/>
        <w:topLinePunct/>
        <w:autoSpaceDE w:val="0"/>
        <w:autoSpaceDN/>
        <w:bidi w:val="0"/>
        <w:adjustRightInd/>
        <w:spacing w:beforeAutospacing="0" w:line="560" w:lineRule="exact"/>
        <w:ind w:firstLine="640" w:firstLineChars="200"/>
        <w:rPr>
          <w:rFonts w:hint="eastAsia" w:ascii="Times New Roman" w:hAnsi="Times New Roman" w:eastAsia="方正仿宋_GBK" w:cs="方正仿宋_GBK"/>
          <w:b w:val="0"/>
          <w:bCs w:val="0"/>
          <w:color w:val="auto"/>
          <w:sz w:val="32"/>
          <w:szCs w:val="32"/>
          <w:highlight w:val="none"/>
          <w:shd w:val="clear" w:color="auto" w:fill="auto"/>
        </w:rPr>
      </w:pPr>
      <w:r>
        <w:rPr>
          <w:rFonts w:hint="eastAsia" w:hAnsi="Times New Roman" w:eastAsia="方正仿宋_GBK" w:cs="方正仿宋_GBK"/>
          <w:b w:val="0"/>
          <w:bCs w:val="0"/>
          <w:color w:val="auto"/>
          <w:sz w:val="32"/>
          <w:szCs w:val="32"/>
          <w:highlight w:val="none"/>
          <w:shd w:val="clear" w:color="auto" w:fill="auto"/>
          <w:lang w:val="en-US" w:eastAsia="zh-CN"/>
        </w:rPr>
        <w:t>县</w:t>
      </w:r>
      <w:r>
        <w:rPr>
          <w:rFonts w:hint="eastAsia" w:ascii="Times New Roman" w:hAnsi="Times New Roman" w:eastAsia="方正仿宋_GBK" w:cs="方正仿宋_GBK"/>
          <w:b w:val="0"/>
          <w:bCs w:val="0"/>
          <w:color w:val="auto"/>
          <w:sz w:val="32"/>
          <w:szCs w:val="32"/>
          <w:highlight w:val="none"/>
          <w:shd w:val="clear" w:color="auto" w:fill="auto"/>
        </w:rPr>
        <w:t>财政局未委托第三方对我单位开展绩效评价。</w:t>
      </w:r>
    </w:p>
    <w:p w14:paraId="388995A0">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ind w:firstLine="640"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6"/>
          <w:rFonts w:hint="eastAsia" w:ascii="Times New Roman" w:hAnsi="方正仿宋_GBK" w:eastAsia="方正仿宋_GBK" w:cs="方正仿宋_GBK"/>
          <w:b w:val="0"/>
          <w:bCs w:val="0"/>
          <w:color w:val="auto"/>
          <w:sz w:val="32"/>
          <w:szCs w:val="32"/>
          <w:highlight w:val="none"/>
          <w:shd w:val="clear" w:fill="FFFFFF"/>
        </w:rPr>
        <w:t xml:space="preserve"> </w:t>
      </w:r>
      <w:r>
        <w:rPr>
          <w:rStyle w:val="16"/>
          <w:rFonts w:hint="eastAsia" w:ascii="Times New Roman" w:hAnsi="方正仿宋_GBK" w:eastAsia="方正仿宋_GBK" w:cs="方正仿宋_GBK"/>
          <w:b w:val="0"/>
          <w:bCs w:val="0"/>
          <w:color w:val="auto"/>
          <w:sz w:val="32"/>
          <w:szCs w:val="32"/>
          <w:highlight w:val="none"/>
          <w:shd w:val="clear" w:fill="FFFFFF"/>
          <w:lang w:val="en-US" w:eastAsia="zh-CN"/>
        </w:rPr>
        <w:t xml:space="preserve">  </w:t>
      </w:r>
      <w:r>
        <w:rPr>
          <w:rStyle w:val="13"/>
          <w:rFonts w:hint="eastAsia" w:ascii="Times New Roman" w:hAnsi="方正黑体_GBK" w:eastAsia="方正黑体_GBK" w:cs="方正黑体_GBK"/>
          <w:b w:val="0"/>
          <w:bCs w:val="0"/>
          <w:color w:val="auto"/>
          <w:sz w:val="32"/>
          <w:szCs w:val="32"/>
          <w:highlight w:val="none"/>
          <w:shd w:val="clear" w:color="auto" w:fill="FFFFFF"/>
          <w:lang w:val="en-US" w:eastAsia="zh-CN" w:bidi="ar-SA"/>
        </w:rPr>
        <w:t xml:space="preserve"> 六、专业名词解释</w:t>
      </w:r>
    </w:p>
    <w:p w14:paraId="6C833B2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（一）财政拨款收入：</w:t>
      </w:r>
      <w:r>
        <w:rPr>
          <w:rFonts w:hint="eastAsia" w:ascii="Times New Roman" w:hAnsi="方正仿宋_GBK" w:eastAsia="方正仿宋_GBK" w:cs="方正仿宋_GBK"/>
          <w:b w:val="0"/>
          <w:bCs w:val="0"/>
          <w:color w:val="auto"/>
          <w:kern w:val="0"/>
          <w:sz w:val="32"/>
          <w:szCs w:val="32"/>
          <w:highlight w:val="none"/>
          <w:shd w:val="clear" w:fill="FFFFFF"/>
        </w:rPr>
        <w:t>指本年度从本级财政部门取得的财政拨款，包括一般公共预算财政拨款和政府性基金预算财政拨款。</w:t>
      </w:r>
    </w:p>
    <w:p w14:paraId="7A01537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（二）事业收入：</w:t>
      </w:r>
      <w:r>
        <w:rPr>
          <w:rFonts w:hint="eastAsia" w:ascii="Times New Roman" w:hAnsi="方正仿宋_GBK" w:eastAsia="方正仿宋_GBK" w:cs="方正仿宋_GBK"/>
          <w:b w:val="0"/>
          <w:bCs w:val="0"/>
          <w:color w:val="auto"/>
          <w:kern w:val="0"/>
          <w:sz w:val="32"/>
          <w:szCs w:val="32"/>
          <w:highlight w:val="none"/>
          <w:shd w:val="clear" w:fill="FFFFFF"/>
        </w:rPr>
        <w:t>指事业单位开展专业业务活动及其辅助活动取得的现金流入；事业单位收到的财政专户实际核拨的教育收费等资金在此反映。</w:t>
      </w:r>
    </w:p>
    <w:p w14:paraId="09B74F2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（三）经营收入：</w:t>
      </w:r>
      <w:r>
        <w:rPr>
          <w:rFonts w:hint="eastAsia" w:ascii="Times New Roman" w:hAnsi="方正仿宋_GBK" w:eastAsia="方正仿宋_GBK" w:cs="方正仿宋_GBK"/>
          <w:b w:val="0"/>
          <w:bCs w:val="0"/>
          <w:color w:val="auto"/>
          <w:kern w:val="0"/>
          <w:sz w:val="32"/>
          <w:szCs w:val="32"/>
          <w:highlight w:val="none"/>
          <w:shd w:val="clear" w:fill="FFFFFF"/>
        </w:rPr>
        <w:t>指事业单位在专业业务活动及其辅助活动之外开展非独立核算经营活动取得的现金流入。</w:t>
      </w:r>
    </w:p>
    <w:p w14:paraId="560C36E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（四）其他收入：</w:t>
      </w:r>
      <w:r>
        <w:rPr>
          <w:rFonts w:hint="eastAsia" w:ascii="Times New Roman" w:hAnsi="方正仿宋_GBK" w:eastAsia="方正仿宋_GBK" w:cs="方正仿宋_GBK"/>
          <w:b w:val="0"/>
          <w:bCs w:val="0"/>
          <w:color w:val="auto"/>
          <w:kern w:val="0"/>
          <w:sz w:val="32"/>
          <w:szCs w:val="32"/>
          <w:highlight w:val="none"/>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06E537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（五）使用非财政拨款结余（含专用结余）：</w:t>
      </w:r>
      <w:r>
        <w:rPr>
          <w:rFonts w:hint="eastAsia" w:ascii="Times New Roman" w:hAnsi="方正仿宋_GBK" w:eastAsia="方正仿宋_GBK" w:cs="方正仿宋_GBK"/>
          <w:b w:val="0"/>
          <w:bCs w:val="0"/>
          <w:color w:val="auto"/>
          <w:kern w:val="0"/>
          <w:sz w:val="32"/>
          <w:szCs w:val="32"/>
          <w:highlight w:val="none"/>
          <w:shd w:val="clear" w:fill="FFFFFF"/>
        </w:rPr>
        <w:t>指单位在当年的“财政拨款收入”、“事业收入”、“经营收入”、“其他收入”等不足以安排当年支出的情况下，使用以前年度积累的非财政拨款结余弥补本年度收支缺口的资金。</w:t>
      </w:r>
    </w:p>
    <w:p w14:paraId="0F7669A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（六）年初结转和结余：</w:t>
      </w:r>
      <w:r>
        <w:rPr>
          <w:rFonts w:hint="eastAsia" w:ascii="Times New Roman" w:hAnsi="方正仿宋_GBK" w:eastAsia="方正仿宋_GBK" w:cs="方正仿宋_GBK"/>
          <w:b w:val="0"/>
          <w:bCs w:val="0"/>
          <w:color w:val="auto"/>
          <w:kern w:val="0"/>
          <w:sz w:val="32"/>
          <w:szCs w:val="32"/>
          <w:highlight w:val="none"/>
          <w:shd w:val="clear" w:fill="FFFFFF"/>
        </w:rPr>
        <w:t>指单位上年结转本年使用的基本支出结转、项目支出结转和结余、经营结余。</w:t>
      </w:r>
    </w:p>
    <w:p w14:paraId="19F74A7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（七）结余分配：</w:t>
      </w:r>
      <w:r>
        <w:rPr>
          <w:rFonts w:hint="eastAsia" w:ascii="Times New Roman" w:hAnsi="方正仿宋_GBK" w:eastAsia="方正仿宋_GBK" w:cs="方正仿宋_GBK"/>
          <w:b w:val="0"/>
          <w:bCs w:val="0"/>
          <w:color w:val="auto"/>
          <w:kern w:val="0"/>
          <w:sz w:val="32"/>
          <w:szCs w:val="32"/>
          <w:highlight w:val="none"/>
          <w:shd w:val="clear" w:fill="FFFFFF"/>
        </w:rPr>
        <w:t>指单位按照国家有关规定，缴纳所得税、提取专用基金、转入非财政拨款结余等当年结余的分配情况。</w:t>
      </w:r>
    </w:p>
    <w:p w14:paraId="3FD30DF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（八）年末结转和结余：</w:t>
      </w:r>
      <w:r>
        <w:rPr>
          <w:rFonts w:hint="eastAsia" w:ascii="Times New Roman" w:hAnsi="方正仿宋_GBK" w:eastAsia="方正仿宋_GBK" w:cs="方正仿宋_GBK"/>
          <w:b w:val="0"/>
          <w:bCs w:val="0"/>
          <w:color w:val="auto"/>
          <w:kern w:val="0"/>
          <w:sz w:val="32"/>
          <w:szCs w:val="32"/>
          <w:highlight w:val="none"/>
          <w:shd w:val="clear" w:fill="FFFFFF"/>
        </w:rPr>
        <w:t>指单位结转下年的基本支出结转、项目支出结转和结余、经营结余。</w:t>
      </w:r>
    </w:p>
    <w:p w14:paraId="1B8DFC0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（九）基本支出：</w:t>
      </w:r>
      <w:r>
        <w:rPr>
          <w:rFonts w:hint="eastAsia" w:ascii="Times New Roman" w:hAnsi="方正仿宋_GBK" w:eastAsia="方正仿宋_GBK" w:cs="方正仿宋_GBK"/>
          <w:b w:val="0"/>
          <w:bCs w:val="0"/>
          <w:color w:val="auto"/>
          <w:kern w:val="0"/>
          <w:sz w:val="32"/>
          <w:szCs w:val="32"/>
          <w:highlight w:val="none"/>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875EA8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（十）项目支出：</w:t>
      </w:r>
      <w:r>
        <w:rPr>
          <w:rFonts w:hint="eastAsia" w:ascii="Times New Roman" w:hAnsi="方正仿宋_GBK" w:eastAsia="方正仿宋_GBK" w:cs="方正仿宋_GBK"/>
          <w:b w:val="0"/>
          <w:bCs w:val="0"/>
          <w:color w:val="auto"/>
          <w:kern w:val="0"/>
          <w:sz w:val="32"/>
          <w:szCs w:val="32"/>
          <w:highlight w:val="none"/>
          <w:shd w:val="clear" w:fill="FFFFFF"/>
        </w:rPr>
        <w:t>指在基本支出之外为完成特定行政任务和事业发展目标所发生的支出。</w:t>
      </w:r>
    </w:p>
    <w:p w14:paraId="3EF6B2B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（十一）经营支出：</w:t>
      </w:r>
      <w:r>
        <w:rPr>
          <w:rFonts w:hint="eastAsia" w:ascii="Times New Roman" w:hAnsi="方正仿宋_GBK" w:eastAsia="方正仿宋_GBK" w:cs="方正仿宋_GBK"/>
          <w:b w:val="0"/>
          <w:bCs w:val="0"/>
          <w:color w:val="auto"/>
          <w:kern w:val="0"/>
          <w:sz w:val="32"/>
          <w:szCs w:val="32"/>
          <w:highlight w:val="none"/>
          <w:shd w:val="clear" w:fill="FFFFFF"/>
        </w:rPr>
        <w:t>指事业单位在专业业务活动及其辅助活动之外开展非独立核算经营活动发生的支出。</w:t>
      </w:r>
    </w:p>
    <w:p w14:paraId="6543A49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（十二）“三公”经费：</w:t>
      </w:r>
      <w:r>
        <w:rPr>
          <w:rFonts w:hint="eastAsia" w:ascii="Times New Roman" w:hAnsi="方正仿宋_GBK" w:eastAsia="方正仿宋_GBK" w:cs="方正仿宋_GBK"/>
          <w:b w:val="0"/>
          <w:bCs w:val="0"/>
          <w:color w:val="auto"/>
          <w:kern w:val="0"/>
          <w:sz w:val="32"/>
          <w:szCs w:val="32"/>
          <w:highlight w:val="none"/>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1B975F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（十三）机关运行经费：</w:t>
      </w:r>
      <w:r>
        <w:rPr>
          <w:rFonts w:hint="eastAsia" w:ascii="Times New Roman" w:hAnsi="方正仿宋_GBK" w:eastAsia="方正仿宋_GBK" w:cs="方正仿宋_GBK"/>
          <w:b w:val="0"/>
          <w:bCs w:val="0"/>
          <w:color w:val="auto"/>
          <w:kern w:val="0"/>
          <w:sz w:val="32"/>
          <w:szCs w:val="32"/>
          <w:highlight w:val="none"/>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5B4D44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（十四）工资福利支出（支出经济分类科目类级）：</w:t>
      </w:r>
      <w:r>
        <w:rPr>
          <w:rFonts w:hint="eastAsia" w:ascii="Times New Roman" w:hAnsi="方正仿宋_GBK" w:eastAsia="方正仿宋_GBK" w:cs="方正仿宋_GBK"/>
          <w:b w:val="0"/>
          <w:bCs w:val="0"/>
          <w:color w:val="auto"/>
          <w:kern w:val="0"/>
          <w:sz w:val="32"/>
          <w:szCs w:val="32"/>
          <w:highlight w:val="none"/>
          <w:shd w:val="clear" w:fill="FFFFFF"/>
        </w:rPr>
        <w:t>反映单位开支的在职职工和编制外长期聘用人员的各类劳动报酬，以及为上述人员缴纳的各项社会保险费等。</w:t>
      </w:r>
    </w:p>
    <w:p w14:paraId="673F7AB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（十五）商品和服务支出（支出经济分类科目类级）：</w:t>
      </w:r>
      <w:r>
        <w:rPr>
          <w:rFonts w:hint="eastAsia" w:ascii="Times New Roman" w:hAnsi="方正仿宋_GBK" w:eastAsia="方正仿宋_GBK" w:cs="方正仿宋_GBK"/>
          <w:b w:val="0"/>
          <w:bCs w:val="0"/>
          <w:color w:val="auto"/>
          <w:kern w:val="0"/>
          <w:sz w:val="32"/>
          <w:szCs w:val="32"/>
          <w:highlight w:val="none"/>
          <w:shd w:val="clear" w:fill="FFFFFF"/>
        </w:rPr>
        <w:t>反映单位购买商品和服务的支出（不包括用于购置固定资产的支出、战略性和应急储备支出）。</w:t>
      </w:r>
    </w:p>
    <w:p w14:paraId="02A5B9B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（十六）对个人和家庭的补助（支出经济分类科目类级）：</w:t>
      </w:r>
      <w:r>
        <w:rPr>
          <w:rFonts w:hint="eastAsia" w:ascii="Times New Roman" w:hAnsi="方正仿宋_GBK" w:eastAsia="方正仿宋_GBK" w:cs="方正仿宋_GBK"/>
          <w:b w:val="0"/>
          <w:bCs w:val="0"/>
          <w:color w:val="auto"/>
          <w:kern w:val="0"/>
          <w:sz w:val="32"/>
          <w:szCs w:val="32"/>
          <w:highlight w:val="none"/>
          <w:shd w:val="clear" w:fill="FFFFFF"/>
        </w:rPr>
        <w:t>反映用于对个人和家庭的补助支出。</w:t>
      </w:r>
    </w:p>
    <w:p w14:paraId="0BD1CD8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楷体_GBK" w:eastAsia="方正楷体_GBK" w:cs="方正楷体_GBK"/>
          <w:b w:val="0"/>
          <w:bCs w:val="0"/>
          <w:color w:val="auto"/>
          <w:sz w:val="32"/>
          <w:szCs w:val="32"/>
          <w:highlight w:val="none"/>
          <w:shd w:val="clear" w:color="auto" w:fill="FFFFFF"/>
          <w:lang w:val="en-US" w:eastAsia="zh-CN" w:bidi="ar-SA"/>
        </w:rPr>
        <w:t>（十七）其他资本性支出（支出经济分类科目类级）：</w:t>
      </w:r>
      <w:r>
        <w:rPr>
          <w:rFonts w:hint="eastAsia" w:ascii="Times New Roman" w:hAnsi="方正仿宋_GBK" w:eastAsia="方正仿宋_GBK" w:cs="方正仿宋_GBK"/>
          <w:b w:val="0"/>
          <w:bCs w:val="0"/>
          <w:color w:val="auto"/>
          <w:kern w:val="0"/>
          <w:sz w:val="32"/>
          <w:szCs w:val="32"/>
          <w:highlight w:val="none"/>
          <w:shd w:val="clear" w:fill="FFFFFF"/>
        </w:rPr>
        <w:t>反映非各级发展与改革部门集中安排的用于购置固定资产、战略性和应急性储备、土地和无形资产，以及构建基础设施、大型修缮和财政支持企业更新改造所发生的支出。</w:t>
      </w:r>
    </w:p>
    <w:p w14:paraId="7212CE1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方正仿宋_GBK" w:eastAsia="方正仿宋_GBK" w:cs="方正仿宋_GBK"/>
          <w:b w:val="0"/>
          <w:bCs w:val="0"/>
          <w:color w:val="auto"/>
          <w:kern w:val="0"/>
          <w:sz w:val="32"/>
          <w:szCs w:val="32"/>
          <w:highlight w:val="none"/>
        </w:rPr>
      </w:pPr>
      <w:r>
        <w:rPr>
          <w:rStyle w:val="13"/>
          <w:rFonts w:hint="eastAsia" w:ascii="Times New Roman" w:hAnsi="方正黑体_GBK" w:eastAsia="方正黑体_GBK" w:cs="方正黑体_GBK"/>
          <w:b w:val="0"/>
          <w:bCs w:val="0"/>
          <w:color w:val="auto"/>
          <w:sz w:val="32"/>
          <w:szCs w:val="32"/>
          <w:highlight w:val="none"/>
          <w:shd w:val="clear" w:color="auto" w:fill="FFFFFF"/>
          <w:lang w:val="en-US" w:eastAsia="zh-CN" w:bidi="ar-SA"/>
        </w:rPr>
        <w:t>七、决算公开联系方式及信息反馈渠道</w:t>
      </w:r>
    </w:p>
    <w:p w14:paraId="382A04F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Times New Roman" w:hAnsi="方正仿宋_GBK" w:eastAsia="方正仿宋_GBK" w:cs="方正仿宋_GBK"/>
          <w:b w:val="0"/>
          <w:bCs w:val="0"/>
          <w:color w:val="auto"/>
          <w:kern w:val="0"/>
          <w:sz w:val="32"/>
          <w:szCs w:val="32"/>
          <w:highlight w:val="none"/>
        </w:rPr>
      </w:pPr>
      <w:r>
        <w:rPr>
          <w:rFonts w:hint="eastAsia" w:ascii="Times New Roman" w:hAnsi="方正仿宋_GBK" w:eastAsia="方正仿宋_GBK" w:cs="方正仿宋_GBK"/>
          <w:b w:val="0"/>
          <w:bCs w:val="0"/>
          <w:color w:val="auto"/>
          <w:kern w:val="0"/>
          <w:sz w:val="32"/>
          <w:szCs w:val="32"/>
          <w:highlight w:val="none"/>
          <w:shd w:val="clear" w:fill="FFFFFF"/>
        </w:rPr>
        <w:t>本单位决算公开信息反馈和联系方式：</w:t>
      </w:r>
    </w:p>
    <w:p w14:paraId="1F937E34">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firstLineChars="200"/>
        <w:jc w:val="both"/>
        <w:textAlignment w:val="auto"/>
        <w:rPr>
          <w:rFonts w:hint="eastAsia" w:ascii="Times New Roman" w:hAnsi="Times New Roman" w:cs="方正仿宋_GBK"/>
          <w:color w:val="auto"/>
          <w:sz w:val="32"/>
          <w:szCs w:val="32"/>
          <w:highlight w:val="none"/>
          <w:shd w:val="clear" w:color="auto" w:fill="auto"/>
          <w:lang w:val="en-US" w:eastAsia="zh-CN"/>
        </w:rPr>
      </w:pPr>
      <w:r>
        <w:rPr>
          <w:rFonts w:hint="eastAsia" w:ascii="Times New Roman" w:hAnsi="Times New Roman" w:cs="方正仿宋_GBK"/>
          <w:color w:val="auto"/>
          <w:sz w:val="32"/>
          <w:szCs w:val="32"/>
          <w:highlight w:val="none"/>
          <w:shd w:val="clear" w:color="auto" w:fill="auto"/>
          <w:lang w:val="en-US" w:eastAsia="zh-CN"/>
        </w:rPr>
        <w:t>联系人：郑建朋 ；电话：</w:t>
      </w:r>
      <w:r>
        <w:rPr>
          <w:rFonts w:hint="eastAsia" w:ascii="Times New Roman" w:hAnsi="Times New Roman" w:eastAsia="方正仿宋_GBK" w:cs="方正仿宋_GBK"/>
          <w:b w:val="0"/>
          <w:bCs w:val="0"/>
          <w:color w:val="auto"/>
          <w:sz w:val="32"/>
          <w:szCs w:val="32"/>
          <w:highlight w:val="none"/>
          <w:shd w:val="clear" w:color="auto" w:fill="auto"/>
        </w:rPr>
        <w:t>023-</w:t>
      </w:r>
      <w:r>
        <w:rPr>
          <w:rFonts w:hint="eastAsia" w:ascii="Times New Roman" w:hAnsi="Times New Roman" w:cs="方正仿宋_GBK"/>
          <w:color w:val="auto"/>
          <w:sz w:val="32"/>
          <w:szCs w:val="32"/>
          <w:highlight w:val="none"/>
          <w:shd w:val="clear" w:color="auto" w:fill="auto"/>
          <w:lang w:val="en-US" w:eastAsia="zh-CN"/>
        </w:rPr>
        <w:t>70605370。</w:t>
      </w:r>
    </w:p>
    <w:p w14:paraId="0B902659">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3"/>
          <w:rFonts w:ascii="Times New Roman" w:hAnsi="方正仿宋_GBK" w:eastAsia="方正仿宋_GBK" w:cs="方正仿宋_GBK"/>
          <w:b w:val="0"/>
          <w:bCs w:val="0"/>
          <w:color w:val="auto"/>
          <w:sz w:val="32"/>
          <w:szCs w:val="32"/>
          <w:highlight w:val="none"/>
          <w:shd w:val="clear" w:color="auto" w:fill="FFFF00"/>
        </w:rPr>
      </w:pPr>
    </w:p>
    <w:p w14:paraId="77E5D1F0">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3"/>
          <w:rFonts w:ascii="Times New Roman" w:hAnsi="方正仿宋_GBK" w:eastAsia="方正仿宋_GBK" w:cs="方正仿宋_GBK"/>
          <w:b w:val="0"/>
          <w:bCs w:val="0"/>
          <w:color w:val="auto"/>
          <w:sz w:val="32"/>
          <w:szCs w:val="32"/>
          <w:highlight w:val="none"/>
          <w:shd w:val="clear" w:color="auto" w:fill="FFFF00"/>
        </w:rPr>
        <w:sectPr>
          <w:headerReference r:id="rId3" w:type="default"/>
          <w:footerReference r:id="rId4" w:type="default"/>
          <w:pgSz w:w="11915" w:h="16840"/>
          <w:pgMar w:top="2098" w:right="1474" w:bottom="1984" w:left="1587"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3854"/>
        <w:gridCol w:w="3193"/>
        <w:gridCol w:w="3629"/>
        <w:gridCol w:w="2551"/>
      </w:tblGrid>
      <w:tr w14:paraId="162C5738">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C16F7AE">
            <w:pPr>
              <w:spacing w:line="400" w:lineRule="exact"/>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收入支出决算总表</w:t>
            </w:r>
          </w:p>
        </w:tc>
      </w:tr>
      <w:tr w14:paraId="5317FC00">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7738D4AC">
            <w:pPr>
              <w:spacing w:line="200" w:lineRule="exact"/>
              <w:rPr>
                <w:rFonts w:hint="default" w:ascii="Times New Roman" w:hAnsi="Arial" w:cs="Arial"/>
                <w:color w:val="auto"/>
                <w:sz w:val="20"/>
                <w:szCs w:val="20"/>
                <w:highlight w:val="none"/>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25F0B06B">
            <w:pPr>
              <w:spacing w:line="200" w:lineRule="exact"/>
              <w:jc w:val="right"/>
              <w:rPr>
                <w:rFonts w:hint="default" w:ascii="Times New Roman" w:hAnsi="Arial" w:cs="Arial"/>
                <w:color w:val="auto"/>
                <w:sz w:val="20"/>
                <w:szCs w:val="20"/>
                <w:highlight w:val="none"/>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49806E54">
            <w:pPr>
              <w:spacing w:line="200" w:lineRule="exact"/>
              <w:rPr>
                <w:rFonts w:hint="default" w:ascii="Times New Roman" w:hAnsi="Arial" w:cs="Arial"/>
                <w:color w:val="auto"/>
                <w:sz w:val="20"/>
                <w:szCs w:val="20"/>
                <w:highlight w:val="none"/>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F76E9F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01</w:t>
            </w:r>
            <w:r>
              <w:rPr>
                <w:rFonts w:ascii="Times New Roman" w:cs="宋体"/>
                <w:color w:val="auto"/>
                <w:sz w:val="20"/>
                <w:szCs w:val="20"/>
                <w:highlight w:val="none"/>
              </w:rPr>
              <w:t>表</w:t>
            </w:r>
          </w:p>
        </w:tc>
      </w:tr>
      <w:tr w14:paraId="0A2F6F8F">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5799334A">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Arial" w:cs="Arial"/>
                <w:color w:val="auto"/>
                <w:sz w:val="22"/>
                <w:szCs w:val="22"/>
                <w:highlight w:val="none"/>
              </w:rPr>
            </w:pPr>
            <w:r>
              <w:rPr>
                <w:rFonts w:ascii="Times New Roman" w:cs="宋体"/>
                <w:color w:val="auto"/>
                <w:sz w:val="20"/>
                <w:szCs w:val="20"/>
                <w:highlight w:val="none"/>
              </w:rPr>
              <w:t>单位：</w:t>
            </w:r>
            <w:r>
              <w:rPr>
                <w:rFonts w:ascii="Times New Roman"/>
                <w:color w:val="auto"/>
                <w:sz w:val="20"/>
                <w:highlight w:val="none"/>
                <w:u w:color="auto"/>
              </w:rPr>
              <w:t>丰都县公共资源交易中心（本级）</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A66A785">
            <w:pPr>
              <w:spacing w:line="200" w:lineRule="exact"/>
              <w:rPr>
                <w:rFonts w:hint="default" w:ascii="Times New Roman" w:hAnsi="Arial" w:cs="Arial"/>
                <w:color w:val="auto"/>
                <w:sz w:val="22"/>
                <w:szCs w:val="22"/>
                <w:highlight w:val="none"/>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6773A03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单位：万元</w:t>
            </w:r>
          </w:p>
        </w:tc>
      </w:tr>
      <w:tr w14:paraId="6EF4EB4C">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A8987">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7513726">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支出</w:t>
            </w:r>
          </w:p>
        </w:tc>
      </w:tr>
      <w:tr w14:paraId="3DF23F4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C7A93">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42595">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0D915">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D0F70">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决算数</w:t>
            </w:r>
          </w:p>
        </w:tc>
      </w:tr>
      <w:tr w14:paraId="31B3169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5ECE7">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1788A">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326.15</w:t>
            </w: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7B419">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C02E7">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251.86</w:t>
            </w:r>
            <w:r>
              <w:rPr>
                <w:rFonts w:ascii="Times New Roman" w:hAnsi="Times New Roman"/>
                <w:color w:val="auto"/>
                <w:sz w:val="20"/>
                <w:highlight w:val="none"/>
                <w:u w:color="auto"/>
              </w:rPr>
              <w:t xml:space="preserve"> </w:t>
            </w:r>
          </w:p>
        </w:tc>
      </w:tr>
      <w:tr w14:paraId="195DC6A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B6F23">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85806">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15195">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D0E28">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5EA2248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A42C6">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8BA6C">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8687D">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272D7">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0102736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3CA5D">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33D2C">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54905">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BE9FB">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7C2BD1F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4FD81">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40B0E">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5736F">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850A6">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131E4B2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2F21B">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4CE6A">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9BB80">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D1A25">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6FBAE62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BBC37">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03E18">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6BEC6">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383C6">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282515A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A293B">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3191C388">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C860F">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DE54E">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47.49</w:t>
            </w:r>
            <w:r>
              <w:rPr>
                <w:rFonts w:ascii="Times New Roman" w:hAnsi="Times New Roman"/>
                <w:color w:val="auto"/>
                <w:sz w:val="20"/>
                <w:highlight w:val="none"/>
                <w:u w:color="auto"/>
              </w:rPr>
              <w:t xml:space="preserve"> </w:t>
            </w:r>
          </w:p>
        </w:tc>
      </w:tr>
      <w:tr w14:paraId="57D95B9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B132D">
            <w:pPr>
              <w:spacing w:line="240" w:lineRule="exact"/>
              <w:rPr>
                <w:rFonts w:hint="default" w:ascii="Times New Roman" w:cs="宋体"/>
                <w:b/>
                <w:bCs/>
                <w:color w:val="auto"/>
                <w:sz w:val="20"/>
                <w:szCs w:val="20"/>
                <w:highlight w:val="none"/>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940ABF">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C8C1E">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2DF5C">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13.76</w:t>
            </w:r>
            <w:r>
              <w:rPr>
                <w:rFonts w:ascii="Times New Roman" w:hAnsi="Times New Roman"/>
                <w:color w:val="auto"/>
                <w:sz w:val="20"/>
                <w:highlight w:val="none"/>
                <w:u w:color="auto"/>
              </w:rPr>
              <w:t xml:space="preserve"> </w:t>
            </w:r>
          </w:p>
        </w:tc>
      </w:tr>
      <w:tr w14:paraId="68BFBFB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69AE3">
            <w:pPr>
              <w:spacing w:line="240" w:lineRule="exact"/>
              <w:rPr>
                <w:rFonts w:hint="default" w:ascii="Times New Roman" w:cs="宋体"/>
                <w:b/>
                <w:bCs/>
                <w:color w:val="auto"/>
                <w:sz w:val="20"/>
                <w:szCs w:val="20"/>
                <w:highlight w:val="none"/>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85C299">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BD281">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7B995">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0C296DA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418E4">
            <w:pPr>
              <w:spacing w:line="240" w:lineRule="exact"/>
              <w:rPr>
                <w:rFonts w:hint="default" w:ascii="Times New Roman" w:cs="宋体"/>
                <w:b/>
                <w:bCs/>
                <w:color w:val="auto"/>
                <w:sz w:val="20"/>
                <w:szCs w:val="20"/>
                <w:highlight w:val="none"/>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271DC5">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BFE77">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03C64">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36F33F4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FEA62">
            <w:pPr>
              <w:spacing w:line="240" w:lineRule="exact"/>
              <w:rPr>
                <w:rFonts w:hint="default" w:ascii="Times New Roman" w:cs="宋体"/>
                <w:b/>
                <w:bCs/>
                <w:color w:val="auto"/>
                <w:sz w:val="20"/>
                <w:szCs w:val="20"/>
                <w:highlight w:val="none"/>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C561CF">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3816E">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CA43C">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7CC418E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92E7E">
            <w:pPr>
              <w:spacing w:line="240" w:lineRule="exact"/>
              <w:rPr>
                <w:rFonts w:hint="default" w:ascii="Times New Roman" w:cs="宋体"/>
                <w:b/>
                <w:bCs/>
                <w:color w:val="auto"/>
                <w:sz w:val="20"/>
                <w:szCs w:val="20"/>
                <w:highlight w:val="none"/>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E50DA">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747E1">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E8D0F">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3677883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42966">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BDE6C">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3C223">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AAE30">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71AD994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7713A">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D68CF">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37140">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489D8">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05E1FBD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6B4E3">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EBCFA">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A2A95">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AA651">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14F71B9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AE8E2">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2409E">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C1B33">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7EFF8">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4F115C69">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44DF0">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9F45D">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93EBF">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8CF53">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379BEB7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DBDE9">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86F3A">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1F9F5">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00E96">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13.03</w:t>
            </w:r>
            <w:r>
              <w:rPr>
                <w:rFonts w:ascii="Times New Roman" w:hAnsi="Times New Roman"/>
                <w:color w:val="auto"/>
                <w:sz w:val="20"/>
                <w:highlight w:val="none"/>
                <w:u w:color="auto"/>
              </w:rPr>
              <w:t xml:space="preserve"> </w:t>
            </w:r>
          </w:p>
        </w:tc>
      </w:tr>
      <w:tr w14:paraId="20E707B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34162">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A01B0">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59301">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450B5">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16C1F7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0F6D6">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84088">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5B934">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A1FA9">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41D7B22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3E83F">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47BD8">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2BE2D">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1E1E2">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4D00266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38715">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B407C">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FE744">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85D6C">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753B02F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CA2F7">
            <w:pPr>
              <w:spacing w:line="240" w:lineRule="exact"/>
              <w:jc w:val="center"/>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03F6C">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C2319">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0E00C">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2034F88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E4E43">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D2C0E">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AD82E">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7E3FC">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2076A7F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8404F">
            <w:pPr>
              <w:spacing w:line="240" w:lineRule="exact"/>
              <w:rPr>
                <w:rFonts w:hint="default" w:ascii="Times New Roman" w:cs="宋体"/>
                <w:b/>
                <w:bCs/>
                <w:color w:val="auto"/>
                <w:sz w:val="20"/>
                <w:szCs w:val="20"/>
                <w:highlight w:val="none"/>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E23B5">
            <w:pPr>
              <w:wordWrap w:val="0"/>
              <w:spacing w:line="200" w:lineRule="exact"/>
              <w:jc w:val="right"/>
              <w:textAlignment w:val="center"/>
              <w:rPr>
                <w:rFonts w:hint="default" w:ascii="Times New Roman" w:hAnsi="Times New Roman"/>
                <w:color w:val="auto"/>
                <w:sz w:val="20"/>
                <w:szCs w:val="20"/>
                <w:highlight w:val="none"/>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67BBA">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C2584">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7D94107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50110">
            <w:pPr>
              <w:spacing w:line="240" w:lineRule="exact"/>
              <w:jc w:val="center"/>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0D6C6">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326.15</w:t>
            </w: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995B0">
            <w:pPr>
              <w:spacing w:line="240" w:lineRule="exact"/>
              <w:jc w:val="center"/>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6051F">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326.15</w:t>
            </w:r>
            <w:r>
              <w:rPr>
                <w:rFonts w:ascii="Times New Roman" w:hAnsi="Times New Roman"/>
                <w:color w:val="auto"/>
                <w:sz w:val="20"/>
                <w:highlight w:val="none"/>
                <w:u w:color="auto"/>
              </w:rPr>
              <w:t xml:space="preserve"> </w:t>
            </w:r>
          </w:p>
        </w:tc>
      </w:tr>
      <w:tr w14:paraId="5721749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624BD">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AAD47">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9AB6D">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9C5CB">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34CABD9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49435">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AFF08">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03D2A">
            <w:pPr>
              <w:spacing w:line="240" w:lineRule="exact"/>
              <w:textAlignment w:val="center"/>
              <w:rPr>
                <w:rFonts w:hint="default" w:ascii="Times New Roman" w:cs="宋体"/>
                <w:b/>
                <w:bCs/>
                <w:color w:val="auto"/>
                <w:sz w:val="20"/>
                <w:szCs w:val="20"/>
                <w:highlight w:val="none"/>
              </w:rPr>
            </w:pPr>
            <w:r>
              <w:rPr>
                <w:rFonts w:ascii="Times New Roman" w:cs="宋体"/>
                <w:b/>
                <w:bCs/>
                <w:color w:val="auto"/>
                <w:sz w:val="20"/>
                <w:szCs w:val="20"/>
                <w:highlight w:val="none"/>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93E568A">
            <w:pPr>
              <w:wordWrap w:val="0"/>
              <w:spacing w:line="200" w:lineRule="exact"/>
              <w:jc w:val="right"/>
              <w:textAlignment w:val="center"/>
              <w:rPr>
                <w:rFonts w:hint="default" w:ascii="Times New Roman" w:hAnsi="Times New Roman"/>
                <w:color w:val="auto"/>
                <w:sz w:val="20"/>
                <w:szCs w:val="20"/>
                <w:highlight w:val="none"/>
              </w:rPr>
            </w:pPr>
            <w:r>
              <w:rPr>
                <w:rFonts w:ascii="Times New Roman" w:hAnsi="Times New Roman"/>
                <w:color w:val="auto"/>
                <w:sz w:val="20"/>
                <w:highlight w:val="none"/>
                <w:u w:color="auto"/>
              </w:rPr>
              <w:t xml:space="preserve"> </w:t>
            </w:r>
          </w:p>
        </w:tc>
      </w:tr>
      <w:tr w14:paraId="2FFDFD20">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68EC3">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E3C21">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326.15</w:t>
            </w:r>
            <w:r>
              <w:rPr>
                <w:rFonts w:ascii="Times New Roman" w:hAnsi="Times New Roman"/>
                <w:color w:val="auto"/>
                <w:sz w:val="20"/>
                <w:highlight w:val="none"/>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4BC88EBA">
            <w:pPr>
              <w:spacing w:line="240" w:lineRule="exact"/>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8CAA90">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326.15</w:t>
            </w:r>
            <w:r>
              <w:rPr>
                <w:rFonts w:ascii="Times New Roman" w:hAnsi="Times New Roman"/>
                <w:color w:val="auto"/>
                <w:sz w:val="20"/>
                <w:highlight w:val="none"/>
                <w:u w:color="auto"/>
              </w:rPr>
              <w:t xml:space="preserve"> </w:t>
            </w:r>
          </w:p>
        </w:tc>
      </w:tr>
    </w:tbl>
    <w:p w14:paraId="41DE9C00">
      <w:pPr>
        <w:rPr>
          <w:rFonts w:hint="default" w:ascii="Times New Roman" w:cs="宋体"/>
          <w:color w:val="auto"/>
          <w:sz w:val="21"/>
          <w:szCs w:val="21"/>
          <w:highlight w:val="none"/>
        </w:rPr>
      </w:pPr>
    </w:p>
    <w:p w14:paraId="30C7BF8E">
      <w:pPr>
        <w:spacing w:line="240" w:lineRule="exact"/>
        <w:ind w:firstLine="400" w:firstLineChars="200"/>
        <w:rPr>
          <w:rFonts w:hint="default" w:ascii="Times New Roman" w:cs="宋体"/>
          <w:color w:val="auto"/>
          <w:sz w:val="20"/>
          <w:szCs w:val="20"/>
          <w:highlight w:val="none"/>
        </w:rPr>
      </w:pPr>
      <w:r>
        <w:rPr>
          <w:rFonts w:ascii="Times New Roman" w:cs="宋体"/>
          <w:color w:val="auto"/>
          <w:sz w:val="20"/>
          <w:szCs w:val="20"/>
          <w:highlight w:val="none"/>
        </w:rPr>
        <w:t>备注：1.本表反映单位本年度的总收支和年末结转结余情况。</w:t>
      </w:r>
      <w:r>
        <w:rPr>
          <w:rFonts w:ascii="Times New Roman" w:cs="宋体"/>
          <w:color w:val="auto"/>
          <w:sz w:val="20"/>
          <w:szCs w:val="20"/>
          <w:highlight w:val="none"/>
        </w:rPr>
        <w:br w:type="textWrapping"/>
      </w:r>
      <w:r>
        <w:rPr>
          <w:rFonts w:ascii="Times New Roman" w:cs="宋体"/>
          <w:color w:val="auto"/>
          <w:sz w:val="20"/>
          <w:szCs w:val="20"/>
          <w:highlight w:val="none"/>
        </w:rPr>
        <w:t xml:space="preserve">      2.本套报表金额单位转换时可能存在尾数误差。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p>
    <w:tbl>
      <w:tblPr>
        <w:tblStyle w:val="10"/>
        <w:tblW w:w="5059" w:type="pct"/>
        <w:tblInd w:w="0" w:type="dxa"/>
        <w:tblLayout w:type="fixed"/>
        <w:tblCellMar>
          <w:top w:w="0" w:type="dxa"/>
          <w:left w:w="0" w:type="dxa"/>
          <w:bottom w:w="0" w:type="dxa"/>
          <w:right w:w="0" w:type="dxa"/>
        </w:tblCellMar>
      </w:tblPr>
      <w:tblGrid>
        <w:gridCol w:w="1283"/>
        <w:gridCol w:w="2620"/>
        <w:gridCol w:w="1420"/>
        <w:gridCol w:w="1302"/>
        <w:gridCol w:w="1127"/>
        <w:gridCol w:w="1291"/>
        <w:gridCol w:w="1309"/>
        <w:gridCol w:w="1163"/>
        <w:gridCol w:w="1212"/>
        <w:gridCol w:w="1186"/>
      </w:tblGrid>
      <w:tr w14:paraId="5E48D947">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D60F10F">
            <w:pPr>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收入决算表</w:t>
            </w:r>
          </w:p>
        </w:tc>
      </w:tr>
      <w:tr w14:paraId="121D45A8">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6BE4BDD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cs="宋体"/>
                <w:color w:val="auto"/>
                <w:sz w:val="20"/>
                <w:szCs w:val="20"/>
                <w:highlight w:val="none"/>
              </w:rPr>
            </w:pPr>
            <w:r>
              <w:rPr>
                <w:rFonts w:ascii="Times New Roman" w:cs="宋体"/>
                <w:color w:val="auto"/>
                <w:sz w:val="20"/>
                <w:szCs w:val="20"/>
                <w:highlight w:val="none"/>
              </w:rPr>
              <w:t>单位：</w:t>
            </w:r>
            <w:r>
              <w:rPr>
                <w:rFonts w:ascii="Times New Roman"/>
                <w:color w:val="auto"/>
                <w:sz w:val="20"/>
                <w:highlight w:val="none"/>
                <w:u w:color="auto"/>
              </w:rPr>
              <w:t>丰都县公共资源交易中心（本级）</w:t>
            </w:r>
          </w:p>
        </w:tc>
        <w:tc>
          <w:tcPr>
            <w:tcW w:w="467" w:type="pct"/>
            <w:tcBorders>
              <w:top w:val="nil"/>
              <w:left w:val="nil"/>
              <w:bottom w:val="nil"/>
              <w:right w:val="nil"/>
            </w:tcBorders>
            <w:shd w:val="clear" w:color="auto" w:fill="auto"/>
            <w:noWrap/>
            <w:tcMar>
              <w:top w:w="15" w:type="dxa"/>
              <w:left w:w="15" w:type="dxa"/>
              <w:right w:w="15" w:type="dxa"/>
            </w:tcMar>
            <w:vAlign w:val="bottom"/>
          </w:tcPr>
          <w:p w14:paraId="1E8C8727">
            <w:pPr>
              <w:rPr>
                <w:rFonts w:hint="default" w:ascii="Times New Roman" w:cs="宋体"/>
                <w:color w:val="auto"/>
                <w:sz w:val="20"/>
                <w:szCs w:val="20"/>
                <w:highlight w:val="none"/>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AF0DB48">
            <w:pPr>
              <w:rPr>
                <w:rFonts w:hint="default" w:ascii="Times New Roman" w:cs="宋体"/>
                <w:color w:val="auto"/>
                <w:sz w:val="20"/>
                <w:szCs w:val="20"/>
                <w:highlight w:val="none"/>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9687ECC">
            <w:pPr>
              <w:rPr>
                <w:rFonts w:hint="default" w:ascii="Times New Roman" w:cs="宋体"/>
                <w:color w:val="auto"/>
                <w:sz w:val="20"/>
                <w:szCs w:val="20"/>
                <w:highlight w:val="none"/>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644DF337">
            <w:pPr>
              <w:rPr>
                <w:rFonts w:hint="default" w:ascii="Times New Roman" w:cs="宋体"/>
                <w:color w:val="auto"/>
                <w:sz w:val="20"/>
                <w:szCs w:val="20"/>
                <w:highlight w:val="none"/>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4058A1F3">
            <w:pPr>
              <w:rPr>
                <w:rFonts w:hint="default" w:ascii="Times New Roman" w:cs="宋体"/>
                <w:color w:val="auto"/>
                <w:sz w:val="20"/>
                <w:szCs w:val="20"/>
                <w:highlight w:val="none"/>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6E05C5E3">
            <w:pPr>
              <w:rPr>
                <w:rFonts w:hint="default" w:ascii="Times New Roman" w:cs="宋体"/>
                <w:color w:val="auto"/>
                <w:sz w:val="20"/>
                <w:szCs w:val="20"/>
                <w:highlight w:val="none"/>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BE1248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02</w:t>
            </w:r>
            <w:r>
              <w:rPr>
                <w:rFonts w:ascii="Times New Roman" w:cs="宋体"/>
                <w:color w:val="auto"/>
                <w:sz w:val="20"/>
                <w:szCs w:val="20"/>
                <w:highlight w:val="none"/>
              </w:rPr>
              <w:t>表</w:t>
            </w:r>
          </w:p>
        </w:tc>
      </w:tr>
      <w:tr w14:paraId="4935EC63">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08441177">
            <w:pPr>
              <w:rPr>
                <w:rFonts w:hint="default" w:ascii="Times New Roman" w:cs="宋体"/>
                <w:color w:val="auto"/>
                <w:sz w:val="20"/>
                <w:szCs w:val="20"/>
                <w:highlight w:val="none"/>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4256FBAD">
            <w:pPr>
              <w:rPr>
                <w:rFonts w:hint="default" w:ascii="Times New Roman" w:cs="宋体"/>
                <w:color w:val="auto"/>
                <w:sz w:val="20"/>
                <w:szCs w:val="20"/>
                <w:highlight w:val="none"/>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79B05E5D">
            <w:pPr>
              <w:rPr>
                <w:rFonts w:hint="default" w:ascii="Times New Roman" w:cs="宋体"/>
                <w:color w:val="auto"/>
                <w:sz w:val="20"/>
                <w:szCs w:val="20"/>
                <w:highlight w:val="none"/>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2D14C96B">
            <w:pPr>
              <w:rPr>
                <w:rFonts w:hint="default" w:ascii="Times New Roman" w:cs="宋体"/>
                <w:color w:val="auto"/>
                <w:sz w:val="20"/>
                <w:szCs w:val="20"/>
                <w:highlight w:val="none"/>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EBAAAAA">
            <w:pPr>
              <w:rPr>
                <w:rFonts w:hint="default" w:ascii="Times New Roman" w:cs="宋体"/>
                <w:color w:val="auto"/>
                <w:sz w:val="20"/>
                <w:szCs w:val="20"/>
                <w:highlight w:val="none"/>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1793FBA6">
            <w:pPr>
              <w:rPr>
                <w:rFonts w:hint="default" w:ascii="Times New Roman" w:cs="宋体"/>
                <w:color w:val="auto"/>
                <w:sz w:val="20"/>
                <w:szCs w:val="20"/>
                <w:highlight w:val="none"/>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112EC367">
            <w:pPr>
              <w:rPr>
                <w:rFonts w:hint="default" w:ascii="Times New Roman" w:cs="宋体"/>
                <w:color w:val="auto"/>
                <w:sz w:val="20"/>
                <w:szCs w:val="20"/>
                <w:highlight w:val="none"/>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75C3EB5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单位：万元</w:t>
            </w:r>
          </w:p>
        </w:tc>
      </w:tr>
      <w:tr w14:paraId="39B2951C">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10214509">
            <w:pPr>
              <w:jc w:val="center"/>
              <w:textAlignment w:val="bottom"/>
              <w:rPr>
                <w:rFonts w:hint="default" w:ascii="Times New Roman" w:cs="宋体"/>
                <w:b/>
                <w:color w:val="auto"/>
                <w:sz w:val="20"/>
                <w:szCs w:val="20"/>
                <w:highlight w:val="none"/>
              </w:rPr>
            </w:pPr>
            <w:r>
              <w:rPr>
                <w:rFonts w:ascii="Times New Roman" w:cs="宋体"/>
                <w:b/>
                <w:color w:val="auto"/>
                <w:sz w:val="20"/>
                <w:szCs w:val="20"/>
                <w:highlight w:val="none"/>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4715F">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A1764">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394D6">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5D6D64">
            <w:pPr>
              <w:jc w:val="center"/>
              <w:textAlignment w:val="bottom"/>
              <w:rPr>
                <w:rFonts w:hint="default" w:ascii="Times New Roman" w:cs="宋体"/>
                <w:b/>
                <w:color w:val="auto"/>
                <w:sz w:val="20"/>
                <w:szCs w:val="20"/>
                <w:highlight w:val="none"/>
              </w:rPr>
            </w:pPr>
            <w:r>
              <w:rPr>
                <w:rFonts w:ascii="Times New Roman" w:cs="宋体"/>
                <w:b/>
                <w:color w:val="auto"/>
                <w:sz w:val="20"/>
                <w:szCs w:val="20"/>
                <w:highlight w:val="none"/>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73C1D">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D93B9">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A3792">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其他收入</w:t>
            </w:r>
          </w:p>
        </w:tc>
      </w:tr>
      <w:tr w14:paraId="7AA31BA4">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FAD8E">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15133B5">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8AF55">
            <w:pPr>
              <w:jc w:val="center"/>
              <w:rPr>
                <w:rFonts w:hint="default" w:ascii="Times New Roman" w:cs="宋体"/>
                <w:b/>
                <w:color w:val="auto"/>
                <w:sz w:val="20"/>
                <w:szCs w:val="20"/>
                <w:highlight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82CFC">
            <w:pPr>
              <w:jc w:val="center"/>
              <w:rPr>
                <w:rFonts w:hint="default" w:ascii="Times New Roman" w:cs="宋体"/>
                <w:b/>
                <w:color w:val="auto"/>
                <w:sz w:val="20"/>
                <w:szCs w:val="20"/>
                <w:highlight w:val="none"/>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553CA">
            <w:pPr>
              <w:jc w:val="center"/>
              <w:rPr>
                <w:rFonts w:hint="default" w:ascii="Times New Roman" w:cs="宋体"/>
                <w:b/>
                <w:color w:val="auto"/>
                <w:sz w:val="20"/>
                <w:szCs w:val="20"/>
                <w:highlight w:val="none"/>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A24CC">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ADCEC">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C2006">
            <w:pPr>
              <w:jc w:val="center"/>
              <w:rPr>
                <w:rFonts w:hint="default" w:ascii="Times New Roman" w:cs="宋体"/>
                <w:b/>
                <w:color w:val="auto"/>
                <w:sz w:val="20"/>
                <w:szCs w:val="20"/>
                <w:highlight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C6921">
            <w:pPr>
              <w:jc w:val="center"/>
              <w:rPr>
                <w:rFonts w:hint="default" w:ascii="Times New Roman" w:cs="宋体"/>
                <w:b/>
                <w:color w:val="auto"/>
                <w:sz w:val="20"/>
                <w:szCs w:val="20"/>
                <w:highlight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53DC3">
            <w:pPr>
              <w:jc w:val="center"/>
              <w:rPr>
                <w:rFonts w:hint="default" w:ascii="Times New Roman" w:cs="宋体"/>
                <w:b/>
                <w:color w:val="auto"/>
                <w:sz w:val="20"/>
                <w:szCs w:val="20"/>
                <w:highlight w:val="none"/>
              </w:rPr>
            </w:pPr>
          </w:p>
        </w:tc>
      </w:tr>
      <w:tr w14:paraId="704B93A7">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B8A1F">
            <w:pPr>
              <w:jc w:val="center"/>
              <w:rPr>
                <w:rFonts w:hint="default" w:ascii="Times New Roman" w:cs="宋体"/>
                <w:b/>
                <w:color w:val="auto"/>
                <w:sz w:val="20"/>
                <w:szCs w:val="20"/>
                <w:highlight w:val="none"/>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154C265">
            <w:pPr>
              <w:jc w:val="center"/>
              <w:rPr>
                <w:rFonts w:hint="default" w:ascii="Times New Roman" w:cs="宋体"/>
                <w:b/>
                <w:color w:val="auto"/>
                <w:sz w:val="20"/>
                <w:szCs w:val="20"/>
                <w:highlight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1C8AE">
            <w:pPr>
              <w:jc w:val="center"/>
              <w:rPr>
                <w:rFonts w:hint="default" w:ascii="Times New Roman" w:cs="宋体"/>
                <w:b/>
                <w:color w:val="auto"/>
                <w:sz w:val="20"/>
                <w:szCs w:val="20"/>
                <w:highlight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92494">
            <w:pPr>
              <w:jc w:val="center"/>
              <w:rPr>
                <w:rFonts w:hint="default" w:ascii="Times New Roman" w:cs="宋体"/>
                <w:b/>
                <w:color w:val="auto"/>
                <w:sz w:val="20"/>
                <w:szCs w:val="20"/>
                <w:highlight w:val="none"/>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B865D">
            <w:pPr>
              <w:jc w:val="center"/>
              <w:rPr>
                <w:rFonts w:hint="default" w:ascii="Times New Roman" w:cs="宋体"/>
                <w:b/>
                <w:color w:val="auto"/>
                <w:sz w:val="20"/>
                <w:szCs w:val="20"/>
                <w:highlight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EFF81">
            <w:pPr>
              <w:jc w:val="center"/>
              <w:rPr>
                <w:rFonts w:hint="default" w:ascii="Times New Roman" w:cs="宋体"/>
                <w:b/>
                <w:color w:val="auto"/>
                <w:sz w:val="20"/>
                <w:szCs w:val="20"/>
                <w:highlight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999A5">
            <w:pPr>
              <w:jc w:val="center"/>
              <w:rPr>
                <w:rFonts w:hint="default" w:ascii="Times New Roman" w:cs="宋体"/>
                <w:b/>
                <w:color w:val="auto"/>
                <w:sz w:val="20"/>
                <w:szCs w:val="20"/>
                <w:highlight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EA71A">
            <w:pPr>
              <w:jc w:val="center"/>
              <w:rPr>
                <w:rFonts w:hint="default" w:ascii="Times New Roman" w:cs="宋体"/>
                <w:b/>
                <w:color w:val="auto"/>
                <w:sz w:val="20"/>
                <w:szCs w:val="20"/>
                <w:highlight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A9E3D">
            <w:pPr>
              <w:jc w:val="center"/>
              <w:rPr>
                <w:rFonts w:hint="default" w:ascii="Times New Roman" w:cs="宋体"/>
                <w:b/>
                <w:color w:val="auto"/>
                <w:sz w:val="20"/>
                <w:szCs w:val="20"/>
                <w:highlight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AA8DE">
            <w:pPr>
              <w:jc w:val="center"/>
              <w:rPr>
                <w:rFonts w:hint="default" w:ascii="Times New Roman" w:cs="宋体"/>
                <w:b/>
                <w:color w:val="auto"/>
                <w:sz w:val="20"/>
                <w:szCs w:val="20"/>
                <w:highlight w:val="none"/>
              </w:rPr>
            </w:pPr>
          </w:p>
        </w:tc>
      </w:tr>
      <w:tr w14:paraId="1428436D">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8942D">
            <w:pPr>
              <w:jc w:val="center"/>
              <w:rPr>
                <w:rFonts w:hint="default" w:ascii="Times New Roman" w:cs="宋体"/>
                <w:b/>
                <w:color w:val="auto"/>
                <w:sz w:val="20"/>
                <w:szCs w:val="20"/>
                <w:highlight w:val="none"/>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8B372A1">
            <w:pPr>
              <w:jc w:val="center"/>
              <w:rPr>
                <w:rFonts w:hint="default" w:ascii="Times New Roman" w:cs="宋体"/>
                <w:b/>
                <w:color w:val="auto"/>
                <w:sz w:val="20"/>
                <w:szCs w:val="20"/>
                <w:highlight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F9300">
            <w:pPr>
              <w:jc w:val="center"/>
              <w:rPr>
                <w:rFonts w:hint="default" w:ascii="Times New Roman" w:cs="宋体"/>
                <w:b/>
                <w:color w:val="auto"/>
                <w:sz w:val="20"/>
                <w:szCs w:val="20"/>
                <w:highlight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0077F">
            <w:pPr>
              <w:jc w:val="center"/>
              <w:rPr>
                <w:rFonts w:hint="default" w:ascii="Times New Roman" w:cs="宋体"/>
                <w:b/>
                <w:color w:val="auto"/>
                <w:sz w:val="20"/>
                <w:szCs w:val="20"/>
                <w:highlight w:val="none"/>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C8034">
            <w:pPr>
              <w:jc w:val="center"/>
              <w:rPr>
                <w:rFonts w:hint="default" w:ascii="Times New Roman" w:cs="宋体"/>
                <w:b/>
                <w:color w:val="auto"/>
                <w:sz w:val="20"/>
                <w:szCs w:val="20"/>
                <w:highlight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5AC0C">
            <w:pPr>
              <w:jc w:val="center"/>
              <w:rPr>
                <w:rFonts w:hint="default" w:ascii="Times New Roman" w:cs="宋体"/>
                <w:b/>
                <w:color w:val="auto"/>
                <w:sz w:val="20"/>
                <w:szCs w:val="20"/>
                <w:highlight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6810C">
            <w:pPr>
              <w:jc w:val="center"/>
              <w:rPr>
                <w:rFonts w:hint="default" w:ascii="Times New Roman" w:cs="宋体"/>
                <w:b/>
                <w:color w:val="auto"/>
                <w:sz w:val="20"/>
                <w:szCs w:val="20"/>
                <w:highlight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3B9FE">
            <w:pPr>
              <w:jc w:val="center"/>
              <w:rPr>
                <w:rFonts w:hint="default" w:ascii="Times New Roman" w:cs="宋体"/>
                <w:b/>
                <w:color w:val="auto"/>
                <w:sz w:val="20"/>
                <w:szCs w:val="20"/>
                <w:highlight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8EF92">
            <w:pPr>
              <w:jc w:val="center"/>
              <w:rPr>
                <w:rFonts w:hint="default" w:ascii="Times New Roman" w:cs="宋体"/>
                <w:b/>
                <w:color w:val="auto"/>
                <w:sz w:val="20"/>
                <w:szCs w:val="20"/>
                <w:highlight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B0076">
            <w:pPr>
              <w:jc w:val="center"/>
              <w:rPr>
                <w:rFonts w:hint="default" w:ascii="Times New Roman" w:cs="宋体"/>
                <w:b/>
                <w:color w:val="auto"/>
                <w:sz w:val="20"/>
                <w:szCs w:val="20"/>
                <w:highlight w:val="none"/>
              </w:rPr>
            </w:pPr>
          </w:p>
        </w:tc>
      </w:tr>
      <w:tr w14:paraId="426F4AF7">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3365B">
            <w:pPr>
              <w:jc w:val="center"/>
              <w:rPr>
                <w:rFonts w:hint="default" w:ascii="Times New Roman" w:cs="宋体"/>
                <w:b/>
                <w:color w:val="auto"/>
                <w:sz w:val="20"/>
                <w:szCs w:val="20"/>
                <w:highlight w:val="none"/>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AE6624B">
            <w:pPr>
              <w:jc w:val="center"/>
              <w:rPr>
                <w:rFonts w:hint="default" w:ascii="Times New Roman" w:cs="宋体"/>
                <w:b/>
                <w:color w:val="auto"/>
                <w:sz w:val="20"/>
                <w:szCs w:val="20"/>
                <w:highlight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A86F2">
            <w:pPr>
              <w:jc w:val="center"/>
              <w:rPr>
                <w:rFonts w:hint="default" w:ascii="Times New Roman" w:cs="宋体"/>
                <w:b/>
                <w:color w:val="auto"/>
                <w:sz w:val="20"/>
                <w:szCs w:val="20"/>
                <w:highlight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FF1BD">
            <w:pPr>
              <w:jc w:val="center"/>
              <w:rPr>
                <w:rFonts w:hint="default" w:ascii="Times New Roman" w:cs="宋体"/>
                <w:b/>
                <w:color w:val="auto"/>
                <w:sz w:val="20"/>
                <w:szCs w:val="20"/>
                <w:highlight w:val="none"/>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EFEBA">
            <w:pPr>
              <w:jc w:val="center"/>
              <w:rPr>
                <w:rFonts w:hint="default" w:ascii="Times New Roman" w:cs="宋体"/>
                <w:b/>
                <w:color w:val="auto"/>
                <w:sz w:val="20"/>
                <w:szCs w:val="20"/>
                <w:highlight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84753">
            <w:pPr>
              <w:jc w:val="center"/>
              <w:rPr>
                <w:rFonts w:hint="default" w:ascii="Times New Roman" w:cs="宋体"/>
                <w:b/>
                <w:color w:val="auto"/>
                <w:sz w:val="20"/>
                <w:szCs w:val="20"/>
                <w:highlight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9FD9B">
            <w:pPr>
              <w:jc w:val="center"/>
              <w:rPr>
                <w:rFonts w:hint="default" w:ascii="Times New Roman" w:cs="宋体"/>
                <w:b/>
                <w:color w:val="auto"/>
                <w:sz w:val="20"/>
                <w:szCs w:val="20"/>
                <w:highlight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DE5EF">
            <w:pPr>
              <w:jc w:val="center"/>
              <w:rPr>
                <w:rFonts w:hint="default" w:ascii="Times New Roman" w:cs="宋体"/>
                <w:b/>
                <w:color w:val="auto"/>
                <w:sz w:val="20"/>
                <w:szCs w:val="20"/>
                <w:highlight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70F51">
            <w:pPr>
              <w:jc w:val="center"/>
              <w:rPr>
                <w:rFonts w:hint="default" w:ascii="Times New Roman" w:cs="宋体"/>
                <w:b/>
                <w:color w:val="auto"/>
                <w:sz w:val="20"/>
                <w:szCs w:val="20"/>
                <w:highlight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AEFAB">
            <w:pPr>
              <w:jc w:val="center"/>
              <w:rPr>
                <w:rFonts w:hint="default" w:ascii="Times New Roman" w:cs="宋体"/>
                <w:b/>
                <w:color w:val="auto"/>
                <w:sz w:val="20"/>
                <w:szCs w:val="20"/>
                <w:highlight w:val="none"/>
              </w:rPr>
            </w:pPr>
          </w:p>
        </w:tc>
      </w:tr>
      <w:tr w14:paraId="6320910F">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3D03B">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2A745">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326.15</w:t>
            </w:r>
            <w:r>
              <w:rPr>
                <w:rFonts w:ascii="Times New Roman" w:hAnsi="Times New Roman"/>
                <w:b/>
                <w:color w:val="auto"/>
                <w:sz w:val="20"/>
                <w:highlight w:val="none"/>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E55BD">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326.15</w:t>
            </w:r>
            <w:r>
              <w:rPr>
                <w:rFonts w:ascii="Times New Roman" w:hAnsi="Times New Roman"/>
                <w:b/>
                <w:color w:val="auto"/>
                <w:sz w:val="20"/>
                <w:highlight w:val="none"/>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E80E7">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8B208">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D6745">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DAEA5">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E968F">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84446">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r>
      <w:tr w14:paraId="577ADC3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A7F18">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C1282">
            <w:pPr>
              <w:textAlignment w:val="center"/>
              <w:rPr>
                <w:rFonts w:hint="default" w:ascii="Times New Roman" w:cs="宋体"/>
                <w:color w:val="auto"/>
                <w:sz w:val="20"/>
                <w:szCs w:val="20"/>
                <w:highlight w:val="none"/>
              </w:rPr>
            </w:pPr>
            <w:r>
              <w:rPr>
                <w:rFonts w:ascii="Times New Roman" w:cs="宋体"/>
                <w:b/>
                <w:color w:val="auto"/>
                <w:sz w:val="20"/>
                <w:szCs w:val="20"/>
                <w:highlight w:val="none"/>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7BC0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251.86</w:t>
            </w:r>
            <w:r>
              <w:rPr>
                <w:rFonts w:ascii="Times New Roman" w:hAnsi="Times New Roman"/>
                <w:b/>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BFC94">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251.86</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2523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C4C1F">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86A3E">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D360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89993">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0A85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7139A90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29AFD">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B689B">
            <w:pPr>
              <w:textAlignment w:val="center"/>
              <w:rPr>
                <w:rFonts w:hint="default" w:ascii="Times New Roman" w:cs="宋体"/>
                <w:color w:val="auto"/>
                <w:sz w:val="20"/>
                <w:szCs w:val="20"/>
                <w:highlight w:val="none"/>
              </w:rPr>
            </w:pPr>
            <w:r>
              <w:rPr>
                <w:rFonts w:ascii="Times New Roman" w:cs="宋体"/>
                <w:b/>
                <w:color w:val="auto"/>
                <w:sz w:val="20"/>
                <w:szCs w:val="20"/>
                <w:highlight w:val="none"/>
              </w:rPr>
              <w:t>政府办公厅（室）及相关机构事务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63FC2">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251.86</w:t>
            </w:r>
            <w:r>
              <w:rPr>
                <w:rFonts w:ascii="Times New Roman" w:hAnsi="Times New Roman"/>
                <w:b/>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8162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251.86</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64D8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49C5F">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55F64">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1C92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3370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1DD4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778242C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F1008">
            <w:pPr>
              <w:textAlignment w:val="center"/>
              <w:rPr>
                <w:rFonts w:hint="default" w:ascii="Times New Roman" w:cs="宋体"/>
                <w:color w:val="auto"/>
                <w:sz w:val="20"/>
                <w:szCs w:val="20"/>
                <w:highlight w:val="none"/>
              </w:rPr>
            </w:pPr>
            <w:r>
              <w:rPr>
                <w:rFonts w:ascii="Times New Roman" w:cs="宋体"/>
                <w:color w:val="auto"/>
                <w:sz w:val="20"/>
                <w:szCs w:val="20"/>
                <w:highlight w:val="none"/>
              </w:rPr>
              <w:t>2010399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8648E">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其他政府办公厅（室）及相关机构事务支出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849E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251.86</w:t>
            </w:r>
            <w:r>
              <w:rPr>
                <w:rFonts w:ascii="Times New Roman" w:hAnsi="Times New Roman"/>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90FA4">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251.86</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99F6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6FE8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8D5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B197F">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1334A">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1700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54B7E91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CED7D">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19F57">
            <w:pPr>
              <w:textAlignment w:val="center"/>
              <w:rPr>
                <w:rFonts w:hint="default" w:ascii="Times New Roman" w:cs="宋体"/>
                <w:color w:val="auto"/>
                <w:sz w:val="20"/>
                <w:szCs w:val="20"/>
                <w:highlight w:val="none"/>
              </w:rPr>
            </w:pPr>
            <w:r>
              <w:rPr>
                <w:rFonts w:ascii="Times New Roman" w:cs="宋体"/>
                <w:b/>
                <w:color w:val="auto"/>
                <w:sz w:val="20"/>
                <w:szCs w:val="20"/>
                <w:highlight w:val="none"/>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D8CC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47.49</w:t>
            </w:r>
            <w:r>
              <w:rPr>
                <w:rFonts w:ascii="Times New Roman" w:hAnsi="Times New Roman"/>
                <w:b/>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AE0A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47.49</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76D1F">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EA0F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E50CE">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7D13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454F9">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1FDC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647E0F7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D36EC">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D55B1">
            <w:pPr>
              <w:textAlignment w:val="center"/>
              <w:rPr>
                <w:rFonts w:hint="default" w:ascii="Times New Roman" w:cs="宋体"/>
                <w:color w:val="auto"/>
                <w:sz w:val="20"/>
                <w:szCs w:val="20"/>
                <w:highlight w:val="none"/>
              </w:rPr>
            </w:pPr>
            <w:r>
              <w:rPr>
                <w:rFonts w:ascii="Times New Roman" w:cs="宋体"/>
                <w:b/>
                <w:color w:val="auto"/>
                <w:sz w:val="20"/>
                <w:szCs w:val="20"/>
                <w:highlight w:val="none"/>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FE11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47.49</w:t>
            </w:r>
            <w:r>
              <w:rPr>
                <w:rFonts w:ascii="Times New Roman" w:hAnsi="Times New Roman"/>
                <w:b/>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8060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47.49</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7DB9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576B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77EA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81D8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CD32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4777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0ECD3F1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DE3F3">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20AE3">
            <w:pPr>
              <w:textAlignment w:val="center"/>
              <w:rPr>
                <w:rFonts w:hint="default" w:ascii="Times New Roman" w:cs="宋体"/>
                <w:color w:val="auto"/>
                <w:sz w:val="20"/>
                <w:szCs w:val="20"/>
                <w:highlight w:val="none"/>
              </w:rPr>
            </w:pPr>
            <w:r>
              <w:rPr>
                <w:rFonts w:ascii="Times New Roman" w:cs="宋体"/>
                <w:color w:val="auto"/>
                <w:sz w:val="20"/>
                <w:szCs w:val="20"/>
                <w:highlight w:val="none"/>
              </w:rPr>
              <w:t>事业单位离退休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6A89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4.14</w:t>
            </w:r>
            <w:r>
              <w:rPr>
                <w:rFonts w:ascii="Times New Roman" w:hAnsi="Times New Roman"/>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5278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4.14</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7E92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F72C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3572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4D7B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1CDF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CF68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07FED29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B28AB">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2E120">
            <w:pPr>
              <w:textAlignment w:val="center"/>
              <w:rPr>
                <w:rFonts w:hint="default" w:ascii="Times New Roman" w:cs="宋体"/>
                <w:color w:val="auto"/>
                <w:sz w:val="20"/>
                <w:szCs w:val="20"/>
                <w:highlight w:val="none"/>
              </w:rPr>
            </w:pPr>
            <w:r>
              <w:rPr>
                <w:rFonts w:ascii="Times New Roman" w:cs="宋体"/>
                <w:color w:val="auto"/>
                <w:sz w:val="20"/>
                <w:szCs w:val="20"/>
                <w:highlight w:val="none"/>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CDA22">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26.35</w:t>
            </w:r>
            <w:r>
              <w:rPr>
                <w:rFonts w:ascii="Times New Roman" w:hAnsi="Times New Roman"/>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A256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26.35</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7DBA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32612">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AEDA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EFC6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C6F7A">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EE6B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4C4A68F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4EEFA">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77BDA">
            <w:pPr>
              <w:textAlignment w:val="center"/>
              <w:rPr>
                <w:rFonts w:hint="default" w:ascii="Times New Roman" w:cs="宋体"/>
                <w:color w:val="auto"/>
                <w:sz w:val="20"/>
                <w:szCs w:val="20"/>
                <w:highlight w:val="none"/>
              </w:rPr>
            </w:pPr>
            <w:r>
              <w:rPr>
                <w:rFonts w:ascii="Times New Roman" w:cs="宋体"/>
                <w:color w:val="auto"/>
                <w:sz w:val="20"/>
                <w:szCs w:val="20"/>
                <w:highlight w:val="none"/>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65AD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15.00</w:t>
            </w:r>
            <w:r>
              <w:rPr>
                <w:rFonts w:ascii="Times New Roman" w:hAnsi="Times New Roman"/>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80B2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15.00</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58A7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E04E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18FF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DCF8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D6EB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6E5C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13881EE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B2DF5">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20F46">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5BAE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2.00</w:t>
            </w:r>
            <w:r>
              <w:rPr>
                <w:rFonts w:ascii="Times New Roman" w:hAnsi="Times New Roman"/>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592D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2.00</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BD23B">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7D7E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8080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822DA">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0EBC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AB63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0896D0B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4B814">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410CA">
            <w:pPr>
              <w:textAlignment w:val="center"/>
              <w:rPr>
                <w:rFonts w:hint="default" w:ascii="Times New Roman" w:cs="宋体"/>
                <w:color w:val="auto"/>
                <w:sz w:val="20"/>
                <w:szCs w:val="20"/>
                <w:highlight w:val="none"/>
              </w:rPr>
            </w:pPr>
            <w:r>
              <w:rPr>
                <w:rFonts w:ascii="Times New Roman" w:cs="宋体"/>
                <w:b/>
                <w:color w:val="auto"/>
                <w:sz w:val="20"/>
                <w:szCs w:val="20"/>
                <w:highlight w:val="none"/>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4197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13.76</w:t>
            </w:r>
            <w:r>
              <w:rPr>
                <w:rFonts w:ascii="Times New Roman" w:hAnsi="Times New Roman"/>
                <w:b/>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A759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13.76</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5E621">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AC3F3">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2FB13">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DA75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1695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1137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25F3CB9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558F0">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B108A">
            <w:pPr>
              <w:textAlignment w:val="center"/>
              <w:rPr>
                <w:rFonts w:hint="default" w:ascii="Times New Roman" w:cs="宋体"/>
                <w:color w:val="auto"/>
                <w:sz w:val="20"/>
                <w:szCs w:val="20"/>
                <w:highlight w:val="none"/>
              </w:rPr>
            </w:pPr>
            <w:r>
              <w:rPr>
                <w:rFonts w:ascii="Times New Roman" w:cs="宋体"/>
                <w:b/>
                <w:color w:val="auto"/>
                <w:sz w:val="20"/>
                <w:szCs w:val="20"/>
                <w:highlight w:val="none"/>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963E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13.76</w:t>
            </w:r>
            <w:r>
              <w:rPr>
                <w:rFonts w:ascii="Times New Roman" w:hAnsi="Times New Roman"/>
                <w:b/>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786E1">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13.76</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7913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F067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DC374">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E3C9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761C0">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D7E30">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714D5EC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5FBBC">
            <w:pPr>
              <w:textAlignment w:val="center"/>
              <w:rPr>
                <w:rFonts w:hint="default" w:ascii="Times New Roman" w:cs="宋体"/>
                <w:color w:val="auto"/>
                <w:sz w:val="20"/>
                <w:szCs w:val="20"/>
                <w:highlight w:val="none"/>
              </w:rPr>
            </w:pPr>
            <w:r>
              <w:rPr>
                <w:rFonts w:ascii="Times New Roman" w:cs="宋体"/>
                <w:color w:val="auto"/>
                <w:sz w:val="20"/>
                <w:szCs w:val="20"/>
                <w:highlight w:val="none"/>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E4791">
            <w:pPr>
              <w:textAlignment w:val="center"/>
              <w:rPr>
                <w:rFonts w:hint="default" w:ascii="Times New Roman" w:cs="宋体"/>
                <w:color w:val="auto"/>
                <w:sz w:val="20"/>
                <w:szCs w:val="20"/>
                <w:highlight w:val="none"/>
              </w:rPr>
            </w:pPr>
            <w:r>
              <w:rPr>
                <w:rFonts w:ascii="Times New Roman" w:cs="宋体"/>
                <w:color w:val="auto"/>
                <w:sz w:val="20"/>
                <w:szCs w:val="20"/>
                <w:highlight w:val="none"/>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941DA">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9.15</w:t>
            </w:r>
            <w:r>
              <w:rPr>
                <w:rFonts w:ascii="Times New Roman" w:hAnsi="Times New Roman"/>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1D462">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9.15</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64BA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B0C2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C219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1D11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C9EF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B931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3D553CD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C5B9A">
            <w:pPr>
              <w:textAlignment w:val="center"/>
              <w:rPr>
                <w:rFonts w:hint="default" w:ascii="Times New Roman" w:cs="宋体"/>
                <w:color w:val="auto"/>
                <w:sz w:val="20"/>
                <w:szCs w:val="20"/>
                <w:highlight w:val="none"/>
              </w:rPr>
            </w:pPr>
            <w:r>
              <w:rPr>
                <w:rFonts w:ascii="Times New Roman" w:cs="宋体"/>
                <w:color w:val="auto"/>
                <w:sz w:val="20"/>
                <w:szCs w:val="20"/>
                <w:highlight w:val="none"/>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337BE">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CFF1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4.61</w:t>
            </w:r>
            <w:r>
              <w:rPr>
                <w:rFonts w:ascii="Times New Roman" w:hAnsi="Times New Roman"/>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939F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4.61</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F7C3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5105F">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8ABF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87B34">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C91F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36DC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61FBF1F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5C695">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5BFCD">
            <w:pPr>
              <w:textAlignment w:val="center"/>
              <w:rPr>
                <w:rFonts w:hint="default" w:ascii="Times New Roman" w:cs="宋体"/>
                <w:color w:val="auto"/>
                <w:sz w:val="20"/>
                <w:szCs w:val="20"/>
                <w:highlight w:val="none"/>
              </w:rPr>
            </w:pPr>
            <w:r>
              <w:rPr>
                <w:rFonts w:ascii="Times New Roman" w:cs="宋体"/>
                <w:b/>
                <w:color w:val="auto"/>
                <w:sz w:val="20"/>
                <w:szCs w:val="20"/>
                <w:highlight w:val="none"/>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EB18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13.03</w:t>
            </w:r>
            <w:r>
              <w:rPr>
                <w:rFonts w:ascii="Times New Roman" w:hAnsi="Times New Roman"/>
                <w:b/>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EBFC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13.03</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1B77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1E560">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85C2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66FA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EA853">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DB542">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7D3D0DE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36989">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1BCE5">
            <w:pPr>
              <w:textAlignment w:val="center"/>
              <w:rPr>
                <w:rFonts w:hint="default" w:ascii="Times New Roman" w:cs="宋体"/>
                <w:color w:val="auto"/>
                <w:sz w:val="20"/>
                <w:szCs w:val="20"/>
                <w:highlight w:val="none"/>
              </w:rPr>
            </w:pPr>
            <w:r>
              <w:rPr>
                <w:rFonts w:ascii="Times New Roman" w:cs="宋体"/>
                <w:b/>
                <w:color w:val="auto"/>
                <w:sz w:val="20"/>
                <w:szCs w:val="20"/>
                <w:highlight w:val="none"/>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06D4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13.03</w:t>
            </w:r>
            <w:r>
              <w:rPr>
                <w:rFonts w:ascii="Times New Roman" w:hAnsi="Times New Roman"/>
                <w:b/>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9B16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13.03</w:t>
            </w:r>
            <w:r>
              <w:rPr>
                <w:rFonts w:ascii="Times New Roman" w:hAnsi="Times New Roman"/>
                <w:b/>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A11DE">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BA43F">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2B98E">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73ED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39A0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293F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5BC3CCC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51544">
            <w:pPr>
              <w:textAlignment w:val="center"/>
              <w:rPr>
                <w:rFonts w:hint="default" w:ascii="Times New Roman" w:cs="宋体"/>
                <w:color w:val="auto"/>
                <w:sz w:val="20"/>
                <w:szCs w:val="20"/>
                <w:highlight w:val="none"/>
              </w:rPr>
            </w:pPr>
            <w:r>
              <w:rPr>
                <w:rFonts w:ascii="Times New Roman" w:cs="宋体"/>
                <w:color w:val="auto"/>
                <w:sz w:val="20"/>
                <w:szCs w:val="20"/>
                <w:highlight w:val="none"/>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F30B4">
            <w:pPr>
              <w:textAlignment w:val="center"/>
              <w:rPr>
                <w:rFonts w:hint="default" w:ascii="Times New Roman" w:cs="宋体"/>
                <w:color w:val="auto"/>
                <w:sz w:val="20"/>
                <w:szCs w:val="20"/>
                <w:highlight w:val="none"/>
              </w:rPr>
            </w:pPr>
            <w:r>
              <w:rPr>
                <w:rFonts w:ascii="Times New Roman" w:cs="宋体"/>
                <w:color w:val="auto"/>
                <w:sz w:val="20"/>
                <w:szCs w:val="20"/>
                <w:highlight w:val="none"/>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D9B5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13.03</w:t>
            </w:r>
            <w:r>
              <w:rPr>
                <w:rFonts w:ascii="Times New Roman" w:hAnsi="Times New Roman"/>
                <w:color w:val="auto"/>
                <w:sz w:val="20"/>
                <w:highlight w:val="none"/>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EAE6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13.03</w:t>
            </w:r>
            <w:r>
              <w:rPr>
                <w:rFonts w:ascii="Times New Roman" w:hAnsi="Times New Roman"/>
                <w:color w:val="auto"/>
                <w:sz w:val="20"/>
                <w:highlight w:val="none"/>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D66A4">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9B99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350EF">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E257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289A6">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7E8FF">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bl>
    <w:p w14:paraId="6F638A4F">
      <w:pPr>
        <w:ind w:left="600" w:firstLine="400" w:firstLineChars="200"/>
        <w:rPr>
          <w:rFonts w:hint="default" w:ascii="Times New Roman" w:cs="宋体"/>
          <w:color w:val="auto"/>
          <w:sz w:val="20"/>
          <w:szCs w:val="20"/>
          <w:highlight w:val="none"/>
        </w:rPr>
      </w:pPr>
      <w:r>
        <w:rPr>
          <w:rFonts w:ascii="Times New Roman" w:cs="宋体"/>
          <w:color w:val="auto"/>
          <w:sz w:val="20"/>
          <w:szCs w:val="20"/>
          <w:highlight w:val="none"/>
        </w:rPr>
        <w:t>备注：1.本表反映单位本年度取得的各项收入情况。</w:t>
      </w:r>
      <w:r>
        <w:rPr>
          <w:rFonts w:ascii="Times New Roman" w:cs="宋体"/>
          <w:color w:val="auto"/>
          <w:sz w:val="20"/>
          <w:szCs w:val="20"/>
          <w:highlight w:val="none"/>
        </w:rPr>
        <w:br w:type="textWrapping"/>
      </w:r>
      <w:r>
        <w:rPr>
          <w:rFonts w:ascii="Times New Roman" w:cs="宋体"/>
          <w:color w:val="auto"/>
          <w:sz w:val="20"/>
          <w:szCs w:val="20"/>
          <w:highlight w:val="none"/>
        </w:rPr>
        <w:t>2.本套报表金额单位转换时可能存在尾数误差。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p>
    <w:p w14:paraId="17327E56">
      <w:pPr>
        <w:ind w:firstLine="400" w:firstLineChars="200"/>
        <w:rPr>
          <w:rFonts w:hint="default" w:ascii="Times New Roman" w:cs="宋体"/>
          <w:color w:val="auto"/>
          <w:sz w:val="20"/>
          <w:szCs w:val="20"/>
          <w:highlight w:val="none"/>
        </w:rPr>
      </w:pPr>
      <w:r>
        <w:rPr>
          <w:rFonts w:ascii="Times New Roman" w:cs="宋体"/>
          <w:color w:val="auto"/>
          <w:sz w:val="20"/>
          <w:szCs w:val="20"/>
          <w:highlight w:val="none"/>
        </w:rPr>
        <w:br w:type="page"/>
      </w:r>
    </w:p>
    <w:tbl>
      <w:tblPr>
        <w:tblStyle w:val="10"/>
        <w:tblW w:w="5000" w:type="pct"/>
        <w:tblInd w:w="0" w:type="dxa"/>
        <w:tblLayout w:type="fixed"/>
        <w:tblCellMar>
          <w:top w:w="0" w:type="dxa"/>
          <w:left w:w="0" w:type="dxa"/>
          <w:bottom w:w="0" w:type="dxa"/>
          <w:right w:w="0" w:type="dxa"/>
        </w:tblCellMar>
      </w:tblPr>
      <w:tblGrid>
        <w:gridCol w:w="1160"/>
        <w:gridCol w:w="3233"/>
        <w:gridCol w:w="1652"/>
        <w:gridCol w:w="1584"/>
        <w:gridCol w:w="1458"/>
        <w:gridCol w:w="1397"/>
        <w:gridCol w:w="1519"/>
        <w:gridCol w:w="1749"/>
      </w:tblGrid>
      <w:tr w14:paraId="18D18634">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B301DE1">
            <w:pPr>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支出决算表</w:t>
            </w:r>
          </w:p>
        </w:tc>
      </w:tr>
      <w:tr w14:paraId="35147FC6">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421D27C4">
            <w:pPr>
              <w:rPr>
                <w:rFonts w:hint="default" w:ascii="Times New Roman" w:cs="宋体"/>
                <w:color w:val="auto"/>
                <w:sz w:val="20"/>
                <w:szCs w:val="20"/>
                <w:highlight w:val="none"/>
              </w:rPr>
            </w:pPr>
            <w:r>
              <w:rPr>
                <w:rFonts w:ascii="Times New Roman" w:cs="宋体"/>
                <w:color w:val="auto"/>
                <w:sz w:val="20"/>
                <w:szCs w:val="20"/>
                <w:highlight w:val="none"/>
              </w:rPr>
              <w:t>单位：</w:t>
            </w:r>
            <w:r>
              <w:rPr>
                <w:rFonts w:ascii="Times New Roman"/>
                <w:color w:val="auto"/>
                <w:sz w:val="20"/>
                <w:highlight w:val="none"/>
                <w:u w:color="auto"/>
              </w:rPr>
              <w:t xml:space="preserve">丰都县公共资源交易中心（本级） </w:t>
            </w:r>
          </w:p>
        </w:tc>
        <w:tc>
          <w:tcPr>
            <w:tcW w:w="575" w:type="pct"/>
            <w:tcBorders>
              <w:top w:val="nil"/>
              <w:left w:val="nil"/>
              <w:bottom w:val="nil"/>
              <w:right w:val="nil"/>
            </w:tcBorders>
            <w:shd w:val="clear" w:color="auto" w:fill="auto"/>
            <w:noWrap/>
            <w:tcMar>
              <w:top w:w="15" w:type="dxa"/>
              <w:left w:w="15" w:type="dxa"/>
              <w:right w:w="15" w:type="dxa"/>
            </w:tcMar>
            <w:vAlign w:val="bottom"/>
          </w:tcPr>
          <w:p w14:paraId="2CB9DA9D">
            <w:pPr>
              <w:rPr>
                <w:rFonts w:hint="default" w:ascii="Times New Roman" w:cs="宋体"/>
                <w:color w:val="auto"/>
                <w:sz w:val="20"/>
                <w:szCs w:val="20"/>
                <w:highlight w:val="none"/>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4A400A51">
            <w:pPr>
              <w:rPr>
                <w:rFonts w:hint="default" w:ascii="Times New Roman" w:cs="宋体"/>
                <w:color w:val="auto"/>
                <w:sz w:val="20"/>
                <w:szCs w:val="20"/>
                <w:highlight w:val="none"/>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4828B48C">
            <w:pPr>
              <w:rPr>
                <w:rFonts w:hint="default" w:ascii="Times New Roman" w:cs="宋体"/>
                <w:color w:val="auto"/>
                <w:sz w:val="20"/>
                <w:szCs w:val="20"/>
                <w:highlight w:val="none"/>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0DAB87F6">
            <w:pPr>
              <w:rPr>
                <w:rFonts w:hint="default" w:ascii="Times New Roman" w:cs="宋体"/>
                <w:color w:val="auto"/>
                <w:sz w:val="20"/>
                <w:szCs w:val="20"/>
                <w:highlight w:val="none"/>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37F4ED5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03</w:t>
            </w:r>
            <w:r>
              <w:rPr>
                <w:rFonts w:ascii="Times New Roman" w:cs="宋体"/>
                <w:color w:val="auto"/>
                <w:sz w:val="20"/>
                <w:szCs w:val="20"/>
                <w:highlight w:val="none"/>
              </w:rPr>
              <w:t>表</w:t>
            </w:r>
          </w:p>
        </w:tc>
      </w:tr>
      <w:tr w14:paraId="4C58AA4A">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437E71AB">
            <w:pPr>
              <w:rPr>
                <w:rFonts w:hint="default" w:ascii="Times New Roman" w:cs="宋体"/>
                <w:color w:val="auto"/>
                <w:sz w:val="20"/>
                <w:szCs w:val="20"/>
                <w:highlight w:val="none"/>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AC818C0">
            <w:pPr>
              <w:rPr>
                <w:rFonts w:hint="default" w:ascii="Times New Roman" w:cs="宋体"/>
                <w:color w:val="auto"/>
                <w:sz w:val="20"/>
                <w:szCs w:val="20"/>
                <w:highlight w:val="none"/>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67CF2569">
            <w:pPr>
              <w:rPr>
                <w:rFonts w:hint="default" w:ascii="Times New Roman" w:cs="宋体"/>
                <w:color w:val="auto"/>
                <w:sz w:val="20"/>
                <w:szCs w:val="20"/>
                <w:highlight w:val="none"/>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20D5AA8A">
            <w:pPr>
              <w:rPr>
                <w:rFonts w:hint="default" w:ascii="Times New Roman" w:cs="宋体"/>
                <w:color w:val="auto"/>
                <w:sz w:val="20"/>
                <w:szCs w:val="20"/>
                <w:highlight w:val="none"/>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54334032">
            <w:pPr>
              <w:rPr>
                <w:rFonts w:hint="default" w:ascii="Times New Roman" w:cs="宋体"/>
                <w:color w:val="auto"/>
                <w:sz w:val="20"/>
                <w:szCs w:val="20"/>
                <w:highlight w:val="none"/>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4CC7EC7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单位：万元</w:t>
            </w:r>
          </w:p>
        </w:tc>
      </w:tr>
      <w:tr w14:paraId="5EF9C284">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0C8C5F">
            <w:pPr>
              <w:jc w:val="center"/>
              <w:textAlignment w:val="bottom"/>
              <w:rPr>
                <w:rFonts w:hint="default" w:ascii="Times New Roman" w:cs="宋体"/>
                <w:b/>
                <w:color w:val="auto"/>
                <w:sz w:val="20"/>
                <w:szCs w:val="20"/>
                <w:highlight w:val="none"/>
              </w:rPr>
            </w:pPr>
            <w:r>
              <w:rPr>
                <w:rFonts w:ascii="Times New Roman" w:cs="宋体"/>
                <w:b/>
                <w:color w:val="auto"/>
                <w:sz w:val="20"/>
                <w:szCs w:val="20"/>
                <w:highlight w:val="none"/>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B0729">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5B940">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F72FC">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5FF13">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DD2BC">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9CDD4">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对附属单位补助支出</w:t>
            </w:r>
          </w:p>
        </w:tc>
      </w:tr>
      <w:tr w14:paraId="5EC33B86">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FA644">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34563AE">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6CE32">
            <w:pPr>
              <w:jc w:val="center"/>
              <w:rPr>
                <w:rFonts w:hint="default" w:ascii="Times New Roman" w:cs="宋体"/>
                <w:b/>
                <w:color w:val="auto"/>
                <w:sz w:val="20"/>
                <w:szCs w:val="20"/>
                <w:highlight w:val="none"/>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EE8AF">
            <w:pPr>
              <w:jc w:val="center"/>
              <w:rPr>
                <w:rFonts w:hint="default" w:ascii="Times New Roman" w:cs="宋体"/>
                <w:b/>
                <w:color w:val="auto"/>
                <w:sz w:val="20"/>
                <w:szCs w:val="20"/>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6657C">
            <w:pPr>
              <w:jc w:val="center"/>
              <w:rPr>
                <w:rFonts w:hint="default" w:ascii="Times New Roman" w:cs="宋体"/>
                <w:b/>
                <w:color w:val="auto"/>
                <w:sz w:val="20"/>
                <w:szCs w:val="20"/>
                <w:highlight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19111">
            <w:pPr>
              <w:jc w:val="center"/>
              <w:rPr>
                <w:rFonts w:hint="default" w:ascii="Times New Roman" w:cs="宋体"/>
                <w:b/>
                <w:color w:val="auto"/>
                <w:sz w:val="20"/>
                <w:szCs w:val="20"/>
                <w:highlight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0D11C">
            <w:pPr>
              <w:jc w:val="center"/>
              <w:rPr>
                <w:rFonts w:hint="default" w:ascii="Times New Roman" w:cs="宋体"/>
                <w:b/>
                <w:color w:val="auto"/>
                <w:sz w:val="20"/>
                <w:szCs w:val="20"/>
                <w:highlight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76B16">
            <w:pPr>
              <w:jc w:val="center"/>
              <w:rPr>
                <w:rFonts w:hint="default" w:ascii="Times New Roman" w:cs="宋体"/>
                <w:b/>
                <w:color w:val="auto"/>
                <w:sz w:val="20"/>
                <w:szCs w:val="20"/>
                <w:highlight w:val="none"/>
              </w:rPr>
            </w:pPr>
          </w:p>
        </w:tc>
      </w:tr>
      <w:tr w14:paraId="6AD2DD6F">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DA6F5">
            <w:pPr>
              <w:jc w:val="center"/>
              <w:rPr>
                <w:rFonts w:hint="default" w:ascii="Times New Roman" w:cs="宋体"/>
                <w:b/>
                <w:color w:val="auto"/>
                <w:sz w:val="20"/>
                <w:szCs w:val="20"/>
                <w:highlight w:val="none"/>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9107696">
            <w:pPr>
              <w:jc w:val="center"/>
              <w:rPr>
                <w:rFonts w:hint="default" w:ascii="Times New Roman" w:cs="宋体"/>
                <w:b/>
                <w:color w:val="auto"/>
                <w:sz w:val="20"/>
                <w:szCs w:val="20"/>
                <w:highlight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45FFA">
            <w:pPr>
              <w:jc w:val="center"/>
              <w:rPr>
                <w:rFonts w:hint="default" w:ascii="Times New Roman" w:cs="宋体"/>
                <w:b/>
                <w:color w:val="auto"/>
                <w:sz w:val="20"/>
                <w:szCs w:val="20"/>
                <w:highlight w:val="none"/>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3453D">
            <w:pPr>
              <w:jc w:val="center"/>
              <w:rPr>
                <w:rFonts w:hint="default" w:ascii="Times New Roman" w:cs="宋体"/>
                <w:b/>
                <w:color w:val="auto"/>
                <w:sz w:val="20"/>
                <w:szCs w:val="20"/>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DF1E9">
            <w:pPr>
              <w:jc w:val="center"/>
              <w:rPr>
                <w:rFonts w:hint="default" w:ascii="Times New Roman" w:cs="宋体"/>
                <w:b/>
                <w:color w:val="auto"/>
                <w:sz w:val="20"/>
                <w:szCs w:val="20"/>
                <w:highlight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EEC4F">
            <w:pPr>
              <w:jc w:val="center"/>
              <w:rPr>
                <w:rFonts w:hint="default" w:ascii="Times New Roman" w:cs="宋体"/>
                <w:b/>
                <w:color w:val="auto"/>
                <w:sz w:val="20"/>
                <w:szCs w:val="20"/>
                <w:highlight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44616">
            <w:pPr>
              <w:jc w:val="center"/>
              <w:rPr>
                <w:rFonts w:hint="default" w:ascii="Times New Roman" w:cs="宋体"/>
                <w:b/>
                <w:color w:val="auto"/>
                <w:sz w:val="20"/>
                <w:szCs w:val="20"/>
                <w:highlight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C0BCA">
            <w:pPr>
              <w:jc w:val="center"/>
              <w:rPr>
                <w:rFonts w:hint="default" w:ascii="Times New Roman" w:cs="宋体"/>
                <w:b/>
                <w:color w:val="auto"/>
                <w:sz w:val="20"/>
                <w:szCs w:val="20"/>
                <w:highlight w:val="none"/>
              </w:rPr>
            </w:pPr>
          </w:p>
        </w:tc>
      </w:tr>
      <w:tr w14:paraId="645FD9BE">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777FA">
            <w:pPr>
              <w:jc w:val="center"/>
              <w:rPr>
                <w:rFonts w:hint="default" w:ascii="Times New Roman" w:cs="宋体"/>
                <w:b/>
                <w:color w:val="auto"/>
                <w:sz w:val="20"/>
                <w:szCs w:val="20"/>
                <w:highlight w:val="none"/>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09A50F6">
            <w:pPr>
              <w:jc w:val="center"/>
              <w:rPr>
                <w:rFonts w:hint="default" w:ascii="Times New Roman" w:cs="宋体"/>
                <w:b/>
                <w:color w:val="auto"/>
                <w:sz w:val="20"/>
                <w:szCs w:val="20"/>
                <w:highlight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3FC77">
            <w:pPr>
              <w:jc w:val="center"/>
              <w:rPr>
                <w:rFonts w:hint="default" w:ascii="Times New Roman" w:cs="宋体"/>
                <w:b/>
                <w:color w:val="auto"/>
                <w:sz w:val="20"/>
                <w:szCs w:val="20"/>
                <w:highlight w:val="none"/>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C275D">
            <w:pPr>
              <w:jc w:val="center"/>
              <w:rPr>
                <w:rFonts w:hint="default" w:ascii="Times New Roman" w:cs="宋体"/>
                <w:b/>
                <w:color w:val="auto"/>
                <w:sz w:val="20"/>
                <w:szCs w:val="20"/>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41D54">
            <w:pPr>
              <w:jc w:val="center"/>
              <w:rPr>
                <w:rFonts w:hint="default" w:ascii="Times New Roman" w:cs="宋体"/>
                <w:b/>
                <w:color w:val="auto"/>
                <w:sz w:val="20"/>
                <w:szCs w:val="20"/>
                <w:highlight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570DC">
            <w:pPr>
              <w:jc w:val="center"/>
              <w:rPr>
                <w:rFonts w:hint="default" w:ascii="Times New Roman" w:cs="宋体"/>
                <w:b/>
                <w:color w:val="auto"/>
                <w:sz w:val="20"/>
                <w:szCs w:val="20"/>
                <w:highlight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A6B96">
            <w:pPr>
              <w:jc w:val="center"/>
              <w:rPr>
                <w:rFonts w:hint="default" w:ascii="Times New Roman" w:cs="宋体"/>
                <w:b/>
                <w:color w:val="auto"/>
                <w:sz w:val="20"/>
                <w:szCs w:val="20"/>
                <w:highlight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8458C">
            <w:pPr>
              <w:jc w:val="center"/>
              <w:rPr>
                <w:rFonts w:hint="default" w:ascii="Times New Roman" w:cs="宋体"/>
                <w:b/>
                <w:color w:val="auto"/>
                <w:sz w:val="20"/>
                <w:szCs w:val="20"/>
                <w:highlight w:val="none"/>
              </w:rPr>
            </w:pPr>
          </w:p>
        </w:tc>
      </w:tr>
      <w:tr w14:paraId="10B30F65">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337CD">
            <w:pPr>
              <w:jc w:val="center"/>
              <w:rPr>
                <w:rFonts w:hint="default" w:ascii="Times New Roman" w:cs="宋体"/>
                <w:b/>
                <w:color w:val="auto"/>
                <w:sz w:val="20"/>
                <w:szCs w:val="20"/>
                <w:highlight w:val="none"/>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11D3F3C">
            <w:pPr>
              <w:jc w:val="center"/>
              <w:rPr>
                <w:rFonts w:hint="default" w:ascii="Times New Roman" w:cs="宋体"/>
                <w:b/>
                <w:color w:val="auto"/>
                <w:sz w:val="20"/>
                <w:szCs w:val="20"/>
                <w:highlight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34F44">
            <w:pPr>
              <w:jc w:val="center"/>
              <w:rPr>
                <w:rFonts w:hint="default" w:ascii="Times New Roman" w:cs="宋体"/>
                <w:b/>
                <w:color w:val="auto"/>
                <w:sz w:val="20"/>
                <w:szCs w:val="20"/>
                <w:highlight w:val="none"/>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B6945">
            <w:pPr>
              <w:jc w:val="center"/>
              <w:rPr>
                <w:rFonts w:hint="default" w:ascii="Times New Roman" w:cs="宋体"/>
                <w:b/>
                <w:color w:val="auto"/>
                <w:sz w:val="20"/>
                <w:szCs w:val="20"/>
                <w:highlight w:val="none"/>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B4346">
            <w:pPr>
              <w:jc w:val="center"/>
              <w:rPr>
                <w:rFonts w:hint="default" w:ascii="Times New Roman" w:cs="宋体"/>
                <w:b/>
                <w:color w:val="auto"/>
                <w:sz w:val="20"/>
                <w:szCs w:val="20"/>
                <w:highlight w:val="none"/>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E270F">
            <w:pPr>
              <w:jc w:val="center"/>
              <w:rPr>
                <w:rFonts w:hint="default" w:ascii="Times New Roman" w:cs="宋体"/>
                <w:b/>
                <w:color w:val="auto"/>
                <w:sz w:val="20"/>
                <w:szCs w:val="20"/>
                <w:highlight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44AB7">
            <w:pPr>
              <w:jc w:val="center"/>
              <w:rPr>
                <w:rFonts w:hint="default" w:ascii="Times New Roman" w:cs="宋体"/>
                <w:b/>
                <w:color w:val="auto"/>
                <w:sz w:val="20"/>
                <w:szCs w:val="20"/>
                <w:highlight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36009">
            <w:pPr>
              <w:jc w:val="center"/>
              <w:rPr>
                <w:rFonts w:hint="default" w:ascii="Times New Roman" w:cs="宋体"/>
                <w:b/>
                <w:color w:val="auto"/>
                <w:sz w:val="20"/>
                <w:szCs w:val="20"/>
                <w:highlight w:val="none"/>
              </w:rPr>
            </w:pPr>
          </w:p>
        </w:tc>
      </w:tr>
      <w:tr w14:paraId="61A6F873">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A9A14">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8DE0C">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326.15</w:t>
            </w:r>
            <w:r>
              <w:rPr>
                <w:rFonts w:ascii="Times New Roman" w:hAnsi="Times New Roman"/>
                <w:b/>
                <w:color w:val="auto"/>
                <w:sz w:val="20"/>
                <w:highlight w:val="none"/>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29037">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304.53</w:t>
            </w:r>
            <w:r>
              <w:rPr>
                <w:rFonts w:ascii="Times New Roman" w:hAnsi="Times New Roman"/>
                <w:b/>
                <w:color w:val="auto"/>
                <w:sz w:val="20"/>
                <w:highlight w:val="none"/>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4E506">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21.62</w:t>
            </w:r>
            <w:r>
              <w:rPr>
                <w:rFonts w:ascii="Times New Roman" w:hAnsi="Times New Roman"/>
                <w:b/>
                <w:color w:val="auto"/>
                <w:sz w:val="20"/>
                <w:highlight w:val="none"/>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D66F1">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99C92">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CCF55">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r>
      <w:tr w14:paraId="28C3467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00499">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D0384">
            <w:pPr>
              <w:textAlignment w:val="center"/>
              <w:rPr>
                <w:rFonts w:hint="default" w:ascii="Times New Roman" w:cs="宋体"/>
                <w:color w:val="auto"/>
                <w:sz w:val="20"/>
                <w:szCs w:val="20"/>
                <w:highlight w:val="none"/>
              </w:rPr>
            </w:pPr>
            <w:r>
              <w:rPr>
                <w:rFonts w:ascii="Times New Roman" w:cs="宋体"/>
                <w:b/>
                <w:color w:val="auto"/>
                <w:sz w:val="20"/>
                <w:szCs w:val="20"/>
                <w:highlight w:val="none"/>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D5B7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251.86</w:t>
            </w:r>
            <w:r>
              <w:rPr>
                <w:rFonts w:ascii="Times New Roman" w:hAnsi="Times New Roman"/>
                <w:b/>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914DF">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230.24</w:t>
            </w:r>
            <w:r>
              <w:rPr>
                <w:rFonts w:ascii="Times New Roman" w:hAnsi="Times New Roman"/>
                <w:b/>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40EC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21.62</w:t>
            </w:r>
            <w:r>
              <w:rPr>
                <w:rFonts w:ascii="Times New Roman" w:hAnsi="Times New Roman"/>
                <w:b/>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E43B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ACF53">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C2BF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2A132C9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A082A">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687D5">
            <w:pPr>
              <w:textAlignment w:val="center"/>
              <w:rPr>
                <w:rFonts w:hint="default" w:ascii="Times New Roman" w:cs="宋体"/>
                <w:color w:val="auto"/>
                <w:sz w:val="20"/>
                <w:szCs w:val="20"/>
                <w:highlight w:val="none"/>
              </w:rPr>
            </w:pPr>
            <w:r>
              <w:rPr>
                <w:rFonts w:ascii="Times New Roman" w:cs="宋体"/>
                <w:b/>
                <w:color w:val="auto"/>
                <w:sz w:val="20"/>
                <w:szCs w:val="20"/>
                <w:highlight w:val="none"/>
              </w:rPr>
              <w:t>政府办公厅（室）及相关机构事务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DC23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251.86</w:t>
            </w:r>
            <w:r>
              <w:rPr>
                <w:rFonts w:ascii="Times New Roman" w:hAnsi="Times New Roman"/>
                <w:b/>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8260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230.24</w:t>
            </w:r>
            <w:r>
              <w:rPr>
                <w:rFonts w:ascii="Times New Roman" w:hAnsi="Times New Roman"/>
                <w:b/>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5147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21.62</w:t>
            </w:r>
            <w:r>
              <w:rPr>
                <w:rFonts w:ascii="Times New Roman" w:hAnsi="Times New Roman"/>
                <w:b/>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DB86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E54B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7D91C">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1641164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01CCE">
            <w:pPr>
              <w:textAlignment w:val="center"/>
              <w:rPr>
                <w:rFonts w:hint="default" w:ascii="Times New Roman" w:cs="宋体"/>
                <w:color w:val="auto"/>
                <w:sz w:val="20"/>
                <w:szCs w:val="20"/>
                <w:highlight w:val="none"/>
              </w:rPr>
            </w:pPr>
            <w:r>
              <w:rPr>
                <w:rFonts w:ascii="Times New Roman" w:cs="宋体"/>
                <w:color w:val="auto"/>
                <w:sz w:val="20"/>
                <w:szCs w:val="20"/>
                <w:highlight w:val="none"/>
              </w:rPr>
              <w:t>2010399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A9909">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其他政府办公厅（室）及相关机构事务支出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C9E4">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251.86</w:t>
            </w:r>
            <w:r>
              <w:rPr>
                <w:rFonts w:ascii="Times New Roman" w:hAnsi="Times New Roman"/>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8526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230.24</w:t>
            </w:r>
            <w:r>
              <w:rPr>
                <w:rFonts w:ascii="Times New Roman" w:hAnsi="Times New Roman"/>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3D424">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21.62</w:t>
            </w:r>
            <w:r>
              <w:rPr>
                <w:rFonts w:ascii="Times New Roman" w:hAnsi="Times New Roman"/>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2091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76452">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BD73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68ECC43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648EE">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F2164">
            <w:pPr>
              <w:textAlignment w:val="center"/>
              <w:rPr>
                <w:rFonts w:hint="default" w:ascii="Times New Roman" w:cs="宋体"/>
                <w:color w:val="auto"/>
                <w:sz w:val="20"/>
                <w:szCs w:val="20"/>
                <w:highlight w:val="none"/>
              </w:rPr>
            </w:pPr>
            <w:r>
              <w:rPr>
                <w:rFonts w:ascii="Times New Roman" w:cs="宋体"/>
                <w:b/>
                <w:color w:val="auto"/>
                <w:sz w:val="20"/>
                <w:szCs w:val="20"/>
                <w:highlight w:val="none"/>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676C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47.49</w:t>
            </w:r>
            <w:r>
              <w:rPr>
                <w:rFonts w:ascii="Times New Roman" w:hAnsi="Times New Roman"/>
                <w:b/>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F54D3">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47.49</w:t>
            </w:r>
            <w:r>
              <w:rPr>
                <w:rFonts w:ascii="Times New Roman" w:hAnsi="Times New Roman"/>
                <w:b/>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C5890">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98679">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FE3D2">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4596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1E59E30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820AD">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C7902">
            <w:pPr>
              <w:textAlignment w:val="center"/>
              <w:rPr>
                <w:rFonts w:hint="default" w:ascii="Times New Roman" w:cs="宋体"/>
                <w:color w:val="auto"/>
                <w:sz w:val="20"/>
                <w:szCs w:val="20"/>
                <w:highlight w:val="none"/>
              </w:rPr>
            </w:pPr>
            <w:r>
              <w:rPr>
                <w:rFonts w:ascii="Times New Roman" w:cs="宋体"/>
                <w:b/>
                <w:color w:val="auto"/>
                <w:sz w:val="20"/>
                <w:szCs w:val="20"/>
                <w:highlight w:val="none"/>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7EED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47.49</w:t>
            </w:r>
            <w:r>
              <w:rPr>
                <w:rFonts w:ascii="Times New Roman" w:hAnsi="Times New Roman"/>
                <w:b/>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65C77">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47.49</w:t>
            </w:r>
            <w:r>
              <w:rPr>
                <w:rFonts w:ascii="Times New Roman" w:hAnsi="Times New Roman"/>
                <w:b/>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5CD3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EB13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939B8">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5789E">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6C260A7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7E3CA">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25677">
            <w:pPr>
              <w:textAlignment w:val="center"/>
              <w:rPr>
                <w:rFonts w:hint="default" w:ascii="Times New Roman" w:cs="宋体"/>
                <w:color w:val="auto"/>
                <w:sz w:val="20"/>
                <w:szCs w:val="20"/>
                <w:highlight w:val="none"/>
              </w:rPr>
            </w:pPr>
            <w:r>
              <w:rPr>
                <w:rFonts w:ascii="Times New Roman" w:cs="宋体"/>
                <w:color w:val="auto"/>
                <w:sz w:val="20"/>
                <w:szCs w:val="20"/>
                <w:highlight w:val="none"/>
              </w:rPr>
              <w:t>事业单位离退休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0453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4.14</w:t>
            </w:r>
            <w:r>
              <w:rPr>
                <w:rFonts w:ascii="Times New Roman" w:hAnsi="Times New Roman"/>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2A5A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4.14</w:t>
            </w:r>
            <w:r>
              <w:rPr>
                <w:rFonts w:ascii="Times New Roman" w:hAnsi="Times New Roman"/>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658F4">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BAD3A">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6267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DADEF">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0F90F7F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BD0A0">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0646F">
            <w:pPr>
              <w:textAlignment w:val="center"/>
              <w:rPr>
                <w:rFonts w:hint="default" w:ascii="Times New Roman" w:cs="宋体"/>
                <w:color w:val="auto"/>
                <w:sz w:val="20"/>
                <w:szCs w:val="20"/>
                <w:highlight w:val="none"/>
              </w:rPr>
            </w:pPr>
            <w:r>
              <w:rPr>
                <w:rFonts w:ascii="Times New Roman" w:cs="宋体"/>
                <w:color w:val="auto"/>
                <w:sz w:val="20"/>
                <w:szCs w:val="20"/>
                <w:highlight w:val="none"/>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1AD1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26.35</w:t>
            </w:r>
            <w:r>
              <w:rPr>
                <w:rFonts w:ascii="Times New Roman" w:hAnsi="Times New Roman"/>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1B2B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26.35</w:t>
            </w:r>
            <w:r>
              <w:rPr>
                <w:rFonts w:ascii="Times New Roman" w:hAnsi="Times New Roman"/>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5E0D4">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D46E4">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1A4F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8E35D">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67B3444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8D31C">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C1899">
            <w:pPr>
              <w:textAlignment w:val="center"/>
              <w:rPr>
                <w:rFonts w:hint="default" w:ascii="Times New Roman" w:cs="宋体"/>
                <w:color w:val="auto"/>
                <w:sz w:val="20"/>
                <w:szCs w:val="20"/>
                <w:highlight w:val="none"/>
              </w:rPr>
            </w:pPr>
            <w:r>
              <w:rPr>
                <w:rFonts w:ascii="Times New Roman" w:cs="宋体"/>
                <w:color w:val="auto"/>
                <w:sz w:val="20"/>
                <w:szCs w:val="20"/>
                <w:highlight w:val="none"/>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D447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15.00</w:t>
            </w:r>
            <w:r>
              <w:rPr>
                <w:rFonts w:ascii="Times New Roman" w:hAnsi="Times New Roman"/>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9B49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15.00</w:t>
            </w:r>
            <w:r>
              <w:rPr>
                <w:rFonts w:ascii="Times New Roman" w:hAnsi="Times New Roman"/>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C4F7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8811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1B02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62AD9">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1D93326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632DC">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4AE67">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B2F6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2.00</w:t>
            </w:r>
            <w:r>
              <w:rPr>
                <w:rFonts w:ascii="Times New Roman" w:hAnsi="Times New Roman"/>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A4DDA">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2.00</w:t>
            </w:r>
            <w:r>
              <w:rPr>
                <w:rFonts w:ascii="Times New Roman" w:hAnsi="Times New Roman"/>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3194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37FBB">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2E66A">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D921A">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5839A3D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3223D">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AEED4">
            <w:pPr>
              <w:textAlignment w:val="center"/>
              <w:rPr>
                <w:rFonts w:hint="default" w:ascii="Times New Roman" w:cs="宋体"/>
                <w:color w:val="auto"/>
                <w:sz w:val="20"/>
                <w:szCs w:val="20"/>
                <w:highlight w:val="none"/>
              </w:rPr>
            </w:pPr>
            <w:r>
              <w:rPr>
                <w:rFonts w:ascii="Times New Roman" w:cs="宋体"/>
                <w:b/>
                <w:color w:val="auto"/>
                <w:sz w:val="20"/>
                <w:szCs w:val="20"/>
                <w:highlight w:val="none"/>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4BF6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13.76</w:t>
            </w:r>
            <w:r>
              <w:rPr>
                <w:rFonts w:ascii="Times New Roman" w:hAnsi="Times New Roman"/>
                <w:b/>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944F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13.76</w:t>
            </w:r>
            <w:r>
              <w:rPr>
                <w:rFonts w:ascii="Times New Roman" w:hAnsi="Times New Roman"/>
                <w:b/>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6FEC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AE6E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65933">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060A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61BBBF2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B7528">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44F95">
            <w:pPr>
              <w:textAlignment w:val="center"/>
              <w:rPr>
                <w:rFonts w:hint="default" w:ascii="Times New Roman" w:cs="宋体"/>
                <w:color w:val="auto"/>
                <w:sz w:val="20"/>
                <w:szCs w:val="20"/>
                <w:highlight w:val="none"/>
              </w:rPr>
            </w:pPr>
            <w:r>
              <w:rPr>
                <w:rFonts w:ascii="Times New Roman" w:cs="宋体"/>
                <w:b/>
                <w:color w:val="auto"/>
                <w:sz w:val="20"/>
                <w:szCs w:val="20"/>
                <w:highlight w:val="none"/>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0DDEA">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13.76</w:t>
            </w:r>
            <w:r>
              <w:rPr>
                <w:rFonts w:ascii="Times New Roman" w:hAnsi="Times New Roman"/>
                <w:b/>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6AE33">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13.76</w:t>
            </w:r>
            <w:r>
              <w:rPr>
                <w:rFonts w:ascii="Times New Roman" w:hAnsi="Times New Roman"/>
                <w:b/>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1AE2B">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64510">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0075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29ED2">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0379607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CADAC">
            <w:pPr>
              <w:textAlignment w:val="center"/>
              <w:rPr>
                <w:rFonts w:hint="default" w:ascii="Times New Roman" w:cs="宋体"/>
                <w:color w:val="auto"/>
                <w:sz w:val="20"/>
                <w:szCs w:val="20"/>
                <w:highlight w:val="none"/>
              </w:rPr>
            </w:pPr>
            <w:r>
              <w:rPr>
                <w:rFonts w:ascii="Times New Roman" w:cs="宋体"/>
                <w:color w:val="auto"/>
                <w:sz w:val="20"/>
                <w:szCs w:val="20"/>
                <w:highlight w:val="none"/>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261B7">
            <w:pPr>
              <w:textAlignment w:val="center"/>
              <w:rPr>
                <w:rFonts w:hint="default" w:ascii="Times New Roman" w:cs="宋体"/>
                <w:color w:val="auto"/>
                <w:sz w:val="20"/>
                <w:szCs w:val="20"/>
                <w:highlight w:val="none"/>
              </w:rPr>
            </w:pPr>
            <w:r>
              <w:rPr>
                <w:rFonts w:ascii="Times New Roman" w:cs="宋体"/>
                <w:color w:val="auto"/>
                <w:sz w:val="20"/>
                <w:szCs w:val="20"/>
                <w:highlight w:val="none"/>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A75F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9.15</w:t>
            </w:r>
            <w:r>
              <w:rPr>
                <w:rFonts w:ascii="Times New Roman" w:hAnsi="Times New Roman"/>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42E3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9.15</w:t>
            </w:r>
            <w:r>
              <w:rPr>
                <w:rFonts w:ascii="Times New Roman" w:hAnsi="Times New Roman"/>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A7EE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18B67">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6A721">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40C3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0A01FCA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DFD97">
            <w:pPr>
              <w:textAlignment w:val="center"/>
              <w:rPr>
                <w:rFonts w:hint="default" w:ascii="Times New Roman" w:cs="宋体"/>
                <w:color w:val="auto"/>
                <w:sz w:val="20"/>
                <w:szCs w:val="20"/>
                <w:highlight w:val="none"/>
              </w:rPr>
            </w:pPr>
            <w:r>
              <w:rPr>
                <w:rFonts w:ascii="Times New Roman" w:cs="宋体"/>
                <w:color w:val="auto"/>
                <w:sz w:val="20"/>
                <w:szCs w:val="20"/>
                <w:highlight w:val="none"/>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39D4F">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37B8B">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4.61</w:t>
            </w:r>
            <w:r>
              <w:rPr>
                <w:rFonts w:ascii="Times New Roman" w:hAnsi="Times New Roman"/>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92BA0">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4.61</w:t>
            </w:r>
            <w:r>
              <w:rPr>
                <w:rFonts w:ascii="Times New Roman" w:hAnsi="Times New Roman"/>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AD8E5">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0728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C4E5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3D41F">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4F52651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A8C9E">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A63D7">
            <w:pPr>
              <w:textAlignment w:val="center"/>
              <w:rPr>
                <w:rFonts w:hint="default" w:ascii="Times New Roman" w:cs="宋体"/>
                <w:color w:val="auto"/>
                <w:sz w:val="20"/>
                <w:szCs w:val="20"/>
                <w:highlight w:val="none"/>
              </w:rPr>
            </w:pPr>
            <w:r>
              <w:rPr>
                <w:rFonts w:ascii="Times New Roman" w:cs="宋体"/>
                <w:b/>
                <w:color w:val="auto"/>
                <w:sz w:val="20"/>
                <w:szCs w:val="20"/>
                <w:highlight w:val="none"/>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7078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13.03</w:t>
            </w:r>
            <w:r>
              <w:rPr>
                <w:rFonts w:ascii="Times New Roman" w:hAnsi="Times New Roman"/>
                <w:b/>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685AF">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13.03</w:t>
            </w:r>
            <w:r>
              <w:rPr>
                <w:rFonts w:ascii="Times New Roman" w:hAnsi="Times New Roman"/>
                <w:b/>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D6710">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D3B55">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70F40">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E6601">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75BB002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8DF11">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BBA6B">
            <w:pPr>
              <w:textAlignment w:val="center"/>
              <w:rPr>
                <w:rFonts w:hint="default" w:ascii="Times New Roman" w:cs="宋体"/>
                <w:color w:val="auto"/>
                <w:sz w:val="20"/>
                <w:szCs w:val="20"/>
                <w:highlight w:val="none"/>
              </w:rPr>
            </w:pPr>
            <w:r>
              <w:rPr>
                <w:rFonts w:ascii="Times New Roman" w:cs="宋体"/>
                <w:b/>
                <w:color w:val="auto"/>
                <w:sz w:val="20"/>
                <w:szCs w:val="20"/>
                <w:highlight w:val="none"/>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698B4">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13.03</w:t>
            </w:r>
            <w:r>
              <w:rPr>
                <w:rFonts w:ascii="Times New Roman" w:hAnsi="Times New Roman"/>
                <w:b/>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4BEDD">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13.03</w:t>
            </w:r>
            <w:r>
              <w:rPr>
                <w:rFonts w:ascii="Times New Roman" w:hAnsi="Times New Roman"/>
                <w:b/>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2FEF9">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77D4E">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396D6">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5A5A1">
            <w:pPr>
              <w:wordWrap w:val="0"/>
              <w:jc w:val="right"/>
              <w:textAlignment w:val="center"/>
              <w:rPr>
                <w:rFonts w:hint="default" w:ascii="Times New Roman" w:hAnsi="Times New Roman"/>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0785320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33CE5">
            <w:pPr>
              <w:textAlignment w:val="center"/>
              <w:rPr>
                <w:rFonts w:hint="default" w:ascii="Times New Roman" w:cs="宋体"/>
                <w:color w:val="auto"/>
                <w:sz w:val="20"/>
                <w:szCs w:val="20"/>
                <w:highlight w:val="none"/>
              </w:rPr>
            </w:pPr>
            <w:r>
              <w:rPr>
                <w:rFonts w:ascii="Times New Roman" w:cs="宋体"/>
                <w:color w:val="auto"/>
                <w:sz w:val="20"/>
                <w:szCs w:val="20"/>
                <w:highlight w:val="none"/>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60EE1">
            <w:pPr>
              <w:textAlignment w:val="center"/>
              <w:rPr>
                <w:rFonts w:hint="default" w:ascii="Times New Roman" w:cs="宋体"/>
                <w:color w:val="auto"/>
                <w:sz w:val="20"/>
                <w:szCs w:val="20"/>
                <w:highlight w:val="none"/>
              </w:rPr>
            </w:pPr>
            <w:r>
              <w:rPr>
                <w:rFonts w:ascii="Times New Roman" w:cs="宋体"/>
                <w:color w:val="auto"/>
                <w:sz w:val="20"/>
                <w:szCs w:val="20"/>
                <w:highlight w:val="none"/>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DC558">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13.03</w:t>
            </w:r>
            <w:r>
              <w:rPr>
                <w:rFonts w:ascii="Times New Roman" w:hAnsi="Times New Roman"/>
                <w:color w:val="auto"/>
                <w:sz w:val="20"/>
                <w:highlight w:val="none"/>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02C63">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13.03</w:t>
            </w:r>
            <w:r>
              <w:rPr>
                <w:rFonts w:ascii="Times New Roman" w:hAnsi="Times New Roman"/>
                <w:color w:val="auto"/>
                <w:sz w:val="20"/>
                <w:highlight w:val="none"/>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D410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A194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6FD5C">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90A7E">
            <w:pPr>
              <w:wordWrap w:val="0"/>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bl>
    <w:p w14:paraId="3D8957AA">
      <w:pPr>
        <w:ind w:firstLine="400" w:firstLineChars="200"/>
        <w:rPr>
          <w:rFonts w:hint="default" w:ascii="Times New Roman" w:cs="宋体"/>
          <w:color w:val="auto"/>
          <w:sz w:val="20"/>
          <w:szCs w:val="20"/>
          <w:highlight w:val="none"/>
        </w:rPr>
      </w:pPr>
      <w:r>
        <w:rPr>
          <w:rFonts w:ascii="Times New Roman" w:cs="宋体"/>
          <w:color w:val="auto"/>
          <w:sz w:val="20"/>
          <w:szCs w:val="20"/>
          <w:highlight w:val="none"/>
        </w:rPr>
        <w:t>备注：1.本表反映单位本年度各项支出情况。</w:t>
      </w:r>
      <w:r>
        <w:rPr>
          <w:rFonts w:ascii="Times New Roman" w:cs="宋体"/>
          <w:color w:val="auto"/>
          <w:sz w:val="20"/>
          <w:szCs w:val="20"/>
          <w:highlight w:val="none"/>
        </w:rPr>
        <w:br w:type="textWrapping"/>
      </w:r>
      <w:r>
        <w:rPr>
          <w:rFonts w:ascii="Times New Roman" w:cs="宋体"/>
          <w:color w:val="auto"/>
          <w:sz w:val="20"/>
          <w:szCs w:val="20"/>
          <w:highlight w:val="none"/>
        </w:rPr>
        <w:t xml:space="preserve">      2.本套报表金额单位转换时可能存在尾数误差。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p>
    <w:p w14:paraId="29797D1C">
      <w:pPr>
        <w:ind w:firstLine="420" w:firstLineChars="200"/>
        <w:rPr>
          <w:rFonts w:hint="default" w:ascii="Times New Roman" w:cs="宋体"/>
          <w:color w:val="auto"/>
          <w:sz w:val="21"/>
          <w:szCs w:val="21"/>
          <w:highlight w:val="none"/>
        </w:rPr>
      </w:pPr>
      <w:r>
        <w:rPr>
          <w:rFonts w:ascii="Times New Roman" w:cs="宋体"/>
          <w:color w:val="auto"/>
          <w:sz w:val="21"/>
          <w:szCs w:val="21"/>
          <w:highlight w:val="none"/>
        </w:rPr>
        <w:br w:type="page"/>
      </w:r>
    </w:p>
    <w:p w14:paraId="18DC4C92">
      <w:pPr>
        <w:rPr>
          <w:rFonts w:hint="default" w:ascii="Times New Roman" w:cs="宋体"/>
          <w:color w:val="auto"/>
          <w:sz w:val="21"/>
          <w:szCs w:val="21"/>
          <w:highlight w:val="none"/>
        </w:rPr>
      </w:pPr>
    </w:p>
    <w:tbl>
      <w:tblPr>
        <w:tblStyle w:val="10"/>
        <w:tblW w:w="4790" w:type="pct"/>
        <w:tblInd w:w="0" w:type="dxa"/>
        <w:tblLayout w:type="autofit"/>
        <w:tblCellMar>
          <w:top w:w="0" w:type="dxa"/>
          <w:left w:w="0" w:type="dxa"/>
          <w:bottom w:w="0" w:type="dxa"/>
          <w:right w:w="0" w:type="dxa"/>
        </w:tblCellMar>
      </w:tblPr>
      <w:tblGrid>
        <w:gridCol w:w="2664"/>
        <w:gridCol w:w="1365"/>
        <w:gridCol w:w="2853"/>
        <w:gridCol w:w="1520"/>
        <w:gridCol w:w="1520"/>
        <w:gridCol w:w="1520"/>
        <w:gridCol w:w="1732"/>
      </w:tblGrid>
      <w:tr w14:paraId="3CAC4A9D">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E3BE182">
            <w:pPr>
              <w:spacing w:line="400" w:lineRule="exact"/>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财政拨款收入支出决算总表</w:t>
            </w:r>
          </w:p>
        </w:tc>
      </w:tr>
      <w:tr w14:paraId="3BD1885D">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9AE0F21">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cs="宋体"/>
                <w:color w:val="auto"/>
                <w:sz w:val="18"/>
                <w:szCs w:val="18"/>
                <w:highlight w:val="none"/>
              </w:rPr>
            </w:pPr>
            <w:r>
              <w:rPr>
                <w:rFonts w:ascii="Times New Roman" w:cs="宋体"/>
                <w:color w:val="auto"/>
                <w:sz w:val="20"/>
                <w:szCs w:val="20"/>
                <w:highlight w:val="none"/>
              </w:rPr>
              <w:t>单位：</w:t>
            </w:r>
            <w:r>
              <w:rPr>
                <w:rFonts w:ascii="Times New Roman"/>
                <w:color w:val="auto"/>
                <w:sz w:val="20"/>
                <w:highlight w:val="none"/>
                <w:u w:color="auto"/>
              </w:rPr>
              <w:t>丰都县公共资源交易中心（本级）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0CAB8BEE">
            <w:pPr>
              <w:spacing w:line="200" w:lineRule="exact"/>
              <w:rPr>
                <w:rFonts w:hint="default" w:ascii="Times New Roman"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15BD40C">
            <w:pPr>
              <w:spacing w:line="200" w:lineRule="exact"/>
              <w:rPr>
                <w:rFonts w:hint="default" w:ascii="Times New Roman"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F612B59">
            <w:pPr>
              <w:spacing w:line="200" w:lineRule="exact"/>
              <w:rPr>
                <w:rFonts w:hint="default" w:ascii="Times New Roman" w:cs="宋体"/>
                <w:color w:val="auto"/>
                <w:sz w:val="18"/>
                <w:szCs w:val="18"/>
                <w:highlight w:val="none"/>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842F59B">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04</w:t>
            </w:r>
            <w:r>
              <w:rPr>
                <w:rFonts w:ascii="Times New Roman" w:cs="宋体"/>
                <w:color w:val="auto"/>
                <w:sz w:val="20"/>
                <w:szCs w:val="20"/>
                <w:highlight w:val="none"/>
              </w:rPr>
              <w:t>表</w:t>
            </w:r>
          </w:p>
        </w:tc>
      </w:tr>
      <w:tr w14:paraId="6D7A6D09">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224FD2A1">
            <w:pPr>
              <w:spacing w:line="200" w:lineRule="exact"/>
              <w:rPr>
                <w:rFonts w:hint="default" w:ascii="Times New Roman"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C7032F8">
            <w:pPr>
              <w:spacing w:line="200" w:lineRule="exact"/>
              <w:rPr>
                <w:rFonts w:hint="default" w:ascii="Times New Roman"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9A01993">
            <w:pPr>
              <w:spacing w:line="200" w:lineRule="exact"/>
              <w:rPr>
                <w:rFonts w:hint="default" w:ascii="Times New Roman"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AE87F42">
            <w:pPr>
              <w:spacing w:line="200" w:lineRule="exact"/>
              <w:rPr>
                <w:rFonts w:hint="default" w:ascii="Times New Roman" w:cs="宋体"/>
                <w:color w:val="auto"/>
                <w:sz w:val="18"/>
                <w:szCs w:val="18"/>
                <w:highlight w:val="none"/>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6C0C096">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单位：万元</w:t>
            </w:r>
          </w:p>
        </w:tc>
      </w:tr>
      <w:tr w14:paraId="27B67A97">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ADDBC">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1A902">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支     出</w:t>
            </w:r>
          </w:p>
        </w:tc>
      </w:tr>
      <w:tr w14:paraId="504B95E8">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052A2">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B7BDC">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D3E0A7">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874E1">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决算数</w:t>
            </w:r>
          </w:p>
        </w:tc>
      </w:tr>
      <w:tr w14:paraId="36BD6A90">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8CF6E">
            <w:pPr>
              <w:spacing w:line="200" w:lineRule="exact"/>
              <w:jc w:val="center"/>
              <w:rPr>
                <w:rFonts w:hint="default" w:ascii="Times New Roman" w:cs="宋体"/>
                <w:b/>
                <w:color w:val="auto"/>
                <w:sz w:val="18"/>
                <w:szCs w:val="18"/>
                <w:highlight w:val="none"/>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91DAF">
            <w:pPr>
              <w:spacing w:line="200" w:lineRule="exact"/>
              <w:jc w:val="center"/>
              <w:rPr>
                <w:rFonts w:hint="default" w:ascii="Times New Roman" w:cs="宋体"/>
                <w:b/>
                <w:color w:val="auto"/>
                <w:sz w:val="18"/>
                <w:szCs w:val="18"/>
                <w:highlight w:val="none"/>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9A438B">
            <w:pPr>
              <w:spacing w:line="200" w:lineRule="exact"/>
              <w:jc w:val="center"/>
              <w:rPr>
                <w:rFonts w:hint="default" w:ascii="Times New Roman" w:cs="宋体"/>
                <w:b/>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05336">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49BE3">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12926">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9A521">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国有资本经营预算财政拨款</w:t>
            </w:r>
          </w:p>
        </w:tc>
      </w:tr>
      <w:tr w14:paraId="70533A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37351">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D49F4">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326.15</w:t>
            </w: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42B98">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19CBC">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251.86</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F997E">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251.86</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FBAAE">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7298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FA415B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CF73E">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1D48A">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DDDC2">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385AE">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B089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E25B6">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4D1C2">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CBE13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3E4B8">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E4BF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82553">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3F98A">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FDDC5">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15826">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F2998">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787908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DD73E">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CF28EC">
            <w:pPr>
              <w:spacing w:line="200" w:lineRule="exac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CF302">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83F40">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4B546">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B4A41">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1D5C0">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C8D4C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A180A">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DF44EE">
            <w:pPr>
              <w:spacing w:line="200" w:lineRule="exac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9BD1A">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A0582">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9E69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A7B7B">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57F3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3E6E9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F4E12">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AA3AB4">
            <w:pPr>
              <w:spacing w:line="200" w:lineRule="exac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213E4">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0A175">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142F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3BA9C">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E808F">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0D291E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EBE95">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E1C170">
            <w:pPr>
              <w:spacing w:line="200" w:lineRule="exac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2722A">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5BEDD">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A3C4D">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15CFC">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94AC1">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C7274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F888E">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148B08">
            <w:pPr>
              <w:spacing w:line="200" w:lineRule="exac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E07D9">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4E4E5">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47.49</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85DE3">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47.49</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4238B">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4E00F">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E34241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021CC">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ED4B27">
            <w:pPr>
              <w:spacing w:line="200" w:lineRule="exac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E94F3">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B8577">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13.76</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A16C9">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13.76</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EFAC6">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E6162">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7C3AA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7171F">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23699">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00785">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AC67C">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0A957">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7A535">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495B1">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6DCFF4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D6601">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47E06">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A1985">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B26E5">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B59E7">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873B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795F7">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A13E09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7920B">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761FF">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1B4B6">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239D5">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90F30">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EDFAD">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2481F">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BCF34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E6864">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854CB">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750BC">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69D87">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269D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8E3CE">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EC76C">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BFD55F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D864C">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C8B20">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24A59">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453EC">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C614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00B0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F2DE7">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5AC46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09D8F">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36317">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8EF97">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4DB09">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164BA">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20E0D">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9FA8F">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08B76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EE532">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0FAEC">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1CF99">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B0370">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DA75">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A6FB9">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E78AF">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ACEA35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5451F">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54E47">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1259A">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975EC">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7769B">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22A58">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2A675">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B4B451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34E6D">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F875D">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ACF3A">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57DDF">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22A28">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269B8">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01409">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645F4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05F14">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3624F">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38886">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188B9">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13.03</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4F46B">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13.03</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73460">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FD1A1">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761961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D4311">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02439">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E6EC4">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8D86B">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C405D">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2FDE1">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6014C">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59BC0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3B05C">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FF0B8">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ADED1">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A6D2E">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FC659">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F35B8">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DFC0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CD3DC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B2862">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A44B8">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E5A76">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26B79">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2076F">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D075D">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120A0">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BF7F9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B5481">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145F9">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C1BA5">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1C085">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A62B4">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A97E7">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FBDAE">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1197B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4B37E1">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44CD1">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B6EB4">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C469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90D3B">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9E776">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E5E2B">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23D9BB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E55200">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024BE">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C33CD">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DC912">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86B1C">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D196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F486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5A40F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10E65D">
            <w:pPr>
              <w:spacing w:line="200" w:lineRule="exact"/>
              <w:rPr>
                <w:rFonts w:hint="default" w:ascii="Times New Roman" w:cs="宋体"/>
                <w:b/>
                <w:bCs/>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660AE">
            <w:pPr>
              <w:spacing w:line="200" w:lineRule="exact"/>
              <w:jc w:val="right"/>
              <w:rPr>
                <w:rFonts w:hint="default" w:ascii="Times New Roman" w:hAnsi="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F5BE5">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226F5">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71508">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0842C">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AFB60">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F1445D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0C371">
            <w:pPr>
              <w:spacing w:line="200" w:lineRule="exact"/>
              <w:jc w:val="center"/>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6B60B">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326.15</w:t>
            </w: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D0E56">
            <w:pPr>
              <w:spacing w:line="200" w:lineRule="exact"/>
              <w:jc w:val="center"/>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ACD32">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326.15</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0FBC5">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326.15</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62670">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25965">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1F45F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9E977">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764F3">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D6998">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1DD2C">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F018B">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5F1AE">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A1219">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9637C4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E6001">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6FE0D">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6739F6">
            <w:pPr>
              <w:spacing w:line="200" w:lineRule="exact"/>
              <w:rPr>
                <w:rFonts w:hint="default" w:ascii="Times New Roman" w:cs="宋体"/>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DC8CD8">
            <w:pPr>
              <w:spacing w:line="200" w:lineRule="exact"/>
              <w:rPr>
                <w:rFonts w:hint="default" w:ascii="Times New Roman" w:hAnsi="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2DED85">
            <w:pPr>
              <w:spacing w:line="200" w:lineRule="exact"/>
              <w:rPr>
                <w:rFonts w:hint="default" w:ascii="Times New Roman" w:hAnsi="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B1BEE8">
            <w:pPr>
              <w:spacing w:line="200" w:lineRule="exact"/>
              <w:rPr>
                <w:rFonts w:hint="default" w:ascii="Times New Roman" w:hAnsi="Times New Roman"/>
                <w:color w:val="auto"/>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DFD9CC">
            <w:pPr>
              <w:spacing w:line="200" w:lineRule="exact"/>
              <w:rPr>
                <w:rFonts w:hint="default" w:ascii="Times New Roman" w:hAnsi="Times New Roman"/>
                <w:color w:val="auto"/>
                <w:sz w:val="18"/>
                <w:szCs w:val="18"/>
                <w:highlight w:val="none"/>
              </w:rPr>
            </w:pPr>
          </w:p>
        </w:tc>
      </w:tr>
      <w:tr w14:paraId="20DAB3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F0352">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DD06B">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E3F2F">
            <w:pPr>
              <w:spacing w:line="200" w:lineRule="exact"/>
              <w:jc w:val="center"/>
              <w:rPr>
                <w:rFonts w:hint="default" w:ascii="Times New Roman" w:cs="宋体"/>
                <w:b/>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F5C60">
            <w:pPr>
              <w:spacing w:line="200" w:lineRule="exact"/>
              <w:jc w:val="right"/>
              <w:rPr>
                <w:rFonts w:hint="default" w:ascii="Times New Roman" w:hAnsi="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E9E55">
            <w:pPr>
              <w:spacing w:line="200" w:lineRule="exact"/>
              <w:jc w:val="right"/>
              <w:rPr>
                <w:rFonts w:hint="default" w:ascii="Times New Roman" w:hAnsi="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9D56A">
            <w:pPr>
              <w:spacing w:line="200" w:lineRule="exact"/>
              <w:jc w:val="right"/>
              <w:rPr>
                <w:rFonts w:hint="default" w:ascii="Times New Roman" w:hAnsi="Times New Roman"/>
                <w:color w:val="auto"/>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6D478">
            <w:pPr>
              <w:spacing w:line="200" w:lineRule="exact"/>
              <w:jc w:val="right"/>
              <w:rPr>
                <w:rFonts w:hint="default" w:ascii="Times New Roman" w:hAnsi="Times New Roman"/>
                <w:color w:val="auto"/>
                <w:sz w:val="18"/>
                <w:szCs w:val="18"/>
                <w:highlight w:val="none"/>
              </w:rPr>
            </w:pPr>
          </w:p>
        </w:tc>
      </w:tr>
      <w:tr w14:paraId="7BD79BC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5FDC">
            <w:pPr>
              <w:spacing w:line="200"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6A1F9">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EEABB">
            <w:pPr>
              <w:spacing w:line="200" w:lineRule="exact"/>
              <w:jc w:val="center"/>
              <w:rPr>
                <w:rFonts w:hint="default" w:ascii="Times New Roman" w:cs="宋体"/>
                <w:b/>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57978">
            <w:pPr>
              <w:spacing w:line="200" w:lineRule="exact"/>
              <w:jc w:val="right"/>
              <w:rPr>
                <w:rFonts w:hint="default" w:ascii="Times New Roman" w:hAnsi="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CB9CF">
            <w:pPr>
              <w:spacing w:line="200" w:lineRule="exact"/>
              <w:jc w:val="right"/>
              <w:rPr>
                <w:rFonts w:hint="default" w:ascii="Times New Roman" w:hAnsi="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14528">
            <w:pPr>
              <w:spacing w:line="200" w:lineRule="exact"/>
              <w:jc w:val="right"/>
              <w:rPr>
                <w:rFonts w:hint="default" w:ascii="Times New Roman" w:hAnsi="Times New Roman"/>
                <w:color w:val="auto"/>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F8DF2">
            <w:pPr>
              <w:spacing w:line="200" w:lineRule="exact"/>
              <w:jc w:val="right"/>
              <w:rPr>
                <w:rFonts w:hint="default" w:ascii="Times New Roman" w:hAnsi="Times New Roman"/>
                <w:color w:val="auto"/>
                <w:sz w:val="18"/>
                <w:szCs w:val="18"/>
                <w:highlight w:val="none"/>
              </w:rPr>
            </w:pPr>
          </w:p>
        </w:tc>
      </w:tr>
      <w:tr w14:paraId="626DB0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9039D">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A2A56">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326.15</w:t>
            </w:r>
            <w:r>
              <w:rPr>
                <w:rFonts w:ascii="Times New Roman" w:hAnsi="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011B3">
            <w:pPr>
              <w:spacing w:line="200"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CAFB6">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326.15</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16DFC">
            <w:pPr>
              <w:wordWrap w:val="0"/>
              <w:spacing w:line="200"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326.15</w:t>
            </w:r>
            <w:r>
              <w:rPr>
                <w:rFonts w:ascii="Times New Roman" w:hAnsi="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B1E5F">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F6D1D">
            <w:pPr>
              <w:wordWrap w:val="0"/>
              <w:spacing w:line="200"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bl>
    <w:p w14:paraId="659EBF4D">
      <w:pPr>
        <w:spacing w:line="240" w:lineRule="exact"/>
        <w:ind w:firstLine="400" w:firstLineChars="200"/>
        <w:rPr>
          <w:rFonts w:hint="default" w:ascii="Times New Roman" w:cs="宋体"/>
          <w:color w:val="auto"/>
          <w:sz w:val="20"/>
          <w:szCs w:val="20"/>
          <w:highlight w:val="none"/>
        </w:rPr>
      </w:pPr>
      <w:r>
        <w:rPr>
          <w:rFonts w:ascii="Times New Roman" w:cs="宋体"/>
          <w:color w:val="auto"/>
          <w:sz w:val="20"/>
          <w:szCs w:val="20"/>
          <w:highlight w:val="none"/>
        </w:rPr>
        <w:t>备注：1.本表反映单位本年度一般公共预算财政拨款、政府性基金预算财政拨款及国有资本经营预算财政拨款的总收支和年末结转结余情况。</w:t>
      </w:r>
      <w:r>
        <w:rPr>
          <w:rFonts w:ascii="Times New Roman" w:cs="宋体"/>
          <w:color w:val="auto"/>
          <w:sz w:val="20"/>
          <w:szCs w:val="20"/>
          <w:highlight w:val="none"/>
        </w:rPr>
        <w:br w:type="textWrapping"/>
      </w:r>
      <w:r>
        <w:rPr>
          <w:rFonts w:ascii="Times New Roman" w:cs="宋体"/>
          <w:color w:val="auto"/>
          <w:sz w:val="20"/>
          <w:szCs w:val="20"/>
          <w:highlight w:val="none"/>
        </w:rPr>
        <w:t xml:space="preserve">      2.本套报表金额单位转换时可能存在尾数误差。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r>
        <w:rPr>
          <w:rFonts w:ascii="Times New Roman" w:cs="宋体"/>
          <w:color w:val="auto"/>
          <w:sz w:val="21"/>
          <w:szCs w:val="21"/>
          <w:highlight w:val="none"/>
        </w:rPr>
        <w:br w:type="page"/>
      </w:r>
    </w:p>
    <w:tbl>
      <w:tblPr>
        <w:tblStyle w:val="10"/>
        <w:tblW w:w="5000" w:type="pct"/>
        <w:tblInd w:w="0" w:type="dxa"/>
        <w:tblLayout w:type="fixed"/>
        <w:tblCellMar>
          <w:top w:w="0" w:type="dxa"/>
          <w:left w:w="0" w:type="dxa"/>
          <w:bottom w:w="0" w:type="dxa"/>
          <w:right w:w="0" w:type="dxa"/>
        </w:tblCellMar>
      </w:tblPr>
      <w:tblGrid>
        <w:gridCol w:w="1171"/>
        <w:gridCol w:w="3656"/>
        <w:gridCol w:w="2967"/>
        <w:gridCol w:w="2959"/>
        <w:gridCol w:w="2999"/>
      </w:tblGrid>
      <w:tr w14:paraId="06316D3C">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8234E14">
            <w:pPr>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一般公共预算财政拨款支出决算表</w:t>
            </w:r>
          </w:p>
        </w:tc>
      </w:tr>
      <w:tr w14:paraId="5EEF49C3">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4D8A3D3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cs="宋体"/>
                <w:color w:val="auto"/>
                <w:sz w:val="20"/>
                <w:szCs w:val="20"/>
                <w:highlight w:val="none"/>
              </w:rPr>
            </w:pPr>
            <w:r>
              <w:rPr>
                <w:rFonts w:ascii="Times New Roman" w:cs="宋体"/>
                <w:color w:val="auto"/>
                <w:sz w:val="20"/>
                <w:szCs w:val="20"/>
                <w:highlight w:val="none"/>
              </w:rPr>
              <w:t>单位：</w:t>
            </w:r>
            <w:r>
              <w:rPr>
                <w:rFonts w:ascii="Times New Roman"/>
                <w:color w:val="auto"/>
                <w:sz w:val="20"/>
                <w:highlight w:val="none"/>
                <w:u w:color="auto"/>
              </w:rPr>
              <w:t>丰都县公共资源交易中心（本级）</w:t>
            </w:r>
          </w:p>
        </w:tc>
        <w:tc>
          <w:tcPr>
            <w:tcW w:w="1076" w:type="pct"/>
            <w:tcBorders>
              <w:top w:val="nil"/>
              <w:left w:val="nil"/>
              <w:bottom w:val="nil"/>
              <w:right w:val="nil"/>
            </w:tcBorders>
            <w:shd w:val="clear" w:color="auto" w:fill="auto"/>
            <w:noWrap/>
            <w:tcMar>
              <w:top w:w="15" w:type="dxa"/>
              <w:left w:w="15" w:type="dxa"/>
              <w:right w:w="15" w:type="dxa"/>
            </w:tcMar>
            <w:vAlign w:val="bottom"/>
          </w:tcPr>
          <w:p w14:paraId="05A6AD58">
            <w:pPr>
              <w:rPr>
                <w:rFonts w:hint="default" w:ascii="Times New Roman" w:cs="宋体"/>
                <w:color w:val="auto"/>
                <w:sz w:val="20"/>
                <w:szCs w:val="20"/>
                <w:highlight w:val="none"/>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B20C8A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05</w:t>
            </w:r>
            <w:r>
              <w:rPr>
                <w:rFonts w:ascii="Times New Roman" w:cs="宋体"/>
                <w:color w:val="auto"/>
                <w:sz w:val="20"/>
                <w:szCs w:val="20"/>
                <w:highlight w:val="none"/>
              </w:rPr>
              <w:t>表</w:t>
            </w:r>
          </w:p>
        </w:tc>
      </w:tr>
      <w:tr w14:paraId="7FD1DA8E">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647A42A3">
            <w:pPr>
              <w:rPr>
                <w:rFonts w:hint="default" w:ascii="Times New Roman" w:cs="宋体"/>
                <w:color w:val="auto"/>
                <w:sz w:val="20"/>
                <w:szCs w:val="20"/>
                <w:highlight w:val="none"/>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3626A777">
            <w:pPr>
              <w:rPr>
                <w:rFonts w:hint="default" w:ascii="Times New Roman" w:cs="宋体"/>
                <w:color w:val="auto"/>
                <w:sz w:val="20"/>
                <w:szCs w:val="20"/>
                <w:highlight w:val="none"/>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1D90612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单位：万元</w:t>
            </w:r>
          </w:p>
        </w:tc>
      </w:tr>
      <w:tr w14:paraId="01D23F75">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EB5B2">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F05F0D">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本年支出</w:t>
            </w:r>
          </w:p>
        </w:tc>
      </w:tr>
      <w:tr w14:paraId="20B521DA">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59649">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650988">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031AA5">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1E8B8A">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51C6B3">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项目支出</w:t>
            </w:r>
          </w:p>
        </w:tc>
      </w:tr>
      <w:tr w14:paraId="5963E5A8">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FDD1A">
            <w:pPr>
              <w:jc w:val="center"/>
              <w:rPr>
                <w:rFonts w:hint="default" w:ascii="Times New Roman" w:cs="宋体"/>
                <w:b/>
                <w:color w:val="auto"/>
                <w:sz w:val="20"/>
                <w:szCs w:val="20"/>
                <w:highlight w:val="none"/>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D12BC9">
            <w:pPr>
              <w:jc w:val="center"/>
              <w:rPr>
                <w:rFonts w:hint="default" w:ascii="Times New Roman" w:cs="宋体"/>
                <w:b/>
                <w:color w:val="auto"/>
                <w:sz w:val="20"/>
                <w:szCs w:val="20"/>
                <w:highlight w:val="none"/>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FECFF0">
            <w:pPr>
              <w:jc w:val="center"/>
              <w:rPr>
                <w:rFonts w:hint="default" w:ascii="Times New Roman" w:cs="宋体"/>
                <w:b/>
                <w:color w:val="auto"/>
                <w:sz w:val="20"/>
                <w:szCs w:val="20"/>
                <w:highlight w:val="none"/>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A9CDA6">
            <w:pPr>
              <w:jc w:val="center"/>
              <w:rPr>
                <w:rFonts w:hint="default" w:ascii="Times New Roman" w:cs="宋体"/>
                <w:b/>
                <w:color w:val="auto"/>
                <w:sz w:val="20"/>
                <w:szCs w:val="20"/>
                <w:highlight w:val="none"/>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31FC2">
            <w:pPr>
              <w:jc w:val="center"/>
              <w:rPr>
                <w:rFonts w:hint="default" w:ascii="Times New Roman" w:cs="宋体"/>
                <w:b/>
                <w:color w:val="auto"/>
                <w:sz w:val="20"/>
                <w:szCs w:val="20"/>
                <w:highlight w:val="none"/>
              </w:rPr>
            </w:pPr>
          </w:p>
        </w:tc>
      </w:tr>
      <w:tr w14:paraId="7ACDFF69">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45B37">
            <w:pPr>
              <w:jc w:val="center"/>
              <w:rPr>
                <w:rFonts w:hint="default" w:ascii="Times New Roman" w:cs="宋体"/>
                <w:b/>
                <w:color w:val="auto"/>
                <w:sz w:val="20"/>
                <w:szCs w:val="20"/>
                <w:highlight w:val="none"/>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56EA7C">
            <w:pPr>
              <w:jc w:val="center"/>
              <w:rPr>
                <w:rFonts w:hint="default" w:ascii="Times New Roman" w:cs="宋体"/>
                <w:b/>
                <w:color w:val="auto"/>
                <w:sz w:val="20"/>
                <w:szCs w:val="20"/>
                <w:highlight w:val="none"/>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59092B">
            <w:pPr>
              <w:jc w:val="center"/>
              <w:rPr>
                <w:rFonts w:hint="default" w:ascii="Times New Roman" w:cs="宋体"/>
                <w:b/>
                <w:color w:val="auto"/>
                <w:sz w:val="20"/>
                <w:szCs w:val="20"/>
                <w:highlight w:val="none"/>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47D5D1">
            <w:pPr>
              <w:jc w:val="center"/>
              <w:rPr>
                <w:rFonts w:hint="default" w:ascii="Times New Roman" w:cs="宋体"/>
                <w:b/>
                <w:color w:val="auto"/>
                <w:sz w:val="20"/>
                <w:szCs w:val="20"/>
                <w:highlight w:val="none"/>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AE343B">
            <w:pPr>
              <w:jc w:val="center"/>
              <w:rPr>
                <w:rFonts w:hint="default" w:ascii="Times New Roman" w:cs="宋体"/>
                <w:b/>
                <w:color w:val="auto"/>
                <w:sz w:val="20"/>
                <w:szCs w:val="20"/>
                <w:highlight w:val="none"/>
              </w:rPr>
            </w:pPr>
          </w:p>
        </w:tc>
      </w:tr>
      <w:tr w14:paraId="12D8588B">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39A49">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0CFE9">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326.15</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16C18">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304.53</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1A4D4">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21.62</w:t>
            </w:r>
            <w:r>
              <w:rPr>
                <w:rFonts w:ascii="Times New Roman" w:hAnsi="Times New Roman"/>
                <w:b/>
                <w:color w:val="auto"/>
                <w:sz w:val="20"/>
                <w:highlight w:val="none"/>
                <w:u w:color="auto"/>
              </w:rPr>
              <w:t xml:space="preserve"> </w:t>
            </w:r>
          </w:p>
        </w:tc>
      </w:tr>
      <w:tr w14:paraId="76ECFD1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314D4">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12153">
            <w:pPr>
              <w:textAlignment w:val="center"/>
              <w:rPr>
                <w:rFonts w:hint="default" w:ascii="Times New Roman" w:cs="宋体"/>
                <w:color w:val="auto"/>
                <w:sz w:val="20"/>
                <w:szCs w:val="20"/>
                <w:highlight w:val="none"/>
              </w:rPr>
            </w:pPr>
            <w:r>
              <w:rPr>
                <w:rFonts w:ascii="Times New Roman" w:cs="宋体"/>
                <w:b/>
                <w:color w:val="auto"/>
                <w:sz w:val="20"/>
                <w:szCs w:val="20"/>
                <w:highlight w:val="none"/>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D4C44">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251.86</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4DC0E">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230.24</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3F64A">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21.62</w:t>
            </w:r>
            <w:r>
              <w:rPr>
                <w:rFonts w:ascii="Times New Roman" w:hAnsi="Times New Roman"/>
                <w:b/>
                <w:color w:val="auto"/>
                <w:sz w:val="20"/>
                <w:highlight w:val="none"/>
                <w:u w:color="auto"/>
              </w:rPr>
              <w:t xml:space="preserve"> </w:t>
            </w:r>
          </w:p>
        </w:tc>
      </w:tr>
      <w:tr w14:paraId="6C9DF58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840BE">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91280">
            <w:pPr>
              <w:textAlignment w:val="center"/>
              <w:rPr>
                <w:rFonts w:hint="default" w:ascii="Times New Roman" w:cs="宋体"/>
                <w:color w:val="auto"/>
                <w:sz w:val="20"/>
                <w:szCs w:val="20"/>
                <w:highlight w:val="none"/>
              </w:rPr>
            </w:pPr>
            <w:r>
              <w:rPr>
                <w:rFonts w:ascii="Times New Roman" w:cs="宋体"/>
                <w:b/>
                <w:color w:val="auto"/>
                <w:sz w:val="20"/>
                <w:szCs w:val="20"/>
                <w:highlight w:val="none"/>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719AB">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251.86</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EAAC3">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230.24</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D442E">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21.62</w:t>
            </w:r>
            <w:r>
              <w:rPr>
                <w:rFonts w:ascii="Times New Roman" w:hAnsi="Times New Roman"/>
                <w:b/>
                <w:color w:val="auto"/>
                <w:sz w:val="20"/>
                <w:highlight w:val="none"/>
                <w:u w:color="auto"/>
              </w:rPr>
              <w:t xml:space="preserve"> </w:t>
            </w:r>
          </w:p>
        </w:tc>
      </w:tr>
      <w:tr w14:paraId="12A4562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26864">
            <w:pPr>
              <w:textAlignment w:val="center"/>
              <w:rPr>
                <w:rFonts w:hint="default" w:ascii="Times New Roman" w:cs="宋体"/>
                <w:color w:val="auto"/>
                <w:sz w:val="20"/>
                <w:szCs w:val="20"/>
                <w:highlight w:val="none"/>
              </w:rPr>
            </w:pPr>
            <w:r>
              <w:rPr>
                <w:rFonts w:ascii="Times New Roman" w:cs="宋体"/>
                <w:color w:val="auto"/>
                <w:sz w:val="20"/>
                <w:szCs w:val="20"/>
                <w:highlight w:val="none"/>
              </w:rPr>
              <w:t>2010399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0D05F">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其他政府办公厅（室）及相关机构事务支出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45A70">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251.86</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A0950">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230.24</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8FC5E">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21.62</w:t>
            </w:r>
            <w:r>
              <w:rPr>
                <w:rFonts w:ascii="Times New Roman" w:hAnsi="Times New Roman"/>
                <w:color w:val="auto"/>
                <w:sz w:val="20"/>
                <w:highlight w:val="none"/>
                <w:u w:color="auto"/>
              </w:rPr>
              <w:t xml:space="preserve"> </w:t>
            </w:r>
          </w:p>
        </w:tc>
      </w:tr>
      <w:tr w14:paraId="5F02B3C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D2170">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CAB4B">
            <w:pPr>
              <w:textAlignment w:val="center"/>
              <w:rPr>
                <w:rFonts w:hint="default" w:ascii="Times New Roman" w:cs="宋体"/>
                <w:color w:val="auto"/>
                <w:sz w:val="20"/>
                <w:szCs w:val="20"/>
                <w:highlight w:val="none"/>
              </w:rPr>
            </w:pPr>
            <w:r>
              <w:rPr>
                <w:rFonts w:ascii="Times New Roman" w:cs="宋体"/>
                <w:b/>
                <w:color w:val="auto"/>
                <w:sz w:val="20"/>
                <w:szCs w:val="20"/>
                <w:highlight w:val="none"/>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68A37">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47.49</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3DF54">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47.49</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58D6B">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139B51F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8884E">
            <w:pPr>
              <w:textAlignment w:val="center"/>
              <w:rPr>
                <w:rFonts w:hint="default" w:ascii="Times New Roman" w:cs="宋体"/>
                <w:color w:val="auto"/>
                <w:sz w:val="20"/>
                <w:szCs w:val="20"/>
                <w:highlight w:val="none"/>
              </w:rPr>
            </w:pPr>
            <w:r>
              <w:rPr>
                <w:rFonts w:ascii="Times New Roman" w:cs="宋体"/>
                <w:b/>
                <w:color w:val="auto"/>
                <w:sz w:val="20"/>
                <w:szCs w:val="20"/>
                <w:highlight w:val="none"/>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EED68">
            <w:pPr>
              <w:textAlignment w:val="center"/>
              <w:rPr>
                <w:rFonts w:hint="default" w:ascii="Times New Roman" w:cs="宋体"/>
                <w:color w:val="auto"/>
                <w:sz w:val="20"/>
                <w:szCs w:val="20"/>
                <w:highlight w:val="none"/>
              </w:rPr>
            </w:pPr>
            <w:r>
              <w:rPr>
                <w:rFonts w:ascii="Times New Roman" w:cs="宋体"/>
                <w:b/>
                <w:color w:val="auto"/>
                <w:sz w:val="20"/>
                <w:szCs w:val="20"/>
                <w:highlight w:val="none"/>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77BC3">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47.49</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A32D6">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47.49</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BB81F">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1DF59F7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E7980">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CA0BB">
            <w:pPr>
              <w:textAlignment w:val="center"/>
              <w:rPr>
                <w:rFonts w:hint="default" w:ascii="Times New Roman" w:cs="宋体"/>
                <w:color w:val="auto"/>
                <w:sz w:val="20"/>
                <w:szCs w:val="20"/>
                <w:highlight w:val="none"/>
              </w:rPr>
            </w:pPr>
            <w:r>
              <w:rPr>
                <w:rFonts w:ascii="Times New Roman" w:cs="宋体"/>
                <w:color w:val="auto"/>
                <w:sz w:val="20"/>
                <w:szCs w:val="20"/>
                <w:highlight w:val="none"/>
              </w:rPr>
              <w:t>事业单位离退休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99660">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4.14</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CEE5B">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4.14</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4E7B7">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3BA2758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7162C">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1AA64">
            <w:pPr>
              <w:textAlignment w:val="center"/>
              <w:rPr>
                <w:rFonts w:hint="default" w:ascii="Times New Roman" w:cs="宋体"/>
                <w:color w:val="auto"/>
                <w:sz w:val="20"/>
                <w:szCs w:val="20"/>
                <w:highlight w:val="none"/>
              </w:rPr>
            </w:pPr>
            <w:r>
              <w:rPr>
                <w:rFonts w:ascii="Times New Roman" w:cs="宋体"/>
                <w:color w:val="auto"/>
                <w:sz w:val="20"/>
                <w:szCs w:val="20"/>
                <w:highlight w:val="none"/>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7CF63">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26.35</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06716">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26.35</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35A0B">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3CB37CE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16BE4">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91942">
            <w:pPr>
              <w:textAlignment w:val="center"/>
              <w:rPr>
                <w:rFonts w:hint="default" w:ascii="Times New Roman" w:cs="宋体"/>
                <w:color w:val="auto"/>
                <w:sz w:val="20"/>
                <w:szCs w:val="20"/>
                <w:highlight w:val="none"/>
              </w:rPr>
            </w:pPr>
            <w:r>
              <w:rPr>
                <w:rFonts w:ascii="Times New Roman" w:cs="宋体"/>
                <w:color w:val="auto"/>
                <w:sz w:val="20"/>
                <w:szCs w:val="20"/>
                <w:highlight w:val="none"/>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6CF75">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15.00</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7E556">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15.00</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0CF8C">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46EBC29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9E49A">
            <w:pPr>
              <w:textAlignment w:val="center"/>
              <w:rPr>
                <w:rFonts w:hint="default" w:ascii="Times New Roman" w:cs="宋体"/>
                <w:color w:val="auto"/>
                <w:sz w:val="20"/>
                <w:szCs w:val="20"/>
                <w:highlight w:val="none"/>
              </w:rPr>
            </w:pPr>
            <w:r>
              <w:rPr>
                <w:rFonts w:ascii="Times New Roman" w:cs="宋体"/>
                <w:color w:val="auto"/>
                <w:sz w:val="20"/>
                <w:szCs w:val="20"/>
                <w:highlight w:val="none"/>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B8395">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FCD99">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2.00</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FC96A">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2.00</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8B382">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08C0937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10513">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3D770">
            <w:pPr>
              <w:textAlignment w:val="center"/>
              <w:rPr>
                <w:rFonts w:hint="default" w:ascii="Times New Roman" w:cs="宋体"/>
                <w:color w:val="auto"/>
                <w:sz w:val="20"/>
                <w:szCs w:val="20"/>
                <w:highlight w:val="none"/>
              </w:rPr>
            </w:pPr>
            <w:r>
              <w:rPr>
                <w:rFonts w:ascii="Times New Roman" w:cs="宋体"/>
                <w:b/>
                <w:color w:val="auto"/>
                <w:sz w:val="20"/>
                <w:szCs w:val="20"/>
                <w:highlight w:val="none"/>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10B93">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13.76</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AE456">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13.76</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7D8DC">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1D2374F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6DE60">
            <w:pPr>
              <w:textAlignment w:val="center"/>
              <w:rPr>
                <w:rFonts w:hint="default" w:ascii="Times New Roman" w:cs="宋体"/>
                <w:color w:val="auto"/>
                <w:sz w:val="20"/>
                <w:szCs w:val="20"/>
                <w:highlight w:val="none"/>
              </w:rPr>
            </w:pPr>
            <w:r>
              <w:rPr>
                <w:rFonts w:ascii="Times New Roman" w:cs="宋体"/>
                <w:b/>
                <w:color w:val="auto"/>
                <w:sz w:val="20"/>
                <w:szCs w:val="20"/>
                <w:highlight w:val="none"/>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B16EF">
            <w:pPr>
              <w:textAlignment w:val="center"/>
              <w:rPr>
                <w:rFonts w:hint="default" w:ascii="Times New Roman" w:cs="宋体"/>
                <w:color w:val="auto"/>
                <w:sz w:val="20"/>
                <w:szCs w:val="20"/>
                <w:highlight w:val="none"/>
              </w:rPr>
            </w:pPr>
            <w:r>
              <w:rPr>
                <w:rFonts w:ascii="Times New Roman" w:cs="宋体"/>
                <w:b/>
                <w:color w:val="auto"/>
                <w:sz w:val="20"/>
                <w:szCs w:val="20"/>
                <w:highlight w:val="none"/>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733B6">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13.76</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B26D3">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13.76</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1E4B1">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6E65CB5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5163D">
            <w:pPr>
              <w:textAlignment w:val="center"/>
              <w:rPr>
                <w:rFonts w:hint="default" w:ascii="Times New Roman" w:cs="宋体"/>
                <w:color w:val="auto"/>
                <w:sz w:val="20"/>
                <w:szCs w:val="20"/>
                <w:highlight w:val="none"/>
              </w:rPr>
            </w:pPr>
            <w:r>
              <w:rPr>
                <w:rFonts w:ascii="Times New Roman" w:cs="宋体"/>
                <w:color w:val="auto"/>
                <w:sz w:val="20"/>
                <w:szCs w:val="20"/>
                <w:highlight w:val="none"/>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9B849">
            <w:pPr>
              <w:textAlignment w:val="center"/>
              <w:rPr>
                <w:rFonts w:hint="default" w:ascii="Times New Roman" w:cs="宋体"/>
                <w:color w:val="auto"/>
                <w:sz w:val="20"/>
                <w:szCs w:val="20"/>
                <w:highlight w:val="none"/>
              </w:rPr>
            </w:pPr>
            <w:r>
              <w:rPr>
                <w:rFonts w:ascii="Times New Roman" w:cs="宋体"/>
                <w:color w:val="auto"/>
                <w:sz w:val="20"/>
                <w:szCs w:val="20"/>
                <w:highlight w:val="none"/>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C4524">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9.15</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379A7">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9.15</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11B78">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36A0828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6F621">
            <w:pPr>
              <w:textAlignment w:val="center"/>
              <w:rPr>
                <w:rFonts w:hint="default" w:ascii="Times New Roman" w:cs="宋体"/>
                <w:color w:val="auto"/>
                <w:sz w:val="20"/>
                <w:szCs w:val="20"/>
                <w:highlight w:val="none"/>
              </w:rPr>
            </w:pPr>
            <w:r>
              <w:rPr>
                <w:rFonts w:ascii="Times New Roman" w:cs="宋体"/>
                <w:color w:val="auto"/>
                <w:sz w:val="20"/>
                <w:szCs w:val="20"/>
                <w:highlight w:val="none"/>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97D36">
            <w:pPr>
              <w:textAlignment w:val="center"/>
              <w:rPr>
                <w:rFonts w:hint="default" w:ascii="Times New Roman" w:cs="宋体"/>
                <w:color w:val="auto"/>
                <w:sz w:val="20"/>
                <w:szCs w:val="20"/>
                <w:highlight w:val="none"/>
              </w:rPr>
            </w:pPr>
            <w:r>
              <w:rPr>
                <w:rFonts w:ascii="Times New Roman" w:cs="宋体"/>
                <w:color w:val="auto"/>
                <w:sz w:val="20"/>
                <w:szCs w:val="20"/>
                <w:highlight w:val="none"/>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34855">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4.61</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02496">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4.61</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64F7E">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r w14:paraId="248A4BD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8A61B">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1D364">
            <w:pPr>
              <w:textAlignment w:val="center"/>
              <w:rPr>
                <w:rFonts w:hint="default" w:ascii="Times New Roman" w:cs="宋体"/>
                <w:color w:val="auto"/>
                <w:sz w:val="20"/>
                <w:szCs w:val="20"/>
                <w:highlight w:val="none"/>
              </w:rPr>
            </w:pPr>
            <w:r>
              <w:rPr>
                <w:rFonts w:ascii="Times New Roman" w:cs="宋体"/>
                <w:b/>
                <w:color w:val="auto"/>
                <w:sz w:val="20"/>
                <w:szCs w:val="20"/>
                <w:highlight w:val="none"/>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CF779">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13.03</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5D6A1">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13.03</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4CD98">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28D5C13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D5ABE">
            <w:pPr>
              <w:textAlignment w:val="center"/>
              <w:rPr>
                <w:rFonts w:hint="default" w:ascii="Times New Roman" w:cs="宋体"/>
                <w:color w:val="auto"/>
                <w:sz w:val="20"/>
                <w:szCs w:val="20"/>
                <w:highlight w:val="none"/>
              </w:rPr>
            </w:pPr>
            <w:r>
              <w:rPr>
                <w:rFonts w:ascii="Times New Roman" w:cs="宋体"/>
                <w:b/>
                <w:color w:val="auto"/>
                <w:sz w:val="20"/>
                <w:szCs w:val="20"/>
                <w:highlight w:val="none"/>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3D10A">
            <w:pPr>
              <w:textAlignment w:val="center"/>
              <w:rPr>
                <w:rFonts w:hint="default" w:ascii="Times New Roman" w:cs="宋体"/>
                <w:color w:val="auto"/>
                <w:sz w:val="20"/>
                <w:szCs w:val="20"/>
                <w:highlight w:val="none"/>
              </w:rPr>
            </w:pPr>
            <w:r>
              <w:rPr>
                <w:rFonts w:ascii="Times New Roman" w:cs="宋体"/>
                <w:b/>
                <w:color w:val="auto"/>
                <w:sz w:val="20"/>
                <w:szCs w:val="20"/>
                <w:highlight w:val="none"/>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832EF">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13.03</w:t>
            </w:r>
            <w:r>
              <w:rPr>
                <w:rFonts w:ascii="Times New Roman" w:hAnsi="Times New Roman"/>
                <w:b/>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EDD52">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13.03</w:t>
            </w:r>
            <w:r>
              <w:rPr>
                <w:rFonts w:ascii="Times New Roman" w:hAnsi="Times New Roman"/>
                <w:b/>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DEA45">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color w:val="auto"/>
                <w:sz w:val="20"/>
                <w:szCs w:val="20"/>
                <w:highlight w:val="none"/>
              </w:rPr>
              <w:t>0.00</w:t>
            </w:r>
            <w:r>
              <w:rPr>
                <w:rFonts w:ascii="Times New Roman" w:hAnsi="Times New Roman"/>
                <w:b/>
                <w:color w:val="auto"/>
                <w:sz w:val="20"/>
                <w:highlight w:val="none"/>
                <w:u w:color="auto"/>
              </w:rPr>
              <w:t xml:space="preserve"> </w:t>
            </w:r>
          </w:p>
        </w:tc>
      </w:tr>
      <w:tr w14:paraId="3DF1864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E33F7">
            <w:pPr>
              <w:textAlignment w:val="center"/>
              <w:rPr>
                <w:rFonts w:hint="default" w:ascii="Times New Roman" w:cs="宋体"/>
                <w:color w:val="auto"/>
                <w:sz w:val="20"/>
                <w:szCs w:val="20"/>
                <w:highlight w:val="none"/>
              </w:rPr>
            </w:pPr>
            <w:r>
              <w:rPr>
                <w:rFonts w:ascii="Times New Roman" w:cs="宋体"/>
                <w:color w:val="auto"/>
                <w:sz w:val="20"/>
                <w:szCs w:val="20"/>
                <w:highlight w:val="none"/>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E6846">
            <w:pPr>
              <w:textAlignment w:val="center"/>
              <w:rPr>
                <w:rFonts w:hint="default" w:ascii="Times New Roman" w:cs="宋体"/>
                <w:color w:val="auto"/>
                <w:sz w:val="20"/>
                <w:szCs w:val="20"/>
                <w:highlight w:val="none"/>
              </w:rPr>
            </w:pPr>
            <w:r>
              <w:rPr>
                <w:rFonts w:ascii="Times New Roman" w:cs="宋体"/>
                <w:color w:val="auto"/>
                <w:sz w:val="20"/>
                <w:szCs w:val="20"/>
                <w:highlight w:val="none"/>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CD56F">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13.03</w:t>
            </w:r>
            <w:r>
              <w:rPr>
                <w:rFonts w:ascii="Times New Roman" w:hAnsi="Times New Roman"/>
                <w:color w:val="auto"/>
                <w:sz w:val="20"/>
                <w:highlight w:val="none"/>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10448">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13.03</w:t>
            </w:r>
            <w:r>
              <w:rPr>
                <w:rFonts w:ascii="Times New Roman" w:hAnsi="Times New Roman"/>
                <w:color w:val="auto"/>
                <w:sz w:val="20"/>
                <w:highlight w:val="none"/>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0C728">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bl>
    <w:p w14:paraId="101335FE">
      <w:pPr>
        <w:ind w:firstLine="400" w:firstLineChars="200"/>
        <w:rPr>
          <w:rFonts w:hint="default" w:ascii="Times New Roman" w:cs="宋体"/>
          <w:color w:val="auto"/>
          <w:sz w:val="21"/>
          <w:szCs w:val="21"/>
          <w:highlight w:val="none"/>
        </w:rPr>
      </w:pPr>
      <w:r>
        <w:rPr>
          <w:rFonts w:ascii="Times New Roman" w:cs="宋体"/>
          <w:color w:val="auto"/>
          <w:sz w:val="20"/>
          <w:szCs w:val="20"/>
          <w:highlight w:val="none"/>
        </w:rPr>
        <w:t>备注：1.本表反映单位本年度一般公共预算财政拨款支出情况。</w:t>
      </w:r>
      <w:r>
        <w:rPr>
          <w:rFonts w:ascii="Times New Roman" w:cs="宋体"/>
          <w:color w:val="auto"/>
          <w:sz w:val="20"/>
          <w:szCs w:val="20"/>
          <w:highlight w:val="none"/>
        </w:rPr>
        <w:br w:type="textWrapping"/>
      </w:r>
      <w:r>
        <w:rPr>
          <w:rFonts w:ascii="Times New Roman" w:cs="宋体"/>
          <w:color w:val="auto"/>
          <w:sz w:val="20"/>
          <w:szCs w:val="20"/>
          <w:highlight w:val="none"/>
        </w:rPr>
        <w:t xml:space="preserve">      2.本套报表金额单位转换时可能存在尾数误差。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p>
    <w:p w14:paraId="4FCFC8C0">
      <w:pPr>
        <w:ind w:firstLine="420" w:firstLineChars="200"/>
        <w:rPr>
          <w:rFonts w:hint="default" w:ascii="Times New Roman" w:cs="宋体"/>
          <w:color w:val="auto"/>
          <w:sz w:val="21"/>
          <w:szCs w:val="21"/>
          <w:highlight w:val="none"/>
        </w:rPr>
      </w:pPr>
      <w:r>
        <w:rPr>
          <w:rFonts w:ascii="Times New Roman" w:cs="宋体"/>
          <w:color w:val="auto"/>
          <w:sz w:val="21"/>
          <w:szCs w:val="21"/>
          <w:highlight w:val="none"/>
        </w:rPr>
        <w:br w:type="page"/>
      </w:r>
    </w:p>
    <w:tbl>
      <w:tblPr>
        <w:tblStyle w:val="10"/>
        <w:tblW w:w="4994" w:type="pct"/>
        <w:tblInd w:w="0" w:type="dxa"/>
        <w:tblLayout w:type="fixed"/>
        <w:tblCellMar>
          <w:top w:w="0" w:type="dxa"/>
          <w:left w:w="0" w:type="dxa"/>
          <w:bottom w:w="0" w:type="dxa"/>
          <w:right w:w="0" w:type="dxa"/>
        </w:tblCellMar>
      </w:tblPr>
      <w:tblGrid>
        <w:gridCol w:w="721"/>
        <w:gridCol w:w="2521"/>
        <w:gridCol w:w="1383"/>
        <w:gridCol w:w="783"/>
        <w:gridCol w:w="1824"/>
        <w:gridCol w:w="1273"/>
        <w:gridCol w:w="783"/>
        <w:gridCol w:w="3108"/>
        <w:gridCol w:w="1339"/>
      </w:tblGrid>
      <w:tr w14:paraId="0C7F6093">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1DFD5BA">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一般公共预算财政拨款基本支出决算表</w:t>
            </w:r>
          </w:p>
        </w:tc>
      </w:tr>
      <w:tr w14:paraId="6043F7BC">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3E2A346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cs="宋体"/>
                <w:color w:val="auto"/>
                <w:sz w:val="18"/>
                <w:szCs w:val="18"/>
                <w:highlight w:val="none"/>
              </w:rPr>
            </w:pPr>
            <w:r>
              <w:rPr>
                <w:rFonts w:ascii="Times New Roman" w:cs="宋体"/>
                <w:color w:val="auto"/>
                <w:sz w:val="20"/>
                <w:szCs w:val="20"/>
                <w:highlight w:val="none"/>
              </w:rPr>
              <w:t>单位：</w:t>
            </w:r>
            <w:r>
              <w:rPr>
                <w:rFonts w:ascii="Times New Roman"/>
                <w:color w:val="auto"/>
                <w:sz w:val="20"/>
                <w:highlight w:val="none"/>
                <w:u w:color="auto"/>
              </w:rPr>
              <w:t>丰都县公共资源交易中心（本级）</w:t>
            </w:r>
          </w:p>
        </w:tc>
        <w:tc>
          <w:tcPr>
            <w:tcW w:w="463" w:type="pct"/>
            <w:tcBorders>
              <w:top w:val="nil"/>
              <w:left w:val="nil"/>
              <w:bottom w:val="nil"/>
              <w:right w:val="nil"/>
            </w:tcBorders>
            <w:shd w:val="clear" w:color="auto" w:fill="auto"/>
            <w:noWrap/>
            <w:tcMar>
              <w:top w:w="15" w:type="dxa"/>
              <w:left w:w="15" w:type="dxa"/>
              <w:right w:w="15" w:type="dxa"/>
            </w:tcMar>
            <w:vAlign w:val="bottom"/>
          </w:tcPr>
          <w:p w14:paraId="6745A30E">
            <w:pPr>
              <w:keepNext w:val="0"/>
              <w:keepLines w:val="0"/>
              <w:pageBreakBefore w:val="0"/>
              <w:widowControl/>
              <w:kinsoku/>
              <w:wordWrap/>
              <w:overflowPunct/>
              <w:topLinePunct w:val="0"/>
              <w:autoSpaceDE/>
              <w:autoSpaceDN/>
              <w:bidi w:val="0"/>
              <w:adjustRightInd/>
              <w:snapToGrid/>
              <w:spacing w:line="200" w:lineRule="exact"/>
              <w:rPr>
                <w:rFonts w:hint="default" w:ascii="Times New Roman" w:cs="宋体"/>
                <w:color w:val="auto"/>
                <w:sz w:val="18"/>
                <w:szCs w:val="18"/>
                <w:highlight w:val="none"/>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6E2790E2">
            <w:pPr>
              <w:keepNext w:val="0"/>
              <w:keepLines w:val="0"/>
              <w:pageBreakBefore w:val="0"/>
              <w:widowControl/>
              <w:kinsoku/>
              <w:wordWrap/>
              <w:overflowPunct/>
              <w:topLinePunct w:val="0"/>
              <w:autoSpaceDE/>
              <w:autoSpaceDN/>
              <w:bidi w:val="0"/>
              <w:adjustRightInd/>
              <w:snapToGrid/>
              <w:spacing w:line="200" w:lineRule="exact"/>
              <w:rPr>
                <w:rFonts w:hint="default" w:ascii="Times New Roman" w:cs="宋体"/>
                <w:color w:val="auto"/>
                <w:sz w:val="18"/>
                <w:szCs w:val="18"/>
                <w:highlight w:val="none"/>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3EB5F054">
            <w:pPr>
              <w:keepNext w:val="0"/>
              <w:keepLines w:val="0"/>
              <w:pageBreakBefore w:val="0"/>
              <w:widowControl/>
              <w:kinsoku/>
              <w:wordWrap/>
              <w:overflowPunct/>
              <w:topLinePunct w:val="0"/>
              <w:autoSpaceDE/>
              <w:autoSpaceDN/>
              <w:bidi w:val="0"/>
              <w:adjustRightInd/>
              <w:snapToGrid/>
              <w:spacing w:line="200" w:lineRule="exact"/>
              <w:rPr>
                <w:rFonts w:hint="default" w:ascii="Times New Roman" w:cs="宋体"/>
                <w:color w:val="auto"/>
                <w:sz w:val="18"/>
                <w:szCs w:val="18"/>
                <w:highlight w:val="none"/>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37F8B2F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06</w:t>
            </w:r>
            <w:r>
              <w:rPr>
                <w:rFonts w:ascii="Times New Roman" w:cs="宋体"/>
                <w:color w:val="auto"/>
                <w:sz w:val="20"/>
                <w:szCs w:val="20"/>
                <w:highlight w:val="none"/>
              </w:rPr>
              <w:t>表</w:t>
            </w:r>
          </w:p>
        </w:tc>
      </w:tr>
      <w:tr w14:paraId="742A9BDD">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54ABACE4">
            <w:pPr>
              <w:keepNext w:val="0"/>
              <w:keepLines w:val="0"/>
              <w:pageBreakBefore w:val="0"/>
              <w:widowControl/>
              <w:kinsoku/>
              <w:wordWrap/>
              <w:overflowPunct/>
              <w:topLinePunct w:val="0"/>
              <w:autoSpaceDE/>
              <w:autoSpaceDN/>
              <w:bidi w:val="0"/>
              <w:adjustRightInd/>
              <w:snapToGrid/>
              <w:spacing w:line="200" w:lineRule="exact"/>
              <w:rPr>
                <w:rFonts w:hint="default" w:ascii="Times New Roman" w:cs="宋体"/>
                <w:color w:val="auto"/>
                <w:sz w:val="18"/>
                <w:szCs w:val="18"/>
                <w:highlight w:val="none"/>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0D10BE1F">
            <w:pPr>
              <w:keepNext w:val="0"/>
              <w:keepLines w:val="0"/>
              <w:pageBreakBefore w:val="0"/>
              <w:widowControl/>
              <w:kinsoku/>
              <w:wordWrap/>
              <w:overflowPunct/>
              <w:topLinePunct w:val="0"/>
              <w:autoSpaceDE/>
              <w:autoSpaceDN/>
              <w:bidi w:val="0"/>
              <w:adjustRightInd/>
              <w:snapToGrid/>
              <w:spacing w:line="200" w:lineRule="exact"/>
              <w:rPr>
                <w:rFonts w:hint="default" w:ascii="Times New Roman" w:cs="宋体"/>
                <w:color w:val="auto"/>
                <w:sz w:val="18"/>
                <w:szCs w:val="18"/>
                <w:highlight w:val="none"/>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89469AA">
            <w:pPr>
              <w:keepNext w:val="0"/>
              <w:keepLines w:val="0"/>
              <w:pageBreakBefore w:val="0"/>
              <w:widowControl/>
              <w:kinsoku/>
              <w:wordWrap/>
              <w:overflowPunct/>
              <w:topLinePunct w:val="0"/>
              <w:autoSpaceDE/>
              <w:autoSpaceDN/>
              <w:bidi w:val="0"/>
              <w:adjustRightInd/>
              <w:snapToGrid/>
              <w:spacing w:line="200" w:lineRule="exact"/>
              <w:rPr>
                <w:rFonts w:hint="default" w:ascii="Times New Roman" w:cs="宋体"/>
                <w:color w:val="auto"/>
                <w:sz w:val="18"/>
                <w:szCs w:val="18"/>
                <w:highlight w:val="none"/>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25D4BC32">
            <w:pPr>
              <w:keepNext w:val="0"/>
              <w:keepLines w:val="0"/>
              <w:pageBreakBefore w:val="0"/>
              <w:widowControl/>
              <w:kinsoku/>
              <w:wordWrap/>
              <w:overflowPunct/>
              <w:topLinePunct w:val="0"/>
              <w:autoSpaceDE/>
              <w:autoSpaceDN/>
              <w:bidi w:val="0"/>
              <w:adjustRightInd/>
              <w:snapToGrid/>
              <w:spacing w:line="200" w:lineRule="exact"/>
              <w:rPr>
                <w:rFonts w:hint="default" w:ascii="Times New Roman" w:cs="宋体"/>
                <w:color w:val="auto"/>
                <w:sz w:val="18"/>
                <w:szCs w:val="18"/>
                <w:highlight w:val="none"/>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2731C0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单位：万元</w:t>
            </w:r>
          </w:p>
        </w:tc>
      </w:tr>
      <w:tr w14:paraId="3975ADBA">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92FE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74C90A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公用经费</w:t>
            </w:r>
          </w:p>
        </w:tc>
      </w:tr>
      <w:tr w14:paraId="0AA6F637">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C40F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4874A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经济分类科目（</w:t>
            </w:r>
            <w:r>
              <w:rPr>
                <w:rFonts w:hint="eastAsia" w:ascii="Times New Roman" w:cs="宋体"/>
                <w:b/>
                <w:color w:val="auto"/>
                <w:sz w:val="18"/>
                <w:szCs w:val="18"/>
                <w:highlight w:val="none"/>
                <w:lang w:eastAsia="zh-CN"/>
              </w:rPr>
              <w:t>按“款”级经济分类科目</w:t>
            </w:r>
            <w:r>
              <w:rPr>
                <w:rFonts w:ascii="Times New Roman" w:cs="宋体"/>
                <w:b/>
                <w:color w:val="auto"/>
                <w:sz w:val="18"/>
                <w:szCs w:val="18"/>
                <w:highlight w:val="none"/>
              </w:rPr>
              <w:t>）</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95C24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E713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B12BB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经济分类科目（</w:t>
            </w:r>
            <w:r>
              <w:rPr>
                <w:rFonts w:hint="eastAsia" w:ascii="Times New Roman" w:cs="宋体"/>
                <w:b/>
                <w:color w:val="auto"/>
                <w:sz w:val="18"/>
                <w:szCs w:val="18"/>
                <w:highlight w:val="none"/>
                <w:lang w:eastAsia="zh-CN"/>
              </w:rPr>
              <w:t>按“款”级经济分类科目</w:t>
            </w:r>
            <w:r>
              <w:rPr>
                <w:rFonts w:ascii="Times New Roman" w:cs="宋体"/>
                <w:b/>
                <w:color w:val="auto"/>
                <w:sz w:val="18"/>
                <w:szCs w:val="18"/>
                <w:highlight w:val="none"/>
              </w:rPr>
              <w:t>）</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374BD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4CD8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F172D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经济分类科目（</w:t>
            </w:r>
            <w:r>
              <w:rPr>
                <w:rFonts w:hint="eastAsia" w:ascii="Times New Roman" w:cs="宋体"/>
                <w:b/>
                <w:color w:val="auto"/>
                <w:sz w:val="18"/>
                <w:szCs w:val="18"/>
                <w:highlight w:val="none"/>
                <w:lang w:eastAsia="zh-CN"/>
              </w:rPr>
              <w:t>按“款”级经济分类科目</w:t>
            </w:r>
            <w:r>
              <w:rPr>
                <w:rFonts w:ascii="Times New Roman" w:cs="宋体"/>
                <w:b/>
                <w:color w:val="auto"/>
                <w:sz w:val="18"/>
                <w:szCs w:val="18"/>
                <w:highlight w:val="none"/>
              </w:rPr>
              <w:t>）</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FE770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金额</w:t>
            </w:r>
          </w:p>
        </w:tc>
      </w:tr>
      <w:tr w14:paraId="0D12CBA2">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65345">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670DD2">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C074B0">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6904E">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0904C2">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4F0F55">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A6840">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015D80">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476C32">
            <w:pPr>
              <w:keepNext w:val="0"/>
              <w:keepLines w:val="0"/>
              <w:pageBreakBefore w:val="0"/>
              <w:widowControl/>
              <w:kinsoku/>
              <w:wordWrap/>
              <w:overflowPunct/>
              <w:topLinePunct w:val="0"/>
              <w:autoSpaceDE/>
              <w:autoSpaceDN/>
              <w:bidi w:val="0"/>
              <w:adjustRightInd/>
              <w:snapToGrid/>
              <w:spacing w:line="192" w:lineRule="exact"/>
              <w:jc w:val="center"/>
              <w:rPr>
                <w:rFonts w:hint="default" w:ascii="Times New Roman" w:cs="宋体"/>
                <w:b/>
                <w:color w:val="auto"/>
                <w:sz w:val="18"/>
                <w:szCs w:val="18"/>
                <w:highlight w:val="none"/>
              </w:rPr>
            </w:pPr>
          </w:p>
        </w:tc>
      </w:tr>
      <w:tr w14:paraId="0E7667E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830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27B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AB9D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267.81</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2C9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7C6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2A48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29.19</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395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40D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0B9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A3CFE4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CE9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250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925E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67.36</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B3F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340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C19F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15.53</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7E3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656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3CA2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3263AA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445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B94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8340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2.00</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D0D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BDF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9135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F7E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C21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3A3F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5D2B86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E06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35E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8E9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673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283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68F5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3AC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745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C4C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914524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35B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C98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71EE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5F2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FEB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95AA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521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33B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C72A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F3600A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31E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736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5754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128.82</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FFF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B1A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A4E4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F76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5ED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F1C8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F8753B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F0B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910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541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27.57</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010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B7B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069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997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D33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596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48E99A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03B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AC3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F5A7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15.54</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0F1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37C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A4D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A1C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589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ECEC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CF65C4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114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C32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B6D2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9.19</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8F2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3C2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64B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670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C33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2D39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D71D32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CB5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2D7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7FB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D1A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53F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D10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FE5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C99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80CD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4A3BE0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796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A3E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8FC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1.97</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C81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1D0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493B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2.19</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BBA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576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4627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A7A92C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729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B8D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DA2E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13.12</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165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46E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65E2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252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7BA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F55F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E9E115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BDD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B61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59BC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2.24</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DDF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FFD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A37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B5D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7F3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3050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8A0A59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A6B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0BD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05F1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EF5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E69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BE12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591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FCA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67B9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DC4B04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A2C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B1B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0796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7.53</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E50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A52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A7FD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ABA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7DE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DC8A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597DD1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270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AD6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989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2F3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68D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2D6B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0.30</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66D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362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4D8E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E16336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837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ECC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7025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45C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54C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88A7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0.08</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756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4AD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A75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038519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9A4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863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7C75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9C2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1F9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B96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E01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CEE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270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F4B49E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0A0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FE0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0C54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F7C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D5F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5DD4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415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B85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7D27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A6B9F6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E15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163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82B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7.13</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301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FAE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2781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2B0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259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95E7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D56E9B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9B0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530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E3C8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BEB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E24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E2C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CE7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02C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F733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CC8449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FFC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EE8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F074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0.40</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D87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280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8B29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64D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49B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59B8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C18C0A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4C4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35F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978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904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C1E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CDBE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8.53</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1BE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BF90C">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ascii="Times New Roman" w:cs="宋体"/>
                <w:color w:val="auto"/>
                <w:sz w:val="18"/>
                <w:szCs w:val="18"/>
                <w:highlight w:val="none"/>
              </w:rPr>
            </w:pPr>
            <w:r>
              <w:rPr>
                <w:rFonts w:ascii="Times New Roman" w:cs="宋体"/>
                <w:color w:val="auto"/>
                <w:sz w:val="18"/>
                <w:szCs w:val="18"/>
                <w:highlight w:val="none"/>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8A7D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CA457A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37E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AAA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4DB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554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DA7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4454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78C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455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87C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873968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BC6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8FB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7000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FDF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3F0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F62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2.56</w:t>
            </w: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E92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440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50A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23D5DF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6B5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E7A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1FC6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5E1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1A3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DFC7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47A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F02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5C4C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9965EE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A5F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799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3DCA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009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311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86E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7C0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65E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F080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5BE5AB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14AA4">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73673">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E9ABF4">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6CB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E5C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1CA7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E02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DF0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B170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2B8534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DA54B">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22649">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71B422">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B16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A83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b/>
                <w:bCs/>
                <w:color w:val="auto"/>
                <w:sz w:val="18"/>
                <w:szCs w:val="18"/>
                <w:highlight w:val="none"/>
              </w:rPr>
            </w:pPr>
            <w:r>
              <w:rPr>
                <w:rFonts w:ascii="Times New Roman" w:cs="宋体"/>
                <w:b/>
                <w:bCs/>
                <w:color w:val="auto"/>
                <w:sz w:val="18"/>
                <w:szCs w:val="18"/>
                <w:highlight w:val="none"/>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127C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F67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F65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297D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AD30B9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1E66A">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4D455">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B169B9">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DA3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8F0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BF9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0AF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B01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7F5F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6E7B46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C8389">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16455">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26A11E">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AE1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C31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7433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A8BB4">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F6DA5">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E38AA">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auto"/>
                <w:sz w:val="18"/>
                <w:szCs w:val="18"/>
                <w:highlight w:val="none"/>
              </w:rPr>
            </w:pPr>
          </w:p>
        </w:tc>
      </w:tr>
      <w:tr w14:paraId="7703233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722F9">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A7EBC">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D18B11">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BE0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F7A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1E30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452E2">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FE19D">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94D39">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auto"/>
                <w:sz w:val="18"/>
                <w:szCs w:val="18"/>
                <w:highlight w:val="none"/>
              </w:rPr>
            </w:pPr>
          </w:p>
        </w:tc>
      </w:tr>
      <w:tr w14:paraId="6B56BE4A">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A7A9C">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A5E34">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B36F83">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D69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CB7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ascii="Times New Roman" w:cs="宋体"/>
                <w:color w:val="auto"/>
                <w:sz w:val="18"/>
                <w:szCs w:val="18"/>
                <w:highlight w:val="none"/>
              </w:rPr>
            </w:pPr>
            <w:r>
              <w:rPr>
                <w:rFonts w:ascii="Times New Roman" w:cs="宋体"/>
                <w:color w:val="auto"/>
                <w:sz w:val="18"/>
                <w:szCs w:val="18"/>
                <w:highlight w:val="none"/>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2BB8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25A22">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50D4B">
            <w:pPr>
              <w:keepNext w:val="0"/>
              <w:keepLines w:val="0"/>
              <w:pageBreakBefore w:val="0"/>
              <w:widowControl/>
              <w:kinsoku/>
              <w:wordWrap/>
              <w:overflowPunct/>
              <w:topLinePunct w:val="0"/>
              <w:autoSpaceDE/>
              <w:autoSpaceDN/>
              <w:bidi w:val="0"/>
              <w:adjustRightInd/>
              <w:snapToGrid/>
              <w:spacing w:line="192" w:lineRule="exact"/>
              <w:rPr>
                <w:rFonts w:hint="default" w:ascii="Times New Roman" w:cs="宋体"/>
                <w:color w:val="auto"/>
                <w:sz w:val="18"/>
                <w:szCs w:val="18"/>
                <w:highlight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045BC">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auto"/>
                <w:sz w:val="18"/>
                <w:szCs w:val="18"/>
                <w:highlight w:val="none"/>
              </w:rPr>
            </w:pPr>
          </w:p>
        </w:tc>
      </w:tr>
      <w:tr w14:paraId="2255A117">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EB4A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0AB8A1">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275.34</w:t>
            </w:r>
            <w:r>
              <w:rPr>
                <w:rFonts w:ascii="Times New Roman" w:hAnsi="Times New Roman"/>
                <w:color w:val="auto"/>
                <w:sz w:val="18"/>
                <w:highlight w:val="none"/>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3B4C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ascii="Times New Roman" w:cs="宋体"/>
                <w:b/>
                <w:color w:val="auto"/>
                <w:sz w:val="18"/>
                <w:szCs w:val="18"/>
                <w:highlight w:val="none"/>
              </w:rPr>
            </w:pPr>
            <w:r>
              <w:rPr>
                <w:rFonts w:ascii="Times New Roman" w:cs="宋体"/>
                <w:b/>
                <w:color w:val="auto"/>
                <w:sz w:val="18"/>
                <w:szCs w:val="18"/>
                <w:highlight w:val="none"/>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EB1D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29.19</w:t>
            </w:r>
            <w:r>
              <w:rPr>
                <w:rFonts w:ascii="Times New Roman" w:hAnsi="Times New Roman"/>
                <w:color w:val="auto"/>
                <w:sz w:val="18"/>
                <w:highlight w:val="none"/>
                <w:u w:color="auto"/>
              </w:rPr>
              <w:t xml:space="preserve"> </w:t>
            </w:r>
          </w:p>
        </w:tc>
      </w:tr>
    </w:tbl>
    <w:p w14:paraId="43C3E984">
      <w:pPr>
        <w:keepNext w:val="0"/>
        <w:keepLines w:val="0"/>
        <w:pageBreakBefore w:val="0"/>
        <w:widowControl/>
        <w:kinsoku/>
        <w:wordWrap/>
        <w:overflowPunct/>
        <w:topLinePunct w:val="0"/>
        <w:autoSpaceDE/>
        <w:autoSpaceDN/>
        <w:bidi w:val="0"/>
        <w:adjustRightInd/>
        <w:snapToGrid/>
        <w:spacing w:line="280" w:lineRule="exact"/>
        <w:ind w:firstLine="400" w:firstLineChars="200"/>
        <w:rPr>
          <w:rFonts w:hint="default" w:ascii="Times New Roman" w:cs="宋体"/>
          <w:color w:val="auto"/>
          <w:sz w:val="20"/>
          <w:szCs w:val="20"/>
          <w:highlight w:val="none"/>
        </w:rPr>
      </w:pPr>
      <w:r>
        <w:rPr>
          <w:rFonts w:ascii="Times New Roman" w:cs="宋体"/>
          <w:color w:val="auto"/>
          <w:sz w:val="20"/>
          <w:szCs w:val="20"/>
          <w:highlight w:val="none"/>
        </w:rPr>
        <w:t>备注：1.本表反映单位本年度一般公共预算财政拨款基本支出明细情况。</w:t>
      </w:r>
      <w:r>
        <w:rPr>
          <w:rFonts w:ascii="Times New Roman" w:cs="宋体"/>
          <w:color w:val="auto"/>
          <w:sz w:val="20"/>
          <w:szCs w:val="20"/>
          <w:highlight w:val="none"/>
        </w:rPr>
        <w:br w:type="textWrapping"/>
      </w:r>
      <w:r>
        <w:rPr>
          <w:rFonts w:ascii="Times New Roman" w:cs="宋体"/>
          <w:color w:val="auto"/>
          <w:sz w:val="20"/>
          <w:szCs w:val="20"/>
          <w:highlight w:val="none"/>
        </w:rPr>
        <w:t xml:space="preserve">      2.本套报表金额单位转换时可能存在尾数误差。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r>
        <w:rPr>
          <w:rFonts w:ascii="Times New Roman" w:cs="宋体"/>
          <w:color w:val="auto"/>
          <w:sz w:val="21"/>
          <w:szCs w:val="21"/>
          <w:highlight w:val="none"/>
        </w:rPr>
        <w:br w:type="page"/>
      </w:r>
    </w:p>
    <w:tbl>
      <w:tblPr>
        <w:tblStyle w:val="10"/>
        <w:tblW w:w="5000" w:type="pct"/>
        <w:tblInd w:w="0" w:type="dxa"/>
        <w:tblLayout w:type="fixed"/>
        <w:tblCellMar>
          <w:top w:w="0" w:type="dxa"/>
          <w:left w:w="0" w:type="dxa"/>
          <w:bottom w:w="0" w:type="dxa"/>
          <w:right w:w="0" w:type="dxa"/>
        </w:tblCellMar>
      </w:tblPr>
      <w:tblGrid>
        <w:gridCol w:w="1185"/>
        <w:gridCol w:w="3226"/>
        <w:gridCol w:w="1527"/>
        <w:gridCol w:w="1527"/>
        <w:gridCol w:w="1527"/>
        <w:gridCol w:w="1527"/>
        <w:gridCol w:w="1584"/>
        <w:gridCol w:w="1651"/>
      </w:tblGrid>
      <w:tr w14:paraId="07CA2B84">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13F2EFC">
            <w:pPr>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政府性基金预算财政拨款收入支出决算表</w:t>
            </w:r>
          </w:p>
        </w:tc>
      </w:tr>
      <w:tr w14:paraId="5FBC3E3D">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051B84A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cs="宋体"/>
                <w:color w:val="auto"/>
                <w:sz w:val="20"/>
                <w:szCs w:val="20"/>
                <w:highlight w:val="none"/>
              </w:rPr>
            </w:pPr>
            <w:r>
              <w:rPr>
                <w:rFonts w:ascii="Times New Roman" w:cs="宋体"/>
                <w:color w:val="auto"/>
                <w:sz w:val="20"/>
                <w:szCs w:val="20"/>
                <w:highlight w:val="none"/>
              </w:rPr>
              <w:t>单位：</w:t>
            </w:r>
            <w:r>
              <w:rPr>
                <w:rFonts w:ascii="Times New Roman"/>
                <w:color w:val="auto"/>
                <w:sz w:val="20"/>
                <w:highlight w:val="none"/>
                <w:u w:color="auto"/>
              </w:rPr>
              <w:t>丰都县公共资源交易中心（本级）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5C548FA4">
            <w:pPr>
              <w:rPr>
                <w:rFonts w:hint="default" w:ascii="Times New Roman"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9C85430">
            <w:pPr>
              <w:rPr>
                <w:rFonts w:hint="default" w:ascii="Times New Roman"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B2643DF">
            <w:pPr>
              <w:rPr>
                <w:rFonts w:hint="default" w:ascii="Times New Roman" w:cs="宋体"/>
                <w:color w:val="auto"/>
                <w:sz w:val="20"/>
                <w:szCs w:val="20"/>
                <w:highlight w:val="none"/>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0A9C5A3">
            <w:pPr>
              <w:rPr>
                <w:rFonts w:hint="default" w:ascii="Times New Roman" w:cs="宋体"/>
                <w:color w:val="auto"/>
                <w:sz w:val="20"/>
                <w:szCs w:val="20"/>
                <w:highlight w:val="none"/>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0243940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07</w:t>
            </w:r>
            <w:r>
              <w:rPr>
                <w:rFonts w:ascii="Times New Roman" w:cs="宋体"/>
                <w:color w:val="auto"/>
                <w:sz w:val="20"/>
                <w:szCs w:val="20"/>
                <w:highlight w:val="none"/>
              </w:rPr>
              <w:t>表</w:t>
            </w:r>
          </w:p>
        </w:tc>
      </w:tr>
      <w:tr w14:paraId="394FC7B3">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05B09A59">
            <w:pPr>
              <w:rPr>
                <w:rFonts w:hint="default" w:ascii="Times New Roman"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D25D66E">
            <w:pPr>
              <w:rPr>
                <w:rFonts w:hint="default" w:ascii="Times New Roman"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5E69A93">
            <w:pPr>
              <w:rPr>
                <w:rFonts w:hint="default" w:ascii="Times New Roman"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AADA32B">
            <w:pPr>
              <w:rPr>
                <w:rFonts w:hint="default" w:ascii="Times New Roman" w:cs="宋体"/>
                <w:color w:val="auto"/>
                <w:sz w:val="20"/>
                <w:szCs w:val="20"/>
                <w:highlight w:val="none"/>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F4BA070">
            <w:pPr>
              <w:rPr>
                <w:rFonts w:hint="default" w:ascii="Times New Roman" w:cs="宋体"/>
                <w:color w:val="auto"/>
                <w:sz w:val="20"/>
                <w:szCs w:val="20"/>
                <w:highlight w:val="none"/>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6C196FC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单位：万元</w:t>
            </w:r>
          </w:p>
        </w:tc>
      </w:tr>
      <w:tr w14:paraId="321D5832">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9099B">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F1D681">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3EFBF">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94B387">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5072F">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年末结转和结余</w:t>
            </w:r>
          </w:p>
        </w:tc>
      </w:tr>
      <w:tr w14:paraId="3EA2E077">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6BAD8">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A97B8">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EDC66C">
            <w:pPr>
              <w:jc w:val="center"/>
              <w:rPr>
                <w:rFonts w:hint="default" w:ascii="Times New Roman" w:cs="宋体"/>
                <w:b/>
                <w:color w:val="auto"/>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8C9B8">
            <w:pPr>
              <w:jc w:val="center"/>
              <w:rPr>
                <w:rFonts w:hint="default" w:ascii="Times New Roman" w:cs="宋体"/>
                <w:b/>
                <w:color w:val="auto"/>
                <w:sz w:val="20"/>
                <w:szCs w:val="20"/>
                <w:highlight w:val="none"/>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64F56A">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ADCD44">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0AEC5D">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C182D">
            <w:pPr>
              <w:jc w:val="center"/>
              <w:rPr>
                <w:rFonts w:hint="default" w:ascii="Times New Roman" w:cs="宋体"/>
                <w:b/>
                <w:color w:val="auto"/>
                <w:sz w:val="20"/>
                <w:szCs w:val="20"/>
                <w:highlight w:val="none"/>
              </w:rPr>
            </w:pPr>
          </w:p>
        </w:tc>
      </w:tr>
      <w:tr w14:paraId="559C2A14">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49D55">
            <w:pPr>
              <w:jc w:val="center"/>
              <w:rPr>
                <w:rFonts w:hint="default" w:ascii="Times New Roman" w:cs="宋体"/>
                <w:b/>
                <w:color w:val="auto"/>
                <w:sz w:val="20"/>
                <w:szCs w:val="20"/>
                <w:highlight w:val="none"/>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DB4D1">
            <w:pPr>
              <w:jc w:val="center"/>
              <w:rPr>
                <w:rFonts w:hint="default" w:ascii="Times New Roman" w:cs="宋体"/>
                <w:b/>
                <w:color w:val="auto"/>
                <w:sz w:val="20"/>
                <w:szCs w:val="20"/>
                <w:highlight w:val="none"/>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D8EE08">
            <w:pPr>
              <w:jc w:val="center"/>
              <w:rPr>
                <w:rFonts w:hint="default" w:ascii="Times New Roman" w:cs="宋体"/>
                <w:b/>
                <w:color w:val="auto"/>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382DD">
            <w:pPr>
              <w:jc w:val="center"/>
              <w:rPr>
                <w:rFonts w:hint="default" w:ascii="Times New Roman" w:cs="宋体"/>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BBC4DD">
            <w:pPr>
              <w:jc w:val="center"/>
              <w:rPr>
                <w:rFonts w:hint="default" w:ascii="Times New Roman" w:cs="宋体"/>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2BD008">
            <w:pPr>
              <w:jc w:val="center"/>
              <w:rPr>
                <w:rFonts w:hint="default" w:ascii="Times New Roman" w:cs="宋体"/>
                <w:b/>
                <w:color w:val="auto"/>
                <w:sz w:val="20"/>
                <w:szCs w:val="20"/>
                <w:highlight w:val="none"/>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DF93C5">
            <w:pPr>
              <w:jc w:val="center"/>
              <w:rPr>
                <w:rFonts w:hint="default" w:ascii="Times New Roman" w:cs="宋体"/>
                <w:b/>
                <w:color w:val="auto"/>
                <w:sz w:val="20"/>
                <w:szCs w:val="20"/>
                <w:highlight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AEC30">
            <w:pPr>
              <w:jc w:val="center"/>
              <w:rPr>
                <w:rFonts w:hint="default" w:ascii="Times New Roman" w:cs="宋体"/>
                <w:b/>
                <w:color w:val="auto"/>
                <w:sz w:val="20"/>
                <w:szCs w:val="20"/>
                <w:highlight w:val="none"/>
              </w:rPr>
            </w:pPr>
          </w:p>
        </w:tc>
      </w:tr>
      <w:tr w14:paraId="6230ED2B">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5B524">
            <w:pPr>
              <w:jc w:val="center"/>
              <w:rPr>
                <w:rFonts w:hint="default" w:ascii="Times New Roman" w:cs="宋体"/>
                <w:b/>
                <w:color w:val="auto"/>
                <w:sz w:val="20"/>
                <w:szCs w:val="20"/>
                <w:highlight w:val="none"/>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F0298">
            <w:pPr>
              <w:jc w:val="center"/>
              <w:rPr>
                <w:rFonts w:hint="default" w:ascii="Times New Roman" w:cs="宋体"/>
                <w:b/>
                <w:color w:val="auto"/>
                <w:sz w:val="20"/>
                <w:szCs w:val="20"/>
                <w:highlight w:val="none"/>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A28D82">
            <w:pPr>
              <w:jc w:val="center"/>
              <w:rPr>
                <w:rFonts w:hint="default" w:ascii="Times New Roman" w:cs="宋体"/>
                <w:b/>
                <w:color w:val="auto"/>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70BF4">
            <w:pPr>
              <w:jc w:val="center"/>
              <w:rPr>
                <w:rFonts w:hint="default" w:ascii="Times New Roman" w:cs="宋体"/>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B6A106">
            <w:pPr>
              <w:jc w:val="center"/>
              <w:rPr>
                <w:rFonts w:hint="default" w:ascii="Times New Roman" w:cs="宋体"/>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1CB005">
            <w:pPr>
              <w:jc w:val="center"/>
              <w:rPr>
                <w:rFonts w:hint="default" w:ascii="Times New Roman" w:cs="宋体"/>
                <w:b/>
                <w:color w:val="auto"/>
                <w:sz w:val="20"/>
                <w:szCs w:val="20"/>
                <w:highlight w:val="none"/>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E34FE5">
            <w:pPr>
              <w:jc w:val="center"/>
              <w:rPr>
                <w:rFonts w:hint="default" w:ascii="Times New Roman" w:cs="宋体"/>
                <w:b/>
                <w:color w:val="auto"/>
                <w:sz w:val="20"/>
                <w:szCs w:val="20"/>
                <w:highlight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BA677">
            <w:pPr>
              <w:jc w:val="center"/>
              <w:rPr>
                <w:rFonts w:hint="default" w:ascii="Times New Roman" w:cs="宋体"/>
                <w:b/>
                <w:color w:val="auto"/>
                <w:sz w:val="20"/>
                <w:szCs w:val="20"/>
                <w:highlight w:val="none"/>
              </w:rPr>
            </w:pPr>
          </w:p>
        </w:tc>
      </w:tr>
      <w:tr w14:paraId="603EAD40">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A6679">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6D079">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D4513">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0DDE1">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382C5">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FABF1">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83807">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r>
      <w:tr w14:paraId="4A25B7C7">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50284">
            <w:pPr>
              <w:jc w:val="both"/>
              <w:textAlignment w:val="center"/>
              <w:rPr>
                <w:rFonts w:hint="default" w:ascii="Times New Roman" w:cs="宋体"/>
                <w:color w:val="auto"/>
                <w:sz w:val="20"/>
                <w:szCs w:val="20"/>
                <w:highlight w:val="none"/>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6823B">
            <w:pPr>
              <w:jc w:val="both"/>
              <w:textAlignment w:val="center"/>
              <w:rPr>
                <w:rFonts w:hint="default" w:ascii="Times New Roman" w:cs="宋体"/>
                <w:color w:val="auto"/>
                <w:sz w:val="20"/>
                <w:szCs w:val="20"/>
                <w:highlight w:val="none"/>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AD94C">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1A7F4">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41881">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7C685">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B2B7E">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4AEF7">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0.00</w:t>
            </w:r>
            <w:r>
              <w:rPr>
                <w:rFonts w:ascii="Times New Roman" w:hAnsi="Times New Roman"/>
                <w:color w:val="auto"/>
                <w:sz w:val="20"/>
                <w:highlight w:val="none"/>
                <w:u w:color="auto"/>
              </w:rPr>
              <w:t xml:space="preserve"> </w:t>
            </w:r>
          </w:p>
        </w:tc>
      </w:tr>
    </w:tbl>
    <w:p w14:paraId="1C556091">
      <w:pPr>
        <w:ind w:firstLine="400" w:firstLineChars="200"/>
        <w:rPr>
          <w:rFonts w:hint="default" w:ascii="Times New Roman" w:cs="宋体"/>
          <w:color w:val="auto"/>
          <w:sz w:val="21"/>
          <w:szCs w:val="21"/>
          <w:highlight w:val="none"/>
        </w:rPr>
      </w:pPr>
      <w:r>
        <w:rPr>
          <w:rFonts w:ascii="Times New Roman" w:cs="宋体"/>
          <w:color w:val="auto"/>
          <w:sz w:val="20"/>
          <w:szCs w:val="20"/>
          <w:highlight w:val="none"/>
        </w:rPr>
        <w:t>备注：本单位无政府性基金收支，故本表无数据。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p>
    <w:p w14:paraId="4A0E5327">
      <w:pPr>
        <w:ind w:firstLine="420" w:firstLineChars="200"/>
        <w:rPr>
          <w:rFonts w:hint="default" w:ascii="Times New Roman" w:cs="宋体"/>
          <w:color w:val="auto"/>
          <w:sz w:val="21"/>
          <w:szCs w:val="21"/>
          <w:highlight w:val="none"/>
        </w:rPr>
      </w:pPr>
      <w:r>
        <w:rPr>
          <w:rFonts w:ascii="Times New Roman" w:cs="宋体"/>
          <w:color w:val="auto"/>
          <w:sz w:val="21"/>
          <w:szCs w:val="21"/>
          <w:highlight w:val="none"/>
        </w:rPr>
        <w:br w:type="page"/>
      </w:r>
    </w:p>
    <w:tbl>
      <w:tblPr>
        <w:tblStyle w:val="10"/>
        <w:tblW w:w="5000" w:type="pct"/>
        <w:tblInd w:w="0" w:type="dxa"/>
        <w:tblLayout w:type="fixed"/>
        <w:tblCellMar>
          <w:top w:w="0" w:type="dxa"/>
          <w:left w:w="0" w:type="dxa"/>
          <w:bottom w:w="0" w:type="dxa"/>
          <w:right w:w="0" w:type="dxa"/>
        </w:tblCellMar>
      </w:tblPr>
      <w:tblGrid>
        <w:gridCol w:w="1161"/>
        <w:gridCol w:w="3245"/>
        <w:gridCol w:w="2938"/>
        <w:gridCol w:w="171"/>
        <w:gridCol w:w="3108"/>
        <w:gridCol w:w="77"/>
        <w:gridCol w:w="3053"/>
      </w:tblGrid>
      <w:tr w14:paraId="16962FA8">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4C2EBDC">
            <w:pPr>
              <w:jc w:val="center"/>
              <w:textAlignment w:val="bottom"/>
              <w:rPr>
                <w:rFonts w:hint="default" w:ascii="Times New Roman" w:cs="宋体"/>
                <w:b/>
                <w:color w:val="auto"/>
                <w:sz w:val="32"/>
                <w:szCs w:val="32"/>
                <w:highlight w:val="none"/>
              </w:rPr>
            </w:pPr>
            <w:r>
              <w:rPr>
                <w:rFonts w:ascii="Times New Roman" w:cs="宋体"/>
                <w:b/>
                <w:color w:val="auto"/>
                <w:sz w:val="32"/>
                <w:szCs w:val="32"/>
                <w:highlight w:val="none"/>
              </w:rPr>
              <w:t>国有资本经营预算财政拨款支出决算表</w:t>
            </w:r>
          </w:p>
        </w:tc>
      </w:tr>
      <w:tr w14:paraId="273C96A9">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2A177CD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cs="宋体"/>
                <w:color w:val="auto"/>
                <w:sz w:val="20"/>
                <w:szCs w:val="20"/>
                <w:highlight w:val="none"/>
              </w:rPr>
            </w:pPr>
            <w:r>
              <w:rPr>
                <w:rFonts w:ascii="Times New Roman" w:cs="宋体"/>
                <w:color w:val="auto"/>
                <w:sz w:val="20"/>
                <w:szCs w:val="20"/>
                <w:highlight w:val="none"/>
              </w:rPr>
              <w:t>单位：</w:t>
            </w:r>
            <w:r>
              <w:rPr>
                <w:rFonts w:ascii="Times New Roman"/>
                <w:color w:val="auto"/>
                <w:sz w:val="20"/>
                <w:highlight w:val="none"/>
                <w:u w:color="auto"/>
              </w:rPr>
              <w:t>丰都县公共资源交易中心（本级）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51D8403">
            <w:pPr>
              <w:rPr>
                <w:rFonts w:hint="default" w:ascii="Times New Roman" w:cs="宋体"/>
                <w:color w:val="auto"/>
                <w:sz w:val="20"/>
                <w:szCs w:val="20"/>
                <w:highlight w:val="none"/>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35F6823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公开</w:t>
            </w:r>
            <w:r>
              <w:rPr>
                <w:rFonts w:hint="default" w:ascii="Times New Roman" w:hAnsi="Times New Roman" w:cs="Times New Roman"/>
                <w:color w:val="auto"/>
                <w:sz w:val="20"/>
                <w:szCs w:val="20"/>
                <w:highlight w:val="none"/>
              </w:rPr>
              <w:t>08</w:t>
            </w:r>
            <w:r>
              <w:rPr>
                <w:rFonts w:ascii="Times New Roman" w:cs="宋体"/>
                <w:color w:val="auto"/>
                <w:sz w:val="20"/>
                <w:szCs w:val="20"/>
                <w:highlight w:val="none"/>
              </w:rPr>
              <w:t>表</w:t>
            </w:r>
          </w:p>
        </w:tc>
      </w:tr>
      <w:tr w14:paraId="563A1BE1">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2513B503">
            <w:pPr>
              <w:rPr>
                <w:rFonts w:hint="default" w:ascii="Times New Roman" w:cs="宋体"/>
                <w:color w:val="auto"/>
                <w:sz w:val="20"/>
                <w:szCs w:val="20"/>
                <w:highlight w:val="none"/>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72F9521">
            <w:pPr>
              <w:rPr>
                <w:rFonts w:hint="default" w:ascii="Times New Roman" w:cs="宋体"/>
                <w:color w:val="auto"/>
                <w:sz w:val="20"/>
                <w:szCs w:val="20"/>
                <w:highlight w:val="none"/>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412CC2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ascii="Times New Roman" w:cs="宋体"/>
                <w:color w:val="auto"/>
                <w:sz w:val="20"/>
                <w:szCs w:val="20"/>
                <w:highlight w:val="none"/>
              </w:rPr>
            </w:pPr>
            <w:r>
              <w:rPr>
                <w:rFonts w:ascii="Times New Roman" w:cs="宋体"/>
                <w:color w:val="auto"/>
                <w:sz w:val="20"/>
                <w:szCs w:val="20"/>
                <w:highlight w:val="none"/>
              </w:rPr>
              <w:t>单位：万元</w:t>
            </w:r>
          </w:p>
        </w:tc>
      </w:tr>
      <w:tr w14:paraId="3E7C5B65">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4D0A9F">
            <w:pPr>
              <w:jc w:val="center"/>
              <w:textAlignment w:val="bottom"/>
              <w:rPr>
                <w:rFonts w:hint="default" w:ascii="Times New Roman" w:cs="宋体"/>
                <w:b/>
                <w:color w:val="auto"/>
                <w:sz w:val="20"/>
                <w:szCs w:val="20"/>
                <w:highlight w:val="none"/>
              </w:rPr>
            </w:pPr>
            <w:r>
              <w:rPr>
                <w:rFonts w:ascii="Times New Roman" w:cs="宋体"/>
                <w:b/>
                <w:color w:val="auto"/>
                <w:sz w:val="20"/>
                <w:szCs w:val="20"/>
                <w:highlight w:val="none"/>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CCBBF5">
            <w:pPr>
              <w:jc w:val="center"/>
              <w:textAlignment w:val="bottom"/>
              <w:rPr>
                <w:rFonts w:hint="default" w:ascii="Times New Roman" w:cs="宋体"/>
                <w:b/>
                <w:color w:val="auto"/>
                <w:sz w:val="20"/>
                <w:szCs w:val="20"/>
                <w:highlight w:val="none"/>
              </w:rPr>
            </w:pPr>
            <w:r>
              <w:rPr>
                <w:rFonts w:ascii="Times New Roman" w:cs="宋体"/>
                <w:b/>
                <w:color w:val="auto"/>
                <w:sz w:val="20"/>
                <w:szCs w:val="20"/>
                <w:highlight w:val="none"/>
              </w:rPr>
              <w:t>本年支出</w:t>
            </w:r>
          </w:p>
        </w:tc>
      </w:tr>
      <w:tr w14:paraId="388DF90F">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D3B13">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C65EE2">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CF489">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07D471">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CF055D">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项目支出</w:t>
            </w:r>
          </w:p>
        </w:tc>
      </w:tr>
      <w:tr w14:paraId="20C1E314">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B0101">
            <w:pPr>
              <w:jc w:val="center"/>
              <w:rPr>
                <w:rFonts w:hint="default" w:ascii="Times New Roman" w:cs="宋体"/>
                <w:b/>
                <w:color w:val="auto"/>
                <w:sz w:val="20"/>
                <w:szCs w:val="20"/>
                <w:highlight w:val="none"/>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B3FAD5">
            <w:pPr>
              <w:jc w:val="center"/>
              <w:rPr>
                <w:rFonts w:hint="default" w:ascii="Times New Roman" w:cs="宋体"/>
                <w:b/>
                <w:color w:val="auto"/>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533E2">
            <w:pPr>
              <w:jc w:val="center"/>
              <w:rPr>
                <w:rFonts w:hint="default" w:ascii="Times New Roman" w:cs="宋体"/>
                <w:b/>
                <w:color w:val="auto"/>
                <w:sz w:val="20"/>
                <w:szCs w:val="20"/>
                <w:highlight w:val="none"/>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967E00">
            <w:pPr>
              <w:jc w:val="center"/>
              <w:rPr>
                <w:rFonts w:hint="default" w:ascii="Times New Roman" w:cs="宋体"/>
                <w:b/>
                <w:color w:val="auto"/>
                <w:sz w:val="20"/>
                <w:szCs w:val="20"/>
                <w:highlight w:val="none"/>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A0B428">
            <w:pPr>
              <w:jc w:val="center"/>
              <w:rPr>
                <w:rFonts w:hint="default" w:ascii="Times New Roman" w:cs="宋体"/>
                <w:b/>
                <w:color w:val="auto"/>
                <w:sz w:val="20"/>
                <w:szCs w:val="20"/>
                <w:highlight w:val="none"/>
              </w:rPr>
            </w:pPr>
          </w:p>
        </w:tc>
      </w:tr>
      <w:tr w14:paraId="205F9BD0">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557AD">
            <w:pPr>
              <w:jc w:val="center"/>
              <w:rPr>
                <w:rFonts w:hint="default" w:ascii="Times New Roman" w:cs="宋体"/>
                <w:b/>
                <w:color w:val="auto"/>
                <w:sz w:val="20"/>
                <w:szCs w:val="20"/>
                <w:highlight w:val="none"/>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288524">
            <w:pPr>
              <w:jc w:val="center"/>
              <w:rPr>
                <w:rFonts w:hint="default" w:ascii="Times New Roman" w:cs="宋体"/>
                <w:b/>
                <w:color w:val="auto"/>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83DE3">
            <w:pPr>
              <w:jc w:val="center"/>
              <w:rPr>
                <w:rFonts w:hint="default" w:ascii="Times New Roman" w:cs="宋体"/>
                <w:b/>
                <w:color w:val="auto"/>
                <w:sz w:val="20"/>
                <w:szCs w:val="20"/>
                <w:highlight w:val="none"/>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58F08A">
            <w:pPr>
              <w:jc w:val="center"/>
              <w:rPr>
                <w:rFonts w:hint="default" w:ascii="Times New Roman" w:cs="宋体"/>
                <w:b/>
                <w:color w:val="auto"/>
                <w:sz w:val="20"/>
                <w:szCs w:val="20"/>
                <w:highlight w:val="none"/>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D3D3D8">
            <w:pPr>
              <w:jc w:val="center"/>
              <w:rPr>
                <w:rFonts w:hint="default" w:ascii="Times New Roman" w:cs="宋体"/>
                <w:b/>
                <w:color w:val="auto"/>
                <w:sz w:val="20"/>
                <w:szCs w:val="20"/>
                <w:highlight w:val="none"/>
              </w:rPr>
            </w:pPr>
          </w:p>
        </w:tc>
      </w:tr>
      <w:tr w14:paraId="52FE4BC9">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66F66">
            <w:pPr>
              <w:jc w:val="center"/>
              <w:rPr>
                <w:rFonts w:hint="default" w:ascii="Times New Roman" w:cs="宋体"/>
                <w:b/>
                <w:color w:val="auto"/>
                <w:sz w:val="20"/>
                <w:szCs w:val="20"/>
                <w:highlight w:val="none"/>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48EE9C">
            <w:pPr>
              <w:jc w:val="center"/>
              <w:rPr>
                <w:rFonts w:hint="default" w:ascii="Times New Roman" w:cs="宋体"/>
                <w:b/>
                <w:color w:val="auto"/>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9E6A3">
            <w:pPr>
              <w:jc w:val="center"/>
              <w:rPr>
                <w:rFonts w:hint="default" w:ascii="Times New Roman" w:cs="宋体"/>
                <w:b/>
                <w:color w:val="auto"/>
                <w:sz w:val="20"/>
                <w:szCs w:val="20"/>
                <w:highlight w:val="none"/>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33AB4E">
            <w:pPr>
              <w:jc w:val="center"/>
              <w:rPr>
                <w:rFonts w:hint="default" w:ascii="Times New Roman" w:cs="宋体"/>
                <w:b/>
                <w:color w:val="auto"/>
                <w:sz w:val="20"/>
                <w:szCs w:val="20"/>
                <w:highlight w:val="none"/>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EAFEE4">
            <w:pPr>
              <w:jc w:val="center"/>
              <w:rPr>
                <w:rFonts w:hint="default" w:ascii="Times New Roman" w:cs="宋体"/>
                <w:b/>
                <w:color w:val="auto"/>
                <w:sz w:val="20"/>
                <w:szCs w:val="20"/>
                <w:highlight w:val="none"/>
              </w:rPr>
            </w:pPr>
          </w:p>
        </w:tc>
      </w:tr>
      <w:tr w14:paraId="7672EF95">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F95B2">
            <w:pPr>
              <w:jc w:val="center"/>
              <w:textAlignment w:val="center"/>
              <w:rPr>
                <w:rFonts w:hint="default" w:ascii="Times New Roman" w:cs="宋体"/>
                <w:b/>
                <w:color w:val="auto"/>
                <w:sz w:val="20"/>
                <w:szCs w:val="20"/>
                <w:highlight w:val="none"/>
              </w:rPr>
            </w:pPr>
            <w:r>
              <w:rPr>
                <w:rFonts w:ascii="Times New Roman" w:cs="宋体"/>
                <w:b/>
                <w:color w:val="auto"/>
                <w:sz w:val="20"/>
                <w:szCs w:val="20"/>
                <w:highlight w:val="none"/>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3D212">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F3FD4">
            <w:pPr>
              <w:jc w:val="right"/>
              <w:rPr>
                <w:rFonts w:hint="default" w:ascii="Times New Roman" w:hAnsi="Times New Roman"/>
                <w:b/>
                <w:color w:val="auto"/>
                <w:sz w:val="20"/>
                <w:szCs w:val="20"/>
                <w:highlight w:val="none"/>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B5E3D">
            <w:pPr>
              <w:wordWrap w:val="0"/>
              <w:jc w:val="right"/>
              <w:textAlignment w:val="center"/>
              <w:rPr>
                <w:rFonts w:hint="default" w:ascii="Times New Roman" w:hAnsi="Times New Roman"/>
                <w:b/>
                <w:color w:val="auto"/>
                <w:sz w:val="20"/>
                <w:szCs w:val="20"/>
                <w:highlight w:val="none"/>
              </w:rPr>
            </w:pPr>
            <w:r>
              <w:rPr>
                <w:rFonts w:hint="default" w:ascii="Times New Roman" w:hAnsi="Times New Roman"/>
                <w:b/>
                <w:bCs/>
                <w:color w:val="auto"/>
                <w:sz w:val="20"/>
                <w:szCs w:val="20"/>
                <w:highlight w:val="none"/>
              </w:rPr>
              <w:t>0.00</w:t>
            </w:r>
            <w:r>
              <w:rPr>
                <w:rFonts w:ascii="Times New Roman" w:hAnsi="Times New Roman"/>
                <w:b/>
                <w:color w:val="auto"/>
                <w:sz w:val="20"/>
                <w:highlight w:val="none"/>
                <w:u w:color="auto"/>
              </w:rPr>
              <w:t xml:space="preserve"> </w:t>
            </w:r>
          </w:p>
        </w:tc>
      </w:tr>
      <w:tr w14:paraId="310F1907">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C472F">
            <w:pPr>
              <w:textAlignment w:val="center"/>
              <w:rPr>
                <w:rFonts w:hint="default" w:ascii="Times New Roman" w:cs="宋体"/>
                <w:color w:val="auto"/>
                <w:sz w:val="20"/>
                <w:szCs w:val="20"/>
                <w:highlight w:val="none"/>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E726C">
            <w:pPr>
              <w:textAlignment w:val="center"/>
              <w:rPr>
                <w:rFonts w:hint="default" w:ascii="Times New Roman" w:cs="宋体"/>
                <w:color w:val="auto"/>
                <w:sz w:val="20"/>
                <w:szCs w:val="20"/>
                <w:highlight w:val="none"/>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34837">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716A7">
            <w:pPr>
              <w:jc w:val="right"/>
              <w:rPr>
                <w:rFonts w:hint="default" w:ascii="Times New Roman" w:hAnsi="Times New Roman"/>
                <w:b/>
                <w:color w:val="auto"/>
                <w:sz w:val="20"/>
                <w:szCs w:val="20"/>
                <w:highlight w:val="none"/>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124D0">
            <w:pPr>
              <w:wordWrap w:val="0"/>
              <w:jc w:val="right"/>
              <w:textAlignment w:val="center"/>
              <w:rPr>
                <w:rFonts w:hint="default" w:ascii="Times New Roman" w:hAnsi="Times New Roman"/>
                <w:b/>
                <w:color w:val="auto"/>
                <w:sz w:val="20"/>
                <w:szCs w:val="20"/>
                <w:highlight w:val="none"/>
              </w:rPr>
            </w:pPr>
            <w:r>
              <w:rPr>
                <w:rFonts w:hint="default" w:ascii="Times New Roman" w:hAnsi="Times New Roman"/>
                <w:color w:val="auto"/>
                <w:sz w:val="20"/>
                <w:szCs w:val="20"/>
                <w:highlight w:val="none"/>
              </w:rPr>
              <w:t xml:space="preserve">0.00 </w:t>
            </w:r>
          </w:p>
        </w:tc>
      </w:tr>
    </w:tbl>
    <w:p w14:paraId="7E9FA2F0">
      <w:pPr>
        <w:ind w:firstLine="400" w:firstLineChars="200"/>
        <w:rPr>
          <w:rFonts w:hint="default" w:ascii="Times New Roman" w:cs="宋体"/>
          <w:color w:val="auto"/>
          <w:sz w:val="21"/>
          <w:szCs w:val="21"/>
          <w:highlight w:val="none"/>
        </w:rPr>
      </w:pPr>
      <w:r>
        <w:rPr>
          <w:rFonts w:ascii="Times New Roman" w:cs="宋体"/>
          <w:color w:val="auto"/>
          <w:sz w:val="20"/>
          <w:szCs w:val="20"/>
          <w:highlight w:val="none"/>
        </w:rPr>
        <w:t>备注：本单位无国有资本经营收支，故本表无数据。</w:t>
      </w:r>
      <w:r>
        <w:rPr>
          <w:rFonts w:ascii="Times New Roman" w:cs="宋体"/>
          <w:color w:val="auto"/>
          <w:sz w:val="20"/>
          <w:szCs w:val="20"/>
          <w:highlight w:val="none"/>
        </w:rPr>
        <w:br w:type="textWrapping"/>
      </w:r>
      <w:r>
        <w:rPr>
          <w:rFonts w:ascii="Times New Roman" w:cs="宋体"/>
          <w:color w:val="auto"/>
          <w:sz w:val="20"/>
          <w:szCs w:val="20"/>
          <w:highlight w:val="none"/>
        </w:rPr>
        <w:br w:type="textWrapping"/>
      </w:r>
    </w:p>
    <w:p w14:paraId="5A362A98">
      <w:pPr>
        <w:ind w:firstLine="420" w:firstLineChars="200"/>
        <w:rPr>
          <w:rFonts w:hint="default" w:ascii="Times New Roman" w:cs="宋体"/>
          <w:color w:val="auto"/>
          <w:sz w:val="21"/>
          <w:szCs w:val="21"/>
          <w:highlight w:val="none"/>
        </w:rPr>
      </w:pPr>
      <w:r>
        <w:rPr>
          <w:rFonts w:hint="default" w:ascii="Times New Roman" w:cs="宋体"/>
          <w:color w:val="auto"/>
          <w:sz w:val="21"/>
          <w:szCs w:val="21"/>
          <w:highlight w:val="none"/>
        </w:rPr>
        <w:br w:type="page"/>
      </w:r>
    </w:p>
    <w:tbl>
      <w:tblPr>
        <w:tblStyle w:val="10"/>
        <w:tblW w:w="4611" w:type="pct"/>
        <w:tblInd w:w="0" w:type="dxa"/>
        <w:tblLayout w:type="fixed"/>
        <w:tblCellMar>
          <w:top w:w="0" w:type="dxa"/>
          <w:left w:w="170" w:type="dxa"/>
          <w:bottom w:w="0" w:type="dxa"/>
          <w:right w:w="170" w:type="dxa"/>
        </w:tblCellMar>
      </w:tblPr>
      <w:tblGrid>
        <w:gridCol w:w="2853"/>
        <w:gridCol w:w="2168"/>
        <w:gridCol w:w="2131"/>
        <w:gridCol w:w="3297"/>
        <w:gridCol w:w="2232"/>
      </w:tblGrid>
      <w:tr w14:paraId="1551F3BE">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45581257">
            <w:pPr>
              <w:spacing w:line="400" w:lineRule="exact"/>
              <w:jc w:val="center"/>
              <w:textAlignment w:val="bottom"/>
              <w:rPr>
                <w:rFonts w:hint="default" w:ascii="Times New Roman" w:cs="宋体"/>
                <w:b/>
                <w:color w:val="auto"/>
                <w:kern w:val="2"/>
                <w:sz w:val="32"/>
                <w:szCs w:val="32"/>
                <w:highlight w:val="none"/>
              </w:rPr>
            </w:pPr>
            <w:bookmarkStart w:id="0" w:name="_GoBack"/>
            <w:bookmarkEnd w:id="0"/>
            <w:r>
              <w:rPr>
                <w:rFonts w:ascii="Times New Roman" w:cs="宋体"/>
                <w:b/>
                <w:color w:val="auto"/>
                <w:kern w:val="2"/>
                <w:sz w:val="32"/>
                <w:szCs w:val="32"/>
                <w:highlight w:val="none"/>
              </w:rPr>
              <w:t>机构运行信息表</w:t>
            </w:r>
          </w:p>
        </w:tc>
      </w:tr>
      <w:tr w14:paraId="3EFCF225">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4558A56E">
            <w:pPr>
              <w:spacing w:line="280" w:lineRule="exact"/>
              <w:rPr>
                <w:rFonts w:hint="default" w:ascii="Times New Roman" w:cs="宋体"/>
                <w:color w:val="auto"/>
                <w:kern w:val="2"/>
                <w:sz w:val="20"/>
                <w:szCs w:val="20"/>
                <w:highlight w:val="none"/>
              </w:rPr>
            </w:pPr>
          </w:p>
        </w:tc>
        <w:tc>
          <w:tcPr>
            <w:tcW w:w="854" w:type="pct"/>
            <w:shd w:val="clear" w:color="auto" w:fill="auto"/>
            <w:noWrap/>
            <w:tcMar>
              <w:top w:w="15" w:type="dxa"/>
              <w:left w:w="15" w:type="dxa"/>
              <w:right w:w="15" w:type="dxa"/>
            </w:tcMar>
            <w:vAlign w:val="bottom"/>
          </w:tcPr>
          <w:p w14:paraId="4AB572BB">
            <w:pPr>
              <w:spacing w:line="280" w:lineRule="exact"/>
              <w:jc w:val="center"/>
              <w:rPr>
                <w:rFonts w:hint="default" w:ascii="Times New Roman" w:cs="宋体"/>
                <w:color w:val="auto"/>
                <w:kern w:val="2"/>
                <w:sz w:val="20"/>
                <w:szCs w:val="20"/>
                <w:highlight w:val="none"/>
              </w:rPr>
            </w:pPr>
          </w:p>
        </w:tc>
        <w:tc>
          <w:tcPr>
            <w:tcW w:w="840" w:type="pct"/>
            <w:shd w:val="clear" w:color="auto" w:fill="auto"/>
            <w:noWrap/>
            <w:tcMar>
              <w:top w:w="15" w:type="dxa"/>
              <w:left w:w="15" w:type="dxa"/>
              <w:right w:w="15" w:type="dxa"/>
            </w:tcMar>
            <w:vAlign w:val="bottom"/>
          </w:tcPr>
          <w:p w14:paraId="5E32B0E3">
            <w:pPr>
              <w:spacing w:line="280" w:lineRule="exact"/>
              <w:jc w:val="right"/>
              <w:rPr>
                <w:rFonts w:hint="default" w:ascii="Times New Roman" w:cs="宋体"/>
                <w:color w:val="auto"/>
                <w:kern w:val="2"/>
                <w:sz w:val="20"/>
                <w:szCs w:val="20"/>
                <w:highlight w:val="none"/>
              </w:rPr>
            </w:pPr>
          </w:p>
        </w:tc>
        <w:tc>
          <w:tcPr>
            <w:tcW w:w="1299" w:type="pct"/>
            <w:shd w:val="clear" w:color="auto" w:fill="auto"/>
            <w:noWrap/>
            <w:tcMar>
              <w:top w:w="15" w:type="dxa"/>
              <w:left w:w="15" w:type="dxa"/>
              <w:right w:w="15" w:type="dxa"/>
            </w:tcMar>
            <w:vAlign w:val="bottom"/>
          </w:tcPr>
          <w:p w14:paraId="1CB0FFBF">
            <w:pPr>
              <w:spacing w:line="280" w:lineRule="exact"/>
              <w:rPr>
                <w:rFonts w:hint="default" w:ascii="Times New Roman" w:cs="宋体"/>
                <w:color w:val="auto"/>
                <w:kern w:val="2"/>
                <w:sz w:val="20"/>
                <w:szCs w:val="20"/>
                <w:highlight w:val="none"/>
              </w:rPr>
            </w:pPr>
          </w:p>
        </w:tc>
        <w:tc>
          <w:tcPr>
            <w:tcW w:w="879" w:type="pct"/>
            <w:shd w:val="clear" w:color="auto" w:fill="auto"/>
            <w:noWrap/>
            <w:tcMar>
              <w:top w:w="15" w:type="dxa"/>
              <w:left w:w="15" w:type="dxa"/>
              <w:right w:w="15" w:type="dxa"/>
            </w:tcMar>
            <w:vAlign w:val="bottom"/>
          </w:tcPr>
          <w:p w14:paraId="21026D07">
            <w:pPr>
              <w:spacing w:line="280" w:lineRule="exact"/>
              <w:jc w:val="right"/>
              <w:textAlignment w:val="bottom"/>
              <w:rPr>
                <w:rFonts w:hint="default" w:ascii="Times New Roman" w:cs="宋体"/>
                <w:color w:val="auto"/>
                <w:kern w:val="2"/>
                <w:sz w:val="20"/>
                <w:szCs w:val="20"/>
                <w:highlight w:val="none"/>
              </w:rPr>
            </w:pPr>
            <w:r>
              <w:rPr>
                <w:rFonts w:ascii="Times New Roman" w:cs="宋体"/>
                <w:color w:val="auto"/>
                <w:kern w:val="2"/>
                <w:sz w:val="20"/>
                <w:szCs w:val="20"/>
                <w:highlight w:val="none"/>
              </w:rPr>
              <w:t>公开</w:t>
            </w:r>
            <w:r>
              <w:rPr>
                <w:rFonts w:hint="default" w:ascii="Times New Roman" w:hAnsi="Times New Roman"/>
                <w:color w:val="auto"/>
                <w:kern w:val="2"/>
                <w:sz w:val="20"/>
                <w:szCs w:val="20"/>
                <w:highlight w:val="none"/>
              </w:rPr>
              <w:t>09</w:t>
            </w:r>
            <w:r>
              <w:rPr>
                <w:rFonts w:ascii="Times New Roman" w:cs="宋体"/>
                <w:color w:val="auto"/>
                <w:kern w:val="2"/>
                <w:sz w:val="20"/>
                <w:szCs w:val="20"/>
                <w:highlight w:val="none"/>
              </w:rPr>
              <w:t>表</w:t>
            </w:r>
          </w:p>
        </w:tc>
      </w:tr>
      <w:tr w14:paraId="4FD9052C">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FF03A50">
            <w:pPr>
              <w:spacing w:line="280" w:lineRule="exact"/>
              <w:rPr>
                <w:rFonts w:hint="default" w:ascii="Times New Roman" w:cs="宋体"/>
                <w:color w:val="auto"/>
                <w:kern w:val="2"/>
                <w:sz w:val="20"/>
                <w:szCs w:val="20"/>
                <w:highlight w:val="none"/>
              </w:rPr>
            </w:pPr>
            <w:r>
              <w:rPr>
                <w:rFonts w:hint="eastAsia" w:ascii="Times New Roman" w:cs="宋体"/>
                <w:color w:val="auto"/>
                <w:kern w:val="2"/>
                <w:sz w:val="20"/>
                <w:szCs w:val="20"/>
                <w:highlight w:val="none"/>
                <w:lang w:eastAsia="zh-CN"/>
              </w:rPr>
              <w:t>单位</w:t>
            </w:r>
            <w:r>
              <w:rPr>
                <w:rFonts w:ascii="Times New Roman" w:cs="宋体"/>
                <w:color w:val="auto"/>
                <w:kern w:val="2"/>
                <w:sz w:val="20"/>
                <w:szCs w:val="20"/>
                <w:highlight w:val="none"/>
              </w:rPr>
              <w:t>：</w:t>
            </w:r>
            <w:r>
              <w:rPr>
                <w:rFonts w:ascii="Times New Roman"/>
                <w:color w:val="auto"/>
                <w:sz w:val="20"/>
                <w:highlight w:val="none"/>
                <w:u w:color="auto"/>
              </w:rPr>
              <w:t>丰都县公共资源交易中心（本级）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25B5656B">
            <w:pPr>
              <w:spacing w:line="280" w:lineRule="exact"/>
              <w:jc w:val="right"/>
              <w:rPr>
                <w:rFonts w:hint="default" w:ascii="Times New Roman" w:cs="宋体"/>
                <w:color w:val="auto"/>
                <w:kern w:val="2"/>
                <w:sz w:val="20"/>
                <w:szCs w:val="20"/>
                <w:highlight w:val="none"/>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2C4E18DC">
            <w:pPr>
              <w:spacing w:line="280" w:lineRule="exact"/>
              <w:rPr>
                <w:rFonts w:hint="default" w:ascii="Times New Roman" w:cs="宋体"/>
                <w:color w:val="auto"/>
                <w:kern w:val="2"/>
                <w:sz w:val="20"/>
                <w:szCs w:val="20"/>
                <w:highlight w:val="none"/>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53007D4B">
            <w:pPr>
              <w:spacing w:line="280" w:lineRule="exact"/>
              <w:jc w:val="right"/>
              <w:textAlignment w:val="bottom"/>
              <w:rPr>
                <w:rFonts w:hint="default" w:ascii="Times New Roman" w:cs="宋体"/>
                <w:color w:val="auto"/>
                <w:kern w:val="2"/>
                <w:sz w:val="20"/>
                <w:szCs w:val="20"/>
                <w:highlight w:val="none"/>
              </w:rPr>
            </w:pPr>
            <w:r>
              <w:rPr>
                <w:rFonts w:ascii="Times New Roman" w:cs="宋体"/>
                <w:color w:val="auto"/>
                <w:kern w:val="2"/>
                <w:sz w:val="20"/>
                <w:szCs w:val="20"/>
                <w:highlight w:val="none"/>
              </w:rPr>
              <w:t>单位：万元</w:t>
            </w:r>
          </w:p>
        </w:tc>
      </w:tr>
      <w:tr w14:paraId="27FD7ADF">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3BBB6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CE928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18449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BEF25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C52CE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决算数</w:t>
            </w:r>
          </w:p>
        </w:tc>
      </w:tr>
      <w:tr w14:paraId="337EBE6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FD3A3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3CA2E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2413F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E428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7573C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7D6072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D64AC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592B2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2.64</w:t>
            </w:r>
            <w:r>
              <w:rPr>
                <w:rFonts w:ascii="Times New Roman" w:hAnsi="Times New Roman"/>
                <w:color w:val="auto"/>
                <w:sz w:val="18"/>
                <w:highlight w:val="none"/>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D070B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2.64</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DEDA4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02175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E5FF87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4DD3D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58573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E82A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0D8EB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0D91B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FA1DB4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7DDF5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24A19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2.56</w:t>
            </w:r>
            <w:r>
              <w:rPr>
                <w:rFonts w:ascii="Times New Roman" w:hAnsi="Times New Roman"/>
                <w:color w:val="auto"/>
                <w:sz w:val="18"/>
                <w:highlight w:val="none"/>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7B23E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2.56</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A2013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0C683B">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w:t>
            </w:r>
          </w:p>
        </w:tc>
      </w:tr>
      <w:tr w14:paraId="0C932F8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D7288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583D8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5445A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5DC13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F12F5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w:t>
            </w:r>
            <w:r>
              <w:rPr>
                <w:rFonts w:ascii="Times New Roman" w:hAnsi="Times New Roman"/>
                <w:color w:val="auto"/>
                <w:sz w:val="18"/>
                <w:highlight w:val="none"/>
                <w:u w:color="auto"/>
              </w:rPr>
              <w:t xml:space="preserve"> </w:t>
            </w:r>
          </w:p>
        </w:tc>
      </w:tr>
      <w:tr w14:paraId="5031B6E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5C979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8272B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2.56</w:t>
            </w:r>
            <w:r>
              <w:rPr>
                <w:rFonts w:ascii="Times New Roman" w:hAnsi="Times New Roman"/>
                <w:color w:val="auto"/>
                <w:sz w:val="18"/>
                <w:highlight w:val="none"/>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87F92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2.56</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174D0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3841B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0A66F1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14CEF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F3789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0.08</w:t>
            </w:r>
            <w:r>
              <w:rPr>
                <w:rFonts w:ascii="Times New Roman" w:hAnsi="Times New Roman"/>
                <w:color w:val="auto"/>
                <w:sz w:val="18"/>
                <w:highlight w:val="none"/>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E613C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0.08</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AA7C4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0C721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C836E5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88D17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B6EFE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E3F07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0.08</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CF51B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53D64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2924ACF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E6A3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41916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C024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550D0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EFD33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1</w:t>
            </w:r>
            <w:r>
              <w:rPr>
                <w:rFonts w:ascii="Times New Roman" w:hAnsi="Times New Roman"/>
                <w:color w:val="auto"/>
                <w:sz w:val="18"/>
                <w:highlight w:val="none"/>
                <w:u w:color="auto"/>
              </w:rPr>
              <w:t xml:space="preserve"> </w:t>
            </w:r>
          </w:p>
        </w:tc>
      </w:tr>
      <w:tr w14:paraId="09AF0B3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92157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72B36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F81CC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0A55B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828FB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91E18E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B5E28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7BDDE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4D757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05664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CF8E4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5411396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5B7E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1407D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09E7C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9E1C6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19CB1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7772E4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345CA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15456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02ED4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75687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B735D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3DA653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8B2A7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58A18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B8CC0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C0117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D329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9D8DBF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B0343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710DE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A5893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1</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96FAA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A7E5B1">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w:t>
            </w:r>
          </w:p>
        </w:tc>
      </w:tr>
      <w:tr w14:paraId="03D46E5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3D21B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4DC49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7614F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1</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353B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342C1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794C101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1E5CD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BFB12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6812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03797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9A2C8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4403F97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BD33C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D03D5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402CC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10</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3795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AFE8F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6BD18E6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C54F8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ED5F7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E9A08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72A78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7A58A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1ED880F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FA4D3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7F9C1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06B7D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8DA70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5B83E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322F1D4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0FB70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27D57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39512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E203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kern w:val="2"/>
                <w:sz w:val="16"/>
                <w:szCs w:val="16"/>
                <w:highlight w:val="none"/>
              </w:rPr>
            </w:pPr>
            <w:r>
              <w:rPr>
                <w:rFonts w:ascii="Times New Roman" w:cs="宋体"/>
                <w:b/>
                <w:bCs/>
                <w:color w:val="auto"/>
                <w:kern w:val="2"/>
                <w:sz w:val="16"/>
                <w:szCs w:val="16"/>
                <w:highlight w:val="none"/>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395BA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ascii="Times New Roman" w:hAnsi="Times New Roman"/>
                <w:color w:val="auto"/>
                <w:sz w:val="18"/>
                <w:highlight w:val="none"/>
                <w:u w:color="auto"/>
              </w:rPr>
              <w:t xml:space="preserve"> </w:t>
            </w:r>
          </w:p>
        </w:tc>
      </w:tr>
      <w:tr w14:paraId="0A282ABF">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6C2B6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84B14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73685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599774">
            <w:pPr>
              <w:keepNext w:val="0"/>
              <w:keepLines w:val="0"/>
              <w:pageBreakBefore w:val="0"/>
              <w:widowControl/>
              <w:kinsoku/>
              <w:wordWrap/>
              <w:overflowPunct/>
              <w:topLinePunct w:val="0"/>
              <w:autoSpaceDE/>
              <w:autoSpaceDN/>
              <w:bidi w:val="0"/>
              <w:adjustRightInd/>
              <w:snapToGrid/>
              <w:spacing w:line="280" w:lineRule="exact"/>
              <w:rPr>
                <w:rFonts w:hint="default" w:ascii="Times New Roman" w:cs="宋体"/>
                <w:color w:val="auto"/>
                <w:kern w:val="2"/>
                <w:sz w:val="16"/>
                <w:szCs w:val="16"/>
                <w:highlight w:val="none"/>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60B483">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cs="宋体"/>
                <w:color w:val="auto"/>
                <w:kern w:val="2"/>
                <w:sz w:val="16"/>
                <w:szCs w:val="16"/>
                <w:highlight w:val="none"/>
              </w:rPr>
            </w:pPr>
          </w:p>
        </w:tc>
      </w:tr>
      <w:tr w14:paraId="697EFE66">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0325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color w:val="auto"/>
                <w:kern w:val="2"/>
                <w:sz w:val="16"/>
                <w:szCs w:val="16"/>
                <w:highlight w:val="none"/>
              </w:rPr>
            </w:pPr>
            <w:r>
              <w:rPr>
                <w:rFonts w:ascii="Times New Roman" w:cs="宋体"/>
                <w:b/>
                <w:color w:val="auto"/>
                <w:kern w:val="2"/>
                <w:sz w:val="16"/>
                <w:szCs w:val="16"/>
                <w:highlight w:val="none"/>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9171E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1623E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kern w:val="2"/>
                <w:sz w:val="18"/>
                <w:szCs w:val="18"/>
                <w:highlight w:val="none"/>
              </w:rPr>
            </w:pPr>
            <w:r>
              <w:rPr>
                <w:rFonts w:hint="default" w:ascii="Times New Roman" w:hAnsi="Times New Roman"/>
                <w:color w:val="auto"/>
                <w:kern w:val="2"/>
                <w:sz w:val="18"/>
                <w:szCs w:val="18"/>
                <w:highlight w:val="none"/>
              </w:rPr>
              <w:t>0.45</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E027E9">
            <w:pPr>
              <w:keepNext w:val="0"/>
              <w:keepLines w:val="0"/>
              <w:pageBreakBefore w:val="0"/>
              <w:widowControl/>
              <w:kinsoku/>
              <w:wordWrap/>
              <w:overflowPunct/>
              <w:topLinePunct w:val="0"/>
              <w:autoSpaceDE/>
              <w:autoSpaceDN/>
              <w:bidi w:val="0"/>
              <w:adjustRightInd/>
              <w:snapToGrid/>
              <w:spacing w:line="280" w:lineRule="exact"/>
              <w:rPr>
                <w:rFonts w:hint="default" w:ascii="Times New Roman" w:cs="宋体"/>
                <w:color w:val="auto"/>
                <w:kern w:val="2"/>
                <w:sz w:val="16"/>
                <w:szCs w:val="16"/>
                <w:highlight w:val="none"/>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25077F">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cs="宋体"/>
                <w:color w:val="auto"/>
                <w:kern w:val="2"/>
                <w:sz w:val="16"/>
                <w:szCs w:val="16"/>
                <w:highlight w:val="none"/>
              </w:rPr>
            </w:pPr>
          </w:p>
        </w:tc>
      </w:tr>
      <w:tr w14:paraId="7D183B6F">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275A1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cs="宋体"/>
                <w:b/>
                <w:bCs/>
                <w:color w:val="auto"/>
                <w:sz w:val="16"/>
                <w:szCs w:val="16"/>
                <w:highlight w:val="none"/>
              </w:rPr>
            </w:pPr>
            <w:r>
              <w:rPr>
                <w:rFonts w:ascii="Times New Roman" w:cs="宋体"/>
                <w:b/>
                <w:bCs/>
                <w:color w:val="auto"/>
                <w:sz w:val="16"/>
                <w:szCs w:val="16"/>
                <w:highlight w:val="none"/>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C2AA2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4CCF7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auto"/>
                <w:sz w:val="18"/>
                <w:szCs w:val="18"/>
                <w:highlight w:val="none"/>
              </w:rPr>
            </w:pPr>
            <w:r>
              <w:rPr>
                <w:rFonts w:hint="default" w:ascii="Times New Roman" w:hAnsi="Times New Roman"/>
                <w:color w:val="auto"/>
                <w:sz w:val="18"/>
                <w:szCs w:val="18"/>
                <w:highlight w:val="none"/>
              </w:rPr>
              <w:t>6.87</w:t>
            </w:r>
            <w:r>
              <w:rPr>
                <w:rFonts w:ascii="Times New Roman" w:hAnsi="Times New Roman"/>
                <w:color w:val="auto"/>
                <w:sz w:val="18"/>
                <w:highlight w:val="none"/>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C189EF">
            <w:pPr>
              <w:keepNext w:val="0"/>
              <w:keepLines w:val="0"/>
              <w:pageBreakBefore w:val="0"/>
              <w:widowControl/>
              <w:kinsoku/>
              <w:wordWrap/>
              <w:overflowPunct/>
              <w:topLinePunct w:val="0"/>
              <w:autoSpaceDE/>
              <w:autoSpaceDN/>
              <w:bidi w:val="0"/>
              <w:adjustRightInd/>
              <w:snapToGrid/>
              <w:spacing w:line="280" w:lineRule="exact"/>
              <w:rPr>
                <w:rFonts w:hint="default" w:ascii="Times New Roman" w:cs="宋体"/>
                <w:color w:val="auto"/>
                <w:sz w:val="16"/>
                <w:szCs w:val="16"/>
                <w:highlight w:val="none"/>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8D5661">
            <w:pPr>
              <w:keepNext w:val="0"/>
              <w:keepLines w:val="0"/>
              <w:pageBreakBefore w:val="0"/>
              <w:widowControl/>
              <w:kinsoku/>
              <w:wordWrap/>
              <w:overflowPunct/>
              <w:topLinePunct w:val="0"/>
              <w:autoSpaceDE/>
              <w:autoSpaceDN/>
              <w:bidi w:val="0"/>
              <w:adjustRightInd/>
              <w:snapToGrid/>
              <w:spacing w:line="280" w:lineRule="exact"/>
              <w:jc w:val="right"/>
              <w:rPr>
                <w:rFonts w:hint="default" w:ascii="Times New Roman" w:cs="宋体"/>
                <w:color w:val="auto"/>
                <w:sz w:val="16"/>
                <w:szCs w:val="16"/>
                <w:highlight w:val="none"/>
              </w:rPr>
            </w:pPr>
          </w:p>
        </w:tc>
      </w:tr>
    </w:tbl>
    <w:p w14:paraId="60F568A3">
      <w:pPr>
        <w:ind w:firstLine="360" w:firstLineChars="200"/>
        <w:rPr>
          <w:rFonts w:hint="default" w:ascii="Times New Roman"/>
          <w:color w:val="auto"/>
          <w:sz w:val="18"/>
          <w:szCs w:val="18"/>
          <w:highlight w:val="none"/>
        </w:rPr>
      </w:pPr>
      <w:r>
        <w:rPr>
          <w:rFonts w:ascii="Times New Roman" w:cs="宋体"/>
          <w:color w:val="auto"/>
          <w:sz w:val="18"/>
          <w:szCs w:val="18"/>
          <w:highlight w:val="none"/>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ascii="Times New Roman" w:cs="宋体"/>
          <w:color w:val="auto"/>
          <w:sz w:val="18"/>
          <w:szCs w:val="18"/>
          <w:highlight w:val="none"/>
        </w:rPr>
        <w:br w:type="textWrapping"/>
      </w:r>
      <w:r>
        <w:rPr>
          <w:rFonts w:ascii="Times New Roman" w:cs="宋体"/>
          <w:color w:val="auto"/>
          <w:sz w:val="18"/>
          <w:szCs w:val="18"/>
          <w:highlight w:val="none"/>
        </w:rPr>
        <w:t xml:space="preserve">      2.本套报表金额单位转换时可能存在尾数误差。</w:t>
      </w:r>
      <w:r>
        <w:rPr>
          <w:rFonts w:ascii="Times New Roman" w:cs="宋体"/>
          <w:color w:val="auto"/>
          <w:sz w:val="18"/>
          <w:szCs w:val="18"/>
          <w:highlight w:val="none"/>
        </w:rPr>
        <w:br w:type="textWrapping"/>
      </w:r>
      <w:r>
        <w:rPr>
          <w:rFonts w:ascii="Times New Roman" w:cs="宋体"/>
          <w:color w:val="auto"/>
          <w:sz w:val="18"/>
          <w:szCs w:val="18"/>
          <w:highlight w:val="none"/>
        </w:rPr>
        <w:br w:type="textWrapping"/>
      </w:r>
    </w:p>
    <w:sectPr>
      <w:headerReference r:id="rId5" w:type="default"/>
      <w:footerReference r:id="rId6" w:type="default"/>
      <w:pgSz w:w="16783" w:h="11850" w:orient="landscape"/>
      <w:pgMar w:top="2098" w:right="1474" w:bottom="1984" w:left="158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769E8C1-CC07-4958-8FC5-56836A53D7B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embedRegular r:id="rId2" w:fontKey="{09C3B27A-09FB-4E76-BE4E-F4B431C4980E}"/>
  </w:font>
  <w:font w:name="方正黑体_GBK">
    <w:panose1 w:val="03000509000000000000"/>
    <w:charset w:val="86"/>
    <w:family w:val="auto"/>
    <w:pitch w:val="default"/>
    <w:sig w:usb0="00000001" w:usb1="080E0000" w:usb2="00000000" w:usb3="00000000" w:csb0="00040000" w:csb1="00000000"/>
    <w:embedRegular r:id="rId3" w:fontKey="{DDA78306-37FB-4682-A923-7B180513EFA2}"/>
  </w:font>
  <w:font w:name="方正仿宋_GBK">
    <w:panose1 w:val="03000509000000000000"/>
    <w:charset w:val="86"/>
    <w:family w:val="script"/>
    <w:pitch w:val="default"/>
    <w:sig w:usb0="00000001" w:usb1="080E0000" w:usb2="00000000" w:usb3="00000000" w:csb0="00040000" w:csb1="00000000"/>
    <w:embedRegular r:id="rId4" w:fontKey="{A02C74C3-AED3-4717-A307-62B99AF4573A}"/>
  </w:font>
  <w:font w:name="方正楷体_GBK">
    <w:panose1 w:val="03000509000000000000"/>
    <w:charset w:val="86"/>
    <w:family w:val="auto"/>
    <w:pitch w:val="default"/>
    <w:sig w:usb0="00000001" w:usb1="080E0000" w:usb2="00000000" w:usb3="00000000" w:csb0="00040000" w:csb1="00000000"/>
    <w:embedRegular r:id="rId5" w:fontKey="{B1DF7349-7F63-4611-85C3-01732F0F197E}"/>
  </w:font>
  <w:font w:name="微软雅黑">
    <w:panose1 w:val="020B0503020204020204"/>
    <w:charset w:val="86"/>
    <w:family w:val="auto"/>
    <w:pitch w:val="default"/>
    <w:sig w:usb0="80000287" w:usb1="280F3C52" w:usb2="00000016" w:usb3="00000000" w:csb0="0004001F" w:csb1="00000000"/>
    <w:embedRegular r:id="rId6" w:fontKey="{4604A6BB-65F2-4145-B219-8D8CDB5F97E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980D9">
    <w:pPr>
      <w:pStyle w:val="6"/>
      <w:rPr>
        <w:rFonts w:hint="default" w:ascii="Times New Roman"/>
      </w:rPr>
    </w:pPr>
    <w:r>
      <w:rPr>
        <w:rFonts w:hint="default" w:ascii="Times New Roman"/>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DC13041">
                <w:pPr>
                  <w:pStyle w:val="6"/>
                  <w:rPr>
                    <w:rFonts w:hint="default" w:ascii="宋体" w:hAnsi="宋体" w:eastAsia="宋体" w:cs="宋体"/>
                    <w:b w:val="0"/>
                    <w:bCs w:val="0"/>
                  </w:rPr>
                </w:pPr>
                <w:r>
                  <w:rPr>
                    <w:rFonts w:ascii="宋体" w:hAnsi="宋体" w:eastAsia="宋体" w:cs="宋体"/>
                    <w:b w:val="0"/>
                    <w:bCs w:val="0"/>
                  </w:rPr>
                  <w:fldChar w:fldCharType="begin"/>
                </w:r>
                <w:r>
                  <w:rPr>
                    <w:rFonts w:ascii="宋体" w:hAnsi="宋体" w:eastAsia="宋体" w:cs="宋体"/>
                    <w:b w:val="0"/>
                    <w:bCs w:val="0"/>
                  </w:rPr>
                  <w:instrText xml:space="preserve"> PAGE  \* MERGEFORMAT </w:instrText>
                </w:r>
                <w:r>
                  <w:rPr>
                    <w:rFonts w:ascii="宋体" w:hAnsi="宋体" w:eastAsia="宋体" w:cs="宋体"/>
                    <w:b w:val="0"/>
                    <w:bCs w:val="0"/>
                  </w:rPr>
                  <w:fldChar w:fldCharType="separate"/>
                </w:r>
                <w:r>
                  <w:rPr>
                    <w:rFonts w:hint="default" w:ascii="宋体" w:hAnsi="宋体" w:eastAsia="宋体" w:cs="宋体"/>
                    <w:b w:val="0"/>
                    <w:bCs w:val="0"/>
                  </w:rPr>
                  <w:t>- 19 -</w:t>
                </w:r>
                <w:r>
                  <w:rPr>
                    <w:rFonts w:ascii="宋体" w:hAnsi="宋体" w:eastAsia="宋体" w:cs="宋体"/>
                    <w:b w:val="0"/>
                    <w:bCs w:val="0"/>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C8338">
    <w:pPr>
      <w:pStyle w:val="6"/>
      <w:jc w:val="both"/>
      <w:rPr>
        <w:rFonts w:hint="default" w:ascii="Times New Roman"/>
      </w:rPr>
    </w:pPr>
    <w:r>
      <w:rPr>
        <w:rFonts w:hint="default" w:ascii="Times New Roman"/>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70189358">
                <w:pPr>
                  <w:pStyle w:val="6"/>
                  <w:rPr>
                    <w:rFonts w:hint="default" w:ascii="宋体" w:hAnsi="宋体" w:eastAsia="宋体" w:cs="宋体"/>
                    <w:b w:val="0"/>
                    <w:bCs w:val="0"/>
                  </w:rPr>
                </w:pPr>
                <w:r>
                  <w:rPr>
                    <w:rFonts w:ascii="宋体" w:hAnsi="宋体" w:eastAsia="宋体" w:cs="宋体"/>
                    <w:b w:val="0"/>
                    <w:bCs w:val="0"/>
                  </w:rPr>
                  <w:t xml:space="preserve"> </w:t>
                </w:r>
                <w:r>
                  <w:rPr>
                    <w:rFonts w:ascii="宋体" w:hAnsi="宋体" w:eastAsia="宋体" w:cs="宋体"/>
                    <w:b w:val="0"/>
                    <w:bCs w:val="0"/>
                  </w:rPr>
                  <w:fldChar w:fldCharType="begin"/>
                </w:r>
                <w:r>
                  <w:rPr>
                    <w:rFonts w:ascii="宋体" w:hAnsi="宋体" w:eastAsia="宋体" w:cs="宋体"/>
                    <w:b w:val="0"/>
                    <w:bCs w:val="0"/>
                  </w:rPr>
                  <w:instrText xml:space="preserve">PAGE   \* MERGEFORMAT</w:instrText>
                </w:r>
                <w:r>
                  <w:rPr>
                    <w:rFonts w:ascii="宋体" w:hAnsi="宋体" w:eastAsia="宋体" w:cs="宋体"/>
                    <w:b w:val="0"/>
                    <w:bCs w:val="0"/>
                  </w:rPr>
                  <w:fldChar w:fldCharType="separate"/>
                </w:r>
                <w:r>
                  <w:rPr>
                    <w:rFonts w:hint="default" w:ascii="宋体" w:hAnsi="宋体" w:eastAsia="宋体" w:cs="宋体"/>
                    <w:b w:val="0"/>
                    <w:bCs w:val="0"/>
                    <w:lang w:val="zh-CN"/>
                  </w:rPr>
                  <w:t>-</w:t>
                </w:r>
                <w:r>
                  <w:rPr>
                    <w:rFonts w:hint="default" w:ascii="宋体" w:hAnsi="宋体" w:eastAsia="宋体" w:cs="宋体"/>
                    <w:b w:val="0"/>
                    <w:bCs w:val="0"/>
                  </w:rPr>
                  <w:t xml:space="preserve"> 31 -</w:t>
                </w:r>
                <w:r>
                  <w:rPr>
                    <w:rFonts w:ascii="宋体" w:hAnsi="宋体" w:eastAsia="宋体" w:cs="宋体"/>
                    <w:b w:val="0"/>
                    <w:bCs w:val="0"/>
                  </w:rPr>
                  <w:fldChar w:fldCharType="end"/>
                </w:r>
                <w:r>
                  <w:rPr>
                    <w:rFonts w:ascii="宋体" w:hAnsi="宋体" w:eastAsia="宋体" w:cs="宋体"/>
                    <w:b w:val="0"/>
                    <w:bCs w:val="0"/>
                  </w:rPr>
                  <w:t xml:space="preserve"> </w:t>
                </w:r>
              </w:p>
            </w:txbxContent>
          </v:textbox>
        </v:shape>
      </w:pict>
    </w:r>
    <w:r>
      <w:rPr>
        <w:rFonts w:hint="default" w:ascii="Times New Roman"/>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7BAA3BBB">
                <w:pPr>
                  <w:pStyle w:val="6"/>
                  <w:jc w:val="both"/>
                  <w:rPr>
                    <w:rFonts w:hint="default" w:ascii="Times New Roman" w:cs="宋体"/>
                  </w:rPr>
                </w:pPr>
                <w:r>
                  <w:rPr>
                    <w:rFonts w:ascii="Times New Roman"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2E960">
    <w:pPr>
      <w:pStyle w:val="7"/>
      <w:rPr>
        <w:rFonts w:asci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B39F1">
    <w:pPr>
      <w:pStyle w:val="7"/>
      <w:tabs>
        <w:tab w:val="left" w:pos="1758"/>
        <w:tab w:val="clear" w:pos="4153"/>
        <w:tab w:val="clear" w:pos="8306"/>
      </w:tabs>
      <w:rPr>
        <w:rFonts w:hint="default" w:asci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Q1OGM2OGU5MWMyY2NhOGM2ODZlOGI4ZWVlZTkzNWQ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5C66DF"/>
    <w:rsid w:val="01F3521E"/>
    <w:rsid w:val="03B87EA0"/>
    <w:rsid w:val="03E3214F"/>
    <w:rsid w:val="044C50BA"/>
    <w:rsid w:val="053C391B"/>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A22C91"/>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84718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3705C9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C7A5B1E"/>
    <w:rsid w:val="2C9E03D9"/>
    <w:rsid w:val="2DE55AB4"/>
    <w:rsid w:val="2FCA4B37"/>
    <w:rsid w:val="2FE029D7"/>
    <w:rsid w:val="2FF06E00"/>
    <w:rsid w:val="30586FEC"/>
    <w:rsid w:val="315F0B22"/>
    <w:rsid w:val="319F4CB8"/>
    <w:rsid w:val="31A15828"/>
    <w:rsid w:val="31D84415"/>
    <w:rsid w:val="32285F6F"/>
    <w:rsid w:val="324E146A"/>
    <w:rsid w:val="32770556"/>
    <w:rsid w:val="329C0913"/>
    <w:rsid w:val="32AA0460"/>
    <w:rsid w:val="3337290D"/>
    <w:rsid w:val="33E31118"/>
    <w:rsid w:val="33EF7674"/>
    <w:rsid w:val="342D7BC6"/>
    <w:rsid w:val="352930DB"/>
    <w:rsid w:val="35573069"/>
    <w:rsid w:val="355F6038"/>
    <w:rsid w:val="358C217E"/>
    <w:rsid w:val="36C9128A"/>
    <w:rsid w:val="377D034B"/>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1B52EE"/>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9D6B26"/>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3674B7"/>
    <w:rsid w:val="495C4A24"/>
    <w:rsid w:val="497135DF"/>
    <w:rsid w:val="4A263DF2"/>
    <w:rsid w:val="4A2F278B"/>
    <w:rsid w:val="4A6F6675"/>
    <w:rsid w:val="4A9349AD"/>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777C50"/>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9562FF"/>
    <w:rsid w:val="5DA80C2C"/>
    <w:rsid w:val="5F2D4A41"/>
    <w:rsid w:val="60C74F6C"/>
    <w:rsid w:val="61015958"/>
    <w:rsid w:val="61025A59"/>
    <w:rsid w:val="613D5BBC"/>
    <w:rsid w:val="61536C39"/>
    <w:rsid w:val="62944DD7"/>
    <w:rsid w:val="6319381F"/>
    <w:rsid w:val="63C25DC5"/>
    <w:rsid w:val="63C62057"/>
    <w:rsid w:val="640003F5"/>
    <w:rsid w:val="64571EF5"/>
    <w:rsid w:val="647C7B30"/>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8C2625"/>
    <w:rsid w:val="68A81633"/>
    <w:rsid w:val="68EB1B71"/>
    <w:rsid w:val="696C0310"/>
    <w:rsid w:val="6A6C7940"/>
    <w:rsid w:val="6A9F1565"/>
    <w:rsid w:val="6AAD2300"/>
    <w:rsid w:val="6B474EF5"/>
    <w:rsid w:val="6BC938E5"/>
    <w:rsid w:val="6C0A5AC5"/>
    <w:rsid w:val="6C560CAE"/>
    <w:rsid w:val="6C576495"/>
    <w:rsid w:val="6D425E7A"/>
    <w:rsid w:val="6D903FF5"/>
    <w:rsid w:val="6DA955B8"/>
    <w:rsid w:val="6DE346AB"/>
    <w:rsid w:val="6DE5391A"/>
    <w:rsid w:val="6EFD1324"/>
    <w:rsid w:val="6F5A53AC"/>
    <w:rsid w:val="6FAC003D"/>
    <w:rsid w:val="6FD926BF"/>
    <w:rsid w:val="6FE55E12"/>
    <w:rsid w:val="6FFB2E76"/>
    <w:rsid w:val="708F6F7F"/>
    <w:rsid w:val="70D94BD3"/>
    <w:rsid w:val="71574775"/>
    <w:rsid w:val="71C34D91"/>
    <w:rsid w:val="71E4520B"/>
    <w:rsid w:val="72077373"/>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Times New Roman" w:hAnsi="宋体" w:eastAsia="宋体" w:cs="Times New Roman"/>
      <w:sz w:val="24"/>
      <w:szCs w:val="24"/>
      <w:lang w:val="en-US" w:eastAsia="zh-CN" w:bidi="ar-SA"/>
    </w:rPr>
  </w:style>
  <w:style w:type="character" w:default="1" w:styleId="12">
    <w:name w:val="Default Paragraph Font"/>
    <w:semiHidden/>
    <w:unhideWhenUsed/>
    <w:qFormat/>
    <w:uiPriority w:val="1"/>
    <w:rPr>
      <w:rFonts w:ascii="Times New Roman"/>
    </w:rPr>
  </w:style>
  <w:style w:type="table" w:default="1" w:styleId="10">
    <w:name w:val="Normal Table"/>
    <w:semiHidden/>
    <w:unhideWhenUsed/>
    <w:qFormat/>
    <w:uiPriority w:val="99"/>
    <w:rPr>
      <w:rFonts w:ascii="Times New Roman"/>
    </w:rPr>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rFonts w:ascii="Times New Roman"/>
      <w:sz w:val="18"/>
      <w:szCs w:val="18"/>
    </w:rPr>
  </w:style>
  <w:style w:type="paragraph" w:styleId="3">
    <w:name w:val="Body Text First Indent 2"/>
    <w:basedOn w:val="4"/>
    <w:next w:val="1"/>
    <w:unhideWhenUsed/>
    <w:qFormat/>
    <w:uiPriority w:val="99"/>
    <w:pPr>
      <w:ind w:firstLine="420" w:firstLineChars="200"/>
    </w:pPr>
    <w:rPr>
      <w:rFonts w:ascii="Times New Roman"/>
    </w:rPr>
  </w:style>
  <w:style w:type="paragraph" w:styleId="4">
    <w:name w:val="Body Text Indent"/>
    <w:basedOn w:val="1"/>
    <w:next w:val="3"/>
    <w:unhideWhenUsed/>
    <w:qFormat/>
    <w:uiPriority w:val="99"/>
    <w:pPr>
      <w:widowControl/>
      <w:spacing w:after="120"/>
      <w:ind w:left="420" w:leftChars="200"/>
      <w:jc w:val="left"/>
    </w:pPr>
    <w:rPr>
      <w:rFonts w:ascii="Times New Roman" w:hAnsi="宋体" w:eastAsia="宋体" w:cs="宋体"/>
      <w:kern w:val="0"/>
      <w:sz w:val="24"/>
    </w:rPr>
  </w:style>
  <w:style w:type="paragraph" w:styleId="5">
    <w:name w:val="Balloon Text"/>
    <w:basedOn w:val="1"/>
    <w:link w:val="18"/>
    <w:qFormat/>
    <w:uiPriority w:val="0"/>
    <w:rPr>
      <w:rFonts w:ascii="Times New Roman"/>
      <w:sz w:val="18"/>
      <w:szCs w:val="18"/>
    </w:rPr>
  </w:style>
  <w:style w:type="paragraph" w:styleId="6">
    <w:name w:val="footer"/>
    <w:basedOn w:val="1"/>
    <w:qFormat/>
    <w:uiPriority w:val="0"/>
    <w:pPr>
      <w:tabs>
        <w:tab w:val="center" w:pos="4153"/>
        <w:tab w:val="right" w:pos="8306"/>
      </w:tabs>
      <w:snapToGrid w:val="0"/>
    </w:pPr>
    <w:rPr>
      <w:rFonts w:ascii="Times New Roman"/>
      <w:sz w:val="18"/>
      <w:szCs w:val="18"/>
    </w:rPr>
  </w:style>
  <w:style w:type="paragraph" w:styleId="7">
    <w:name w:val="header"/>
    <w:basedOn w:val="1"/>
    <w:qFormat/>
    <w:uiPriority w:val="0"/>
    <w:pPr>
      <w:tabs>
        <w:tab w:val="center" w:pos="4153"/>
        <w:tab w:val="right" w:pos="8306"/>
      </w:tabs>
      <w:snapToGrid w:val="0"/>
      <w:jc w:val="center"/>
    </w:pPr>
    <w:rPr>
      <w:rFonts w:ascii="Times New Roman"/>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rPr>
  </w:style>
  <w:style w:type="paragraph" w:styleId="9">
    <w:name w:val="Normal (Web)"/>
    <w:basedOn w:val="1"/>
    <w:unhideWhenUsed/>
    <w:qFormat/>
    <w:uiPriority w:val="0"/>
    <w:pPr>
      <w:spacing w:before="100" w:beforeAutospacing="1" w:after="100" w:afterAutospacing="1"/>
    </w:pPr>
    <w:rPr>
      <w:rFonts w:ascii="Times New Roman"/>
    </w:rPr>
  </w:style>
  <w:style w:type="table" w:styleId="11">
    <w:name w:val="Table Grid"/>
    <w:basedOn w:val="10"/>
    <w:qFormat/>
    <w:uiPriority w:val="0"/>
    <w:pPr>
      <w:widowControl w:val="0"/>
      <w:jc w:val="both"/>
    </w:pPr>
    <w:rPr>
      <w:rFonts w:asci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ascii="Times New Roman"/>
    </w:rPr>
  </w:style>
  <w:style w:type="paragraph" w:customStyle="1" w:styleId="15">
    <w:name w:val="普通(网站) Char"/>
    <w:qFormat/>
    <w:uiPriority w:val="0"/>
    <w:pPr>
      <w:spacing w:before="100" w:beforeAutospacing="1" w:after="100" w:afterAutospacing="1"/>
    </w:pPr>
    <w:rPr>
      <w:rFonts w:ascii="Times New Roman" w:hAnsi="宋体" w:eastAsia="宋体" w:cs="Times New Roman"/>
      <w:sz w:val="24"/>
      <w:szCs w:val="24"/>
      <w:lang w:val="en-US" w:eastAsia="zh-CN" w:bidi="ar-SA"/>
    </w:rPr>
  </w:style>
  <w:style w:type="character" w:customStyle="1" w:styleId="16">
    <w:name w:val="21"/>
    <w:basedOn w:val="12"/>
    <w:qFormat/>
    <w:uiPriority w:val="0"/>
    <w:rPr>
      <w:rFonts w:hint="default" w:ascii="Times New Roman" w:hAnsi="Wingdings" w:cs="Wingdings"/>
      <w:b/>
      <w:bCs/>
    </w:rPr>
  </w:style>
  <w:style w:type="paragraph" w:customStyle="1" w:styleId="17">
    <w:name w:val="列出段落2"/>
    <w:qFormat/>
    <w:uiPriority w:val="99"/>
    <w:pPr>
      <w:ind w:firstLine="420" w:firstLineChars="200"/>
    </w:pPr>
    <w:rPr>
      <w:rFonts w:ascii="Times New Roman" w:hAnsi="宋体" w:eastAsia="宋体" w:cs="Times New Roman"/>
      <w:sz w:val="24"/>
      <w:szCs w:val="24"/>
      <w:lang w:val="en-US" w:eastAsia="zh-CN" w:bidi="ar-SA"/>
    </w:rPr>
  </w:style>
  <w:style w:type="character" w:customStyle="1" w:styleId="18">
    <w:name w:val="批注框文本 Char"/>
    <w:basedOn w:val="12"/>
    <w:link w:val="5"/>
    <w:qFormat/>
    <w:uiPriority w:val="0"/>
    <w:rPr>
      <w:rFonts w:ascii="Times New Roman"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Times New Roman"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4058</Words>
  <Characters>4691</Characters>
  <Lines>186</Lines>
  <Paragraphs>52</Paragraphs>
  <TotalTime>10</TotalTime>
  <ScaleCrop>false</ScaleCrop>
  <LinksUpToDate>false</LinksUpToDate>
  <CharactersWithSpaces>4701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Dou</cp:lastModifiedBy>
  <dcterms:modified xsi:type="dcterms:W3CDTF">2025-09-16T07:05:56Z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eyJoZGlkIjoiZGZiN2JhZjBiZDVmYTE2Y2FlMDk3MzY3YTI4NjAzYTMiLCJ1c2VySWQiOiI1MTA1ODU5OTIifQ==</vt:lpwstr>
  </property>
</Properties>
</file>