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9E15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32" w:firstLineChars="200"/>
        <w:jc w:val="center"/>
        <w:textAlignment w:val="auto"/>
        <w:rPr>
          <w:rFonts w:hint="default" w:ascii="Times New Roman" w:hAnsi="方正小标宋_GBK" w:eastAsia="方正小标宋_GBK" w:cs="方正小标宋_GBK"/>
          <w:b w:val="0"/>
          <w:bCs w:val="0"/>
          <w:color w:val="auto"/>
          <w:sz w:val="36"/>
          <w:szCs w:val="36"/>
          <w:highlight w:val="none"/>
          <w:lang w:val="en-US" w:eastAsia="zh-CN"/>
        </w:rPr>
      </w:pPr>
    </w:p>
    <w:p w14:paraId="42BBAB6D">
      <w:pPr>
        <w:pStyle w:val="6"/>
        <w:spacing w:before="0" w:beforeAutospacing="0" w:after="0" w:afterAutospacing="0" w:line="596" w:lineRule="exact"/>
        <w:jc w:val="center"/>
        <w:rPr>
          <w:rFonts w:ascii="Times New Roman" w:hAnsi="方正小标宋_GBK" w:eastAsia="方正小标宋_GBK" w:cs="方正小标宋_GBK"/>
          <w:b w:val="0"/>
          <w:bCs w:val="0"/>
          <w:color w:val="auto"/>
          <w:sz w:val="44"/>
          <w:szCs w:val="44"/>
          <w:highlight w:val="none"/>
        </w:rPr>
      </w:pPr>
      <w:r>
        <w:rPr>
          <w:rFonts w:ascii="Times New Roman" w:hAnsi="方正小标宋_GBK" w:eastAsia="方正小标宋_GBK" w:cs="方正小标宋_GBK"/>
          <w:b w:val="0"/>
          <w:bCs w:val="0"/>
          <w:color w:val="auto"/>
          <w:sz w:val="44"/>
          <w:szCs w:val="44"/>
          <w:highlight w:val="none"/>
        </w:rPr>
        <w:t>丰都县发展和改革委员会</w:t>
      </w:r>
    </w:p>
    <w:p w14:paraId="075D9422">
      <w:pPr>
        <w:pStyle w:val="6"/>
        <w:spacing w:before="0" w:beforeAutospacing="0" w:after="0" w:afterAutospacing="0" w:line="596" w:lineRule="exact"/>
        <w:jc w:val="center"/>
        <w:rPr>
          <w:rFonts w:hint="default" w:ascii="Times New Roman" w:hAnsi="方正小标宋_GBK" w:eastAsia="方正小标宋_GBK" w:cs="方正小标宋_GBK"/>
          <w:b w:val="0"/>
          <w:bCs w:val="0"/>
          <w:color w:val="auto"/>
          <w:sz w:val="44"/>
          <w:szCs w:val="44"/>
          <w:highlight w:val="none"/>
          <w:shd w:val="clear" w:color="auto" w:fill="FFFFFF"/>
        </w:rPr>
      </w:pPr>
      <w:bookmarkStart w:id="0" w:name="_GoBack"/>
      <w:bookmarkEnd w:id="0"/>
      <w:r>
        <w:rPr>
          <w:rFonts w:hint="default" w:ascii="Times New Roman" w:hAnsi="Times New Roman" w:eastAsia="方正小标宋_GBK"/>
          <w:b w:val="0"/>
          <w:bCs w:val="0"/>
          <w:color w:val="auto"/>
          <w:sz w:val="44"/>
          <w:szCs w:val="44"/>
          <w:highlight w:val="none"/>
          <w:shd w:val="clear" w:color="auto" w:fill="FFFFFF"/>
        </w:rPr>
        <w:t>2024</w:t>
      </w:r>
      <w:r>
        <w:rPr>
          <w:rFonts w:ascii="Times New Roman" w:hAnsi="方正小标宋_GBK" w:eastAsia="方正小标宋_GBK" w:cs="方正小标宋_GBK"/>
          <w:b w:val="0"/>
          <w:bCs w:val="0"/>
          <w:color w:val="auto"/>
          <w:sz w:val="44"/>
          <w:szCs w:val="44"/>
          <w:highlight w:val="none"/>
          <w:shd w:val="clear" w:color="auto" w:fill="FFFFFF"/>
        </w:rPr>
        <w:t>年度决算公开说明</w:t>
      </w:r>
    </w:p>
    <w:p w14:paraId="7322E6DC">
      <w:pPr>
        <w:pStyle w:val="6"/>
        <w:keepNext w:val="0"/>
        <w:keepLines w:val="0"/>
        <w:pageBreakBefore w:val="0"/>
        <w:shd w:val="clear" w:color="auto" w:fill="FFFFFF"/>
        <w:kinsoku/>
        <w:overflowPunct w:val="0"/>
        <w:topLinePunct/>
        <w:autoSpaceDN/>
        <w:bidi w:val="0"/>
        <w:spacing w:beforeAutospacing="0" w:line="560" w:lineRule="atLeast"/>
        <w:rPr>
          <w:rFonts w:hint="default" w:ascii="Times New Roman" w:hAnsi="Times New Roman" w:eastAsia="方正黑体_GBK" w:cs="方正黑体_GBK"/>
          <w:b w:val="0"/>
          <w:bCs w:val="0"/>
          <w:color w:val="auto"/>
          <w:sz w:val="32"/>
          <w:szCs w:val="32"/>
          <w:highlight w:val="none"/>
        </w:rPr>
      </w:pPr>
      <w:r>
        <w:rPr>
          <w:rStyle w:val="10"/>
          <w:rFonts w:ascii="Times New Roman" w:hAnsi="Times New Roman" w:eastAsia="方正黑体_GBK" w:cs="方正黑体_GBK"/>
          <w:b w:val="0"/>
          <w:bCs w:val="0"/>
          <w:color w:val="auto"/>
          <w:sz w:val="32"/>
          <w:szCs w:val="32"/>
          <w:highlight w:val="none"/>
          <w:shd w:val="clear" w:color="auto" w:fill="FFFFFF"/>
        </w:rPr>
        <w:t>一、部门基本情况</w:t>
      </w:r>
    </w:p>
    <w:p w14:paraId="4F3FFE97">
      <w:pPr>
        <w:pStyle w:val="6"/>
        <w:keepNext w:val="0"/>
        <w:keepLines w:val="0"/>
        <w:pageBreakBefore w:val="0"/>
        <w:shd w:val="clear" w:color="auto" w:fill="FFFFFF"/>
        <w:kinsoku/>
        <w:overflowPunct w:val="0"/>
        <w:topLinePunct/>
        <w:autoSpaceDN/>
        <w:bidi w:val="0"/>
        <w:spacing w:beforeAutospacing="0" w:line="560" w:lineRule="atLeast"/>
        <w:ind w:firstLine="420"/>
        <w:rPr>
          <w:rFonts w:hint="default" w:ascii="Times New Roman" w:hAnsi="Times New Roman" w:eastAsia="方正仿宋_GBK" w:cs="方正仿宋_GBK"/>
          <w:b w:val="0"/>
          <w:bCs w:val="0"/>
          <w:color w:val="auto"/>
          <w:sz w:val="32"/>
          <w:szCs w:val="32"/>
          <w:highlight w:val="none"/>
        </w:rPr>
      </w:pPr>
      <w:r>
        <w:rPr>
          <w:rStyle w:val="10"/>
          <w:rFonts w:ascii="Times New Roman" w:hAnsi="Times New Roman" w:eastAsia="方正楷体_GBK" w:cs="方正楷体_GBK"/>
          <w:b w:val="0"/>
          <w:bCs w:val="0"/>
          <w:color w:val="auto"/>
          <w:sz w:val="32"/>
          <w:szCs w:val="32"/>
          <w:highlight w:val="none"/>
          <w:shd w:val="clear" w:color="auto" w:fill="FFFFFF"/>
        </w:rPr>
        <w:t>（一）职能职责</w:t>
      </w:r>
    </w:p>
    <w:p w14:paraId="432D70C1">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1.拟订并组织实施全县国民经济和社会发展战略、中长期规划和年度计划。</w:t>
      </w:r>
    </w:p>
    <w:p w14:paraId="21D48492">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2.负责拟订人口发展规划。</w:t>
      </w:r>
    </w:p>
    <w:p w14:paraId="25817621">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3.负责监测全县经济和社会发展态势，承担预测预警和信息引导的责任。</w:t>
      </w:r>
    </w:p>
    <w:p w14:paraId="1A5A2560">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4.承担指导推进和综合协调经济体制改革、城乡综合配套改革试验的责任。</w:t>
      </w:r>
    </w:p>
    <w:p w14:paraId="142D1653">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5.承担全社会固定资产投资调控，规划重大建设项目和生产力布局的责任。</w:t>
      </w:r>
    </w:p>
    <w:p w14:paraId="648FA2D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6.研究对内对外开放的重大问题。研究提出利用内外资和境外投资的战略、规划、总量平衡和结构优化的目标和政策。</w:t>
      </w:r>
    </w:p>
    <w:p w14:paraId="5951A530">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7.研究能源发展的重大战略问题、能源节约和新能源开发问题，拟订能源发展中长期规划和年度计划、政策并组织实施。按规定权限核准、审核重大能源投资项目，安排财政性建设资金。</w:t>
      </w:r>
    </w:p>
    <w:p w14:paraId="3B3D7049">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8.推进经济结构战略性调整。</w:t>
      </w:r>
    </w:p>
    <w:p w14:paraId="0B5BECD0">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9.承担重要商品总量平衡和宏观调控的责任。</w:t>
      </w:r>
    </w:p>
    <w:p w14:paraId="75D77C9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10.负责社会发展与国民经济发展的政策衔接。</w:t>
      </w:r>
    </w:p>
    <w:p w14:paraId="334855B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11.推进可持续发展战略，综合研究经济社会与资源、生态环境协调发展的重大战略问题以及气候变化对经济社会发展的影响。</w:t>
      </w:r>
    </w:p>
    <w:p w14:paraId="338D80DF">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12.组织编制和实施西部大开发总体规划及年度工作目标，承担县西部开发领导小组办公室工作。</w:t>
      </w:r>
    </w:p>
    <w:p w14:paraId="1795355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13.参与国防动员工作，具体承担国防经济动员工作。</w:t>
      </w:r>
    </w:p>
    <w:p w14:paraId="37C889BD">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14.贯彻执行国家价格</w:t>
      </w:r>
      <w:r>
        <w:rPr>
          <w:rFonts w:hint="eastAsia" w:ascii="Times New Roman" w:hAnsi="方正仿宋_GBK" w:eastAsia="方正仿宋_GBK" w:cs="方正仿宋_GBK"/>
          <w:b w:val="0"/>
          <w:bCs w:val="0"/>
          <w:color w:val="auto"/>
          <w:sz w:val="32"/>
          <w:highlight w:val="none"/>
          <w:lang w:eastAsia="zh-CN"/>
        </w:rPr>
        <w:t>法律法规</w:t>
      </w:r>
      <w:r>
        <w:rPr>
          <w:rFonts w:hint="eastAsia" w:ascii="Times New Roman" w:hAnsi="方正仿宋_GBK" w:eastAsia="方正仿宋_GBK" w:cs="方正仿宋_GBK"/>
          <w:b w:val="0"/>
          <w:bCs w:val="0"/>
          <w:color w:val="auto"/>
          <w:sz w:val="32"/>
          <w:highlight w:val="none"/>
        </w:rPr>
        <w:t>、规章和方针，负责组织实施国务院价格主管部门、市政府价格主管部门制定的商品、服务价格和行政事业性收费规定。</w:t>
      </w:r>
    </w:p>
    <w:p w14:paraId="24BD58C5">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15.负责管理实行政府定价、政府指导价的商品和服务价格，制定、调整权限范围内重要商品和服务价格的政府定价和政府指导价，依法组织价格听证。</w:t>
      </w:r>
    </w:p>
    <w:p w14:paraId="5FC2ADC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16.协调、引导已放开的商品和服务价格，依法组织实施价格干预措施或紧急措施。</w:t>
      </w:r>
    </w:p>
    <w:p w14:paraId="6D6799F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17.负责管辖权内的价格和收费监督检查。</w:t>
      </w:r>
    </w:p>
    <w:p w14:paraId="50D94208">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18.研究全县统筹城乡综合配套改革的中长期规划、年度工作方案和综合性政策。</w:t>
      </w:r>
    </w:p>
    <w:p w14:paraId="16F28784">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19.负责发改委机关和所属</w:t>
      </w:r>
      <w:r>
        <w:rPr>
          <w:rFonts w:hint="eastAsia" w:ascii="Times New Roman" w:hAnsi="方正仿宋_GBK" w:cs="方正仿宋_GBK"/>
          <w:color w:val="auto"/>
          <w:sz w:val="32"/>
          <w:highlight w:val="none"/>
          <w:lang w:eastAsia="zh-CN"/>
        </w:rPr>
        <w:t>部门</w:t>
      </w:r>
      <w:r>
        <w:rPr>
          <w:rFonts w:hint="eastAsia" w:ascii="Times New Roman" w:hAnsi="方正仿宋_GBK" w:eastAsia="方正仿宋_GBK" w:cs="方正仿宋_GBK"/>
          <w:b w:val="0"/>
          <w:bCs w:val="0"/>
          <w:color w:val="auto"/>
          <w:sz w:val="32"/>
          <w:highlight w:val="none"/>
        </w:rPr>
        <w:t>的安全监管和信访稳定工作。</w:t>
      </w:r>
    </w:p>
    <w:p w14:paraId="3F7E4122">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20.对智慧丰都方案设计进行审查、对丰都出台大数据相关政策开展技术咨询、专家评审、大数据培训。</w:t>
      </w:r>
    </w:p>
    <w:p w14:paraId="255A36F4">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21</w:t>
      </w:r>
      <w:r>
        <w:rPr>
          <w:rFonts w:hint="eastAsia" w:ascii="Times New Roman" w:hAnsi="方正仿宋_GBK" w:eastAsia="方正仿宋_GBK" w:cs="方正仿宋_GBK"/>
          <w:b w:val="0"/>
          <w:bCs w:val="0"/>
          <w:color w:val="auto"/>
          <w:sz w:val="32"/>
          <w:highlight w:val="none"/>
          <w:lang w:eastAsia="zh-CN"/>
        </w:rPr>
        <w:t>.</w:t>
      </w:r>
      <w:r>
        <w:rPr>
          <w:rFonts w:hint="eastAsia" w:ascii="Times New Roman" w:hAnsi="方正仿宋_GBK" w:eastAsia="方正仿宋_GBK" w:cs="方正仿宋_GBK"/>
          <w:b w:val="0"/>
          <w:bCs w:val="0"/>
          <w:color w:val="auto"/>
          <w:sz w:val="32"/>
          <w:highlight w:val="none"/>
        </w:rPr>
        <w:t>推进丰都县社会信用体系建设，开展“信用丰都”网站升级，信用培训，信用报告应用等工作，初步创建信用城市。</w:t>
      </w:r>
    </w:p>
    <w:p w14:paraId="6B3D90E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22.（智慧城市）信息化项目前期工作开展，加快智慧城市建设。</w:t>
      </w:r>
    </w:p>
    <w:p w14:paraId="0A985A1F">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23.保障我县粮食安全，提升我县应急供应和应对突发自然灾害的能力，切实落实行政首长责任制工作。</w:t>
      </w:r>
    </w:p>
    <w:p w14:paraId="4E8F1B32">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lang w:val="en-US" w:eastAsia="zh-CN"/>
        </w:rPr>
      </w:pPr>
      <w:r>
        <w:rPr>
          <w:rFonts w:hint="eastAsia" w:ascii="Times New Roman" w:hAnsi="方正仿宋_GBK" w:eastAsia="方正仿宋_GBK" w:cs="方正仿宋_GBK"/>
          <w:b w:val="0"/>
          <w:bCs w:val="0"/>
          <w:color w:val="auto"/>
          <w:sz w:val="32"/>
          <w:highlight w:val="none"/>
          <w:lang w:val="en-US" w:eastAsia="zh-CN"/>
        </w:rPr>
        <w:t>24.负责国防动员建设管理、规划计划编制、动员准备、组织实施；负责人民防空建设管理和组织实施；承担经济动员、信息动员和交通战备的综合协调职能；统筹协调军事设施保护工作。</w:t>
      </w:r>
    </w:p>
    <w:p w14:paraId="7EE2B68B">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楷体_GBK" w:cs="方正仿宋_GBK"/>
          <w:b w:val="0"/>
          <w:bCs w:val="0"/>
          <w:color w:val="auto"/>
          <w:sz w:val="32"/>
          <w:highlight w:val="none"/>
        </w:rPr>
      </w:pPr>
      <w:r>
        <w:rPr>
          <w:rFonts w:hint="eastAsia" w:ascii="Times New Roman" w:hAnsi="方正仿宋_GBK" w:eastAsia="方正仿宋_GBK" w:cs="方正仿宋_GBK"/>
          <w:b w:val="0"/>
          <w:bCs w:val="0"/>
          <w:color w:val="auto"/>
          <w:sz w:val="32"/>
          <w:highlight w:val="none"/>
        </w:rPr>
        <w:t>2</w:t>
      </w:r>
      <w:r>
        <w:rPr>
          <w:rFonts w:hint="eastAsia" w:ascii="Times New Roman" w:hAnsi="方正仿宋_GBK" w:eastAsia="方正仿宋_GBK" w:cs="方正仿宋_GBK"/>
          <w:b w:val="0"/>
          <w:bCs w:val="0"/>
          <w:color w:val="auto"/>
          <w:sz w:val="32"/>
          <w:highlight w:val="none"/>
          <w:lang w:val="en-US" w:eastAsia="zh-CN"/>
        </w:rPr>
        <w:t>5</w:t>
      </w:r>
      <w:r>
        <w:rPr>
          <w:rFonts w:hint="eastAsia" w:ascii="Times New Roman" w:hAnsi="方正仿宋_GBK" w:eastAsia="方正仿宋_GBK" w:cs="方正仿宋_GBK"/>
          <w:b w:val="0"/>
          <w:bCs w:val="0"/>
          <w:color w:val="auto"/>
          <w:sz w:val="32"/>
          <w:highlight w:val="none"/>
        </w:rPr>
        <w:t>.承办县政府交办的其他事项。</w:t>
      </w:r>
    </w:p>
    <w:p w14:paraId="247A582D">
      <w:pPr>
        <w:pStyle w:val="6"/>
        <w:keepNext w:val="0"/>
        <w:keepLines w:val="0"/>
        <w:pageBreakBefore w:val="0"/>
        <w:shd w:val="clear" w:color="auto" w:fill="FFFFFF"/>
        <w:kinsoku/>
        <w:overflowPunct w:val="0"/>
        <w:topLinePunct/>
        <w:autoSpaceDN/>
        <w:bidi w:val="0"/>
        <w:spacing w:beforeAutospacing="0" w:line="560" w:lineRule="atLeast"/>
        <w:ind w:firstLine="420"/>
        <w:rPr>
          <w:rFonts w:hint="default" w:ascii="Times New Roman" w:hAnsi="Times New Roman" w:eastAsia="方正楷体_GBK" w:cs="方正楷体_GBK"/>
          <w:b w:val="0"/>
          <w:bCs w:val="0"/>
          <w:color w:val="auto"/>
          <w:sz w:val="32"/>
          <w:szCs w:val="32"/>
          <w:highlight w:val="none"/>
        </w:rPr>
      </w:pPr>
      <w:r>
        <w:rPr>
          <w:rStyle w:val="10"/>
          <w:rFonts w:ascii="Times New Roman" w:hAnsi="Times New Roman" w:eastAsia="方正楷体_GBK" w:cs="方正楷体_GBK"/>
          <w:b w:val="0"/>
          <w:bCs w:val="0"/>
          <w:color w:val="auto"/>
          <w:sz w:val="32"/>
          <w:szCs w:val="32"/>
          <w:highlight w:val="none"/>
          <w:shd w:val="clear" w:color="auto" w:fill="FFFFFF"/>
        </w:rPr>
        <w:t>（二）机构设置</w:t>
      </w:r>
    </w:p>
    <w:p w14:paraId="7C1494EF">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方正仿宋_GBK" w:eastAsia="方正仿宋_GBK" w:cs="方正仿宋_GBK"/>
          <w:b w:val="0"/>
          <w:bCs w:val="0"/>
          <w:color w:val="auto"/>
          <w:sz w:val="32"/>
          <w:highlight w:val="none"/>
          <w:lang w:val="en-US" w:eastAsia="zh-CN"/>
        </w:rPr>
      </w:pPr>
      <w:r>
        <w:rPr>
          <w:rFonts w:hint="eastAsia" w:ascii="Times New Roman" w:hAnsi="方正仿宋_GBK" w:eastAsia="方正仿宋_GBK" w:cs="方正仿宋_GBK"/>
          <w:b w:val="0"/>
          <w:bCs w:val="0"/>
          <w:color w:val="auto"/>
          <w:sz w:val="32"/>
          <w:highlight w:val="none"/>
          <w:lang w:val="en-US" w:eastAsia="zh-CN"/>
        </w:rPr>
        <w:t>本部门包含丰都县发展和改革委员会（本级）、丰都县城乡统筹发展中心（二级预算单位）、丰都县民防指挥信息保障中心（二级预算单位）。下设十四个内设科室。编制人数53人，其中：行政编制25人，全额拨款事业编制29人；行政退休人员39人。</w:t>
      </w:r>
    </w:p>
    <w:p w14:paraId="0A098C8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0"/>
          <w:rFonts w:hint="default" w:ascii="Times New Roman" w:hAnsi="方正黑体_GBK" w:eastAsia="方正黑体_GBK" w:cs="方正黑体_GBK"/>
          <w:b w:val="0"/>
          <w:bCs w:val="0"/>
          <w:color w:val="auto"/>
          <w:sz w:val="32"/>
          <w:szCs w:val="32"/>
          <w:highlight w:val="none"/>
          <w:shd w:val="clear" w:color="auto" w:fill="FFFFFF"/>
        </w:rPr>
      </w:pPr>
      <w:r>
        <w:rPr>
          <w:rStyle w:val="10"/>
          <w:rFonts w:ascii="Times New Roman" w:hAnsi="方正黑体_GBK" w:eastAsia="方正黑体_GBK" w:cs="方正黑体_GBK"/>
          <w:b w:val="0"/>
          <w:bCs w:val="0"/>
          <w:color w:val="auto"/>
          <w:sz w:val="32"/>
          <w:szCs w:val="32"/>
          <w:highlight w:val="none"/>
          <w:shd w:val="clear" w:color="auto" w:fill="FFFFFF"/>
        </w:rPr>
        <w:t>二、部门决算</w:t>
      </w:r>
      <w:r>
        <w:rPr>
          <w:rStyle w:val="10"/>
          <w:rFonts w:hint="eastAsia" w:ascii="Times New Roman" w:hAnsi="方正黑体_GBK" w:eastAsia="方正黑体_GBK" w:cs="方正黑体_GBK"/>
          <w:b w:val="0"/>
          <w:bCs w:val="0"/>
          <w:color w:val="auto"/>
          <w:sz w:val="32"/>
          <w:szCs w:val="32"/>
          <w:highlight w:val="none"/>
          <w:shd w:val="clear" w:color="auto" w:fill="FFFFFF"/>
          <w:lang w:eastAsia="zh-CN"/>
        </w:rPr>
        <w:t>收支</w:t>
      </w:r>
      <w:r>
        <w:rPr>
          <w:rStyle w:val="10"/>
          <w:rFonts w:ascii="Times New Roman" w:hAnsi="方正黑体_GBK" w:eastAsia="方正黑体_GBK" w:cs="方正黑体_GBK"/>
          <w:b w:val="0"/>
          <w:bCs w:val="0"/>
          <w:color w:val="auto"/>
          <w:sz w:val="32"/>
          <w:szCs w:val="32"/>
          <w:highlight w:val="none"/>
          <w:shd w:val="clear" w:color="auto" w:fill="FFFFFF"/>
        </w:rPr>
        <w:t>情况说明</w:t>
      </w:r>
    </w:p>
    <w:p w14:paraId="17D00C08">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（一）收入支出决算总体情况说明</w:t>
      </w:r>
    </w:p>
    <w:p w14:paraId="287F644E">
      <w:pPr>
        <w:pStyle w:val="6"/>
        <w:shd w:val="clear" w:color="auto" w:fill="FFFFFF"/>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w:t>
      </w:r>
      <w:r>
        <w:rPr>
          <w:rFonts w:hint="eastAsia" w:ascii="Times New Roman" w:hAnsi="方正仿宋_GBK" w:eastAsia="方正仿宋_GBK" w:cs="方正仿宋_GBK"/>
          <w:b w:val="0"/>
          <w:bCs w:val="0"/>
          <w:color w:val="auto"/>
          <w:sz w:val="32"/>
          <w:szCs w:val="32"/>
          <w:highlight w:val="none"/>
          <w:shd w:val="clear" w:color="auto" w:fill="FFFFFF"/>
          <w:lang w:eastAsia="zh-CN"/>
        </w:rPr>
        <w:t>、支</w:t>
      </w:r>
      <w:r>
        <w:rPr>
          <w:rFonts w:ascii="Times New Roman" w:hAnsi="方正仿宋_GBK" w:eastAsia="方正仿宋_GBK" w:cs="方正仿宋_GBK"/>
          <w:b w:val="0"/>
          <w:bCs w:val="0"/>
          <w:color w:val="auto"/>
          <w:sz w:val="32"/>
          <w:szCs w:val="32"/>
          <w:highlight w:val="none"/>
          <w:shd w:val="clear" w:color="auto" w:fill="FFFFFF"/>
        </w:rPr>
        <w:t>总计</w:t>
      </w:r>
      <w:r>
        <w:rPr>
          <w:rFonts w:hint="eastAsia" w:ascii="Times New Roman" w:hAnsi="方正仿宋_GBK" w:eastAsia="方正仿宋_GBK" w:cs="方正仿宋_GBK"/>
          <w:b w:val="0"/>
          <w:bCs w:val="0"/>
          <w:color w:val="auto"/>
          <w:sz w:val="32"/>
          <w:szCs w:val="32"/>
          <w:highlight w:val="none"/>
          <w:shd w:val="clear" w:color="auto" w:fill="FFFFFF"/>
          <w:lang w:eastAsia="zh-CN"/>
        </w:rPr>
        <w:t>均为</w:t>
      </w:r>
      <w:r>
        <w:rPr>
          <w:rFonts w:hint="default" w:ascii="Times New Roman" w:hAnsi="Times New Roman" w:eastAsia="方正仿宋_GBK"/>
          <w:b w:val="0"/>
          <w:bCs w:val="0"/>
          <w:color w:val="auto"/>
          <w:sz w:val="32"/>
          <w:szCs w:val="32"/>
          <w:highlight w:val="none"/>
          <w:shd w:val="clear" w:color="auto" w:fill="FFFFFF"/>
        </w:rPr>
        <w:t>2379.24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收、支与2023年度相比，减少594.49万元，下降20.0%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粮油储备补贴上解至市上支付，另外抽水蓄能等项目经费减少</w:t>
      </w:r>
      <w:r>
        <w:rPr>
          <w:rFonts w:ascii="Times New Roman" w:hAnsi="方正仿宋_GBK" w:eastAsia="方正仿宋_GBK" w:cs="方正仿宋_GBK"/>
          <w:b w:val="0"/>
          <w:bCs w:val="0"/>
          <w:color w:val="auto"/>
          <w:sz w:val="32"/>
          <w:szCs w:val="32"/>
          <w:highlight w:val="none"/>
          <w:shd w:val="clear" w:color="auto" w:fill="FFFFFF"/>
        </w:rPr>
        <w:t>。</w:t>
      </w:r>
    </w:p>
    <w:p w14:paraId="4CAC058F">
      <w:pPr>
        <w:pStyle w:val="6"/>
        <w:shd w:val="clear" w:color="auto" w:fill="FFFFFF"/>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0"/>
          <w:rFonts w:hint="eastAsia" w:ascii="Times New Roman" w:hAnsi="Times New Roman" w:eastAsia="方正仿宋_GBK"/>
          <w:b w:val="0"/>
          <w:bCs w:val="0"/>
          <w:color w:val="auto"/>
          <w:sz w:val="32"/>
          <w:szCs w:val="32"/>
          <w:highlight w:val="none"/>
          <w:shd w:val="clear" w:color="auto" w:fill="FFFFFF"/>
          <w:lang w:val="en-US" w:eastAsia="zh-CN"/>
        </w:rPr>
        <w:t>1</w:t>
      </w:r>
      <w:r>
        <w:rPr>
          <w:rStyle w:val="10"/>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年度收入合计</w:t>
      </w:r>
      <w:r>
        <w:rPr>
          <w:rFonts w:hint="default" w:ascii="Times New Roman" w:hAnsi="Times New Roman" w:eastAsia="方正仿宋_GBK"/>
          <w:b w:val="0"/>
          <w:bCs w:val="0"/>
          <w:color w:val="auto"/>
          <w:sz w:val="32"/>
          <w:szCs w:val="32"/>
          <w:highlight w:val="none"/>
          <w:shd w:val="clear" w:color="auto" w:fill="FFFFFF"/>
        </w:rPr>
        <w:t>2360.44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与2023年度相比，减少109.50万元，下降4.4%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粮油储备补贴上解至市上支付，另外抽水蓄能等项目经费减少</w:t>
      </w:r>
      <w:r>
        <w:rPr>
          <w:rFonts w:ascii="Times New Roman" w:hAnsi="方正仿宋_GBK" w:eastAsia="方正仿宋_GBK" w:cs="方正仿宋_GBK"/>
          <w:b w:val="0"/>
          <w:bCs w:val="0"/>
          <w:color w:val="auto"/>
          <w:sz w:val="32"/>
          <w:szCs w:val="32"/>
          <w:highlight w:val="none"/>
          <w:shd w:val="clear" w:color="auto" w:fill="FFFFFF"/>
        </w:rPr>
        <w:t>。其中：财政拨款收入</w:t>
      </w:r>
      <w:r>
        <w:rPr>
          <w:rFonts w:hint="default" w:ascii="Times New Roman" w:hAnsi="Times New Roman" w:eastAsia="方正仿宋_GBK"/>
          <w:b w:val="0"/>
          <w:bCs w:val="0"/>
          <w:color w:val="auto"/>
          <w:sz w:val="32"/>
          <w:szCs w:val="32"/>
          <w:highlight w:val="none"/>
          <w:shd w:val="clear" w:color="auto" w:fill="FFFFFF"/>
        </w:rPr>
        <w:t>2360.44</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；事业收入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；经营收入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；其他收入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w:t>
      </w:r>
      <w:r>
        <w:rPr>
          <w:rFonts w:hint="eastAsia" w:ascii="Times New Roman" w:hAnsi="方正仿宋_GBK" w:eastAsia="方正仿宋_GBK" w:cs="方正仿宋_GBK"/>
          <w:b w:val="0"/>
          <w:bCs w:val="0"/>
          <w:color w:val="auto"/>
          <w:sz w:val="32"/>
          <w:szCs w:val="32"/>
          <w:highlight w:val="none"/>
          <w:shd w:val="clear" w:color="auto" w:fill="FFFFFF"/>
        </w:rPr>
        <w:t>使用非财政拨款结余（含专用结余）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万元，年初结转和结余</w:t>
      </w:r>
      <w:r>
        <w:rPr>
          <w:rFonts w:hint="default" w:ascii="Times New Roman" w:hAnsi="Times New Roman" w:eastAsia="方正仿宋_GBK"/>
          <w:b w:val="0"/>
          <w:bCs w:val="0"/>
          <w:color w:val="auto"/>
          <w:sz w:val="32"/>
          <w:szCs w:val="32"/>
          <w:highlight w:val="none"/>
          <w:shd w:val="clear" w:color="auto" w:fill="FFFFFF"/>
        </w:rPr>
        <w:t>18.80</w:t>
      </w:r>
      <w:r>
        <w:rPr>
          <w:rFonts w:ascii="Times New Roman" w:hAnsi="方正仿宋_GBK" w:eastAsia="方正仿宋_GBK" w:cs="方正仿宋_GBK"/>
          <w:b w:val="0"/>
          <w:bCs w:val="0"/>
          <w:color w:val="auto"/>
          <w:sz w:val="32"/>
          <w:szCs w:val="32"/>
          <w:highlight w:val="none"/>
          <w:shd w:val="clear" w:color="auto" w:fill="FFFFFF"/>
        </w:rPr>
        <w:t>万元。</w:t>
      </w:r>
    </w:p>
    <w:p w14:paraId="1920B37E">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0"/>
          <w:rFonts w:hint="eastAsia" w:ascii="Times New Roman" w:hAnsi="Times New Roman" w:eastAsia="方正仿宋_GBK"/>
          <w:b w:val="0"/>
          <w:bCs w:val="0"/>
          <w:color w:val="auto"/>
          <w:sz w:val="32"/>
          <w:szCs w:val="32"/>
          <w:highlight w:val="none"/>
          <w:shd w:val="clear" w:color="auto" w:fill="FFFFFF"/>
          <w:lang w:val="en-US" w:eastAsia="zh-CN"/>
        </w:rPr>
        <w:t>2</w:t>
      </w:r>
      <w:r>
        <w:rPr>
          <w:rStyle w:val="10"/>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年度支出合计</w:t>
      </w:r>
      <w:r>
        <w:rPr>
          <w:rFonts w:hint="default" w:ascii="Times New Roman" w:hAnsi="Times New Roman" w:eastAsia="方正仿宋_GBK"/>
          <w:b w:val="0"/>
          <w:bCs w:val="0"/>
          <w:color w:val="auto"/>
          <w:sz w:val="32"/>
          <w:szCs w:val="32"/>
          <w:highlight w:val="none"/>
          <w:shd w:val="clear" w:color="auto" w:fill="FFFFFF"/>
        </w:rPr>
        <w:t>2379.24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与2023年度相比，减少594.49万元，下降20.0%</w:t>
      </w:r>
      <w:r>
        <w:rPr>
          <w:rFonts w:hint="eastAsia" w:ascii="Times New Roman" w:hAnsi="Times New Roman" w:eastAsia="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粮油储备补贴上解至市上支付，另外抽水蓄能等项目经费减少</w:t>
      </w:r>
      <w:r>
        <w:rPr>
          <w:rFonts w:ascii="Times New Roman" w:hAnsi="方正仿宋_GBK" w:eastAsia="方正仿宋_GBK" w:cs="方正仿宋_GBK"/>
          <w:b w:val="0"/>
          <w:bCs w:val="0"/>
          <w:color w:val="auto"/>
          <w:sz w:val="32"/>
          <w:szCs w:val="32"/>
          <w:highlight w:val="none"/>
          <w:shd w:val="clear" w:color="auto" w:fill="FFFFFF"/>
        </w:rPr>
        <w:t>。其中：基本支出</w:t>
      </w:r>
      <w:r>
        <w:rPr>
          <w:rFonts w:hint="default" w:ascii="Times New Roman" w:hAnsi="Times New Roman" w:eastAsia="方正仿宋_GBK"/>
          <w:b w:val="0"/>
          <w:bCs w:val="0"/>
          <w:color w:val="auto"/>
          <w:sz w:val="32"/>
          <w:szCs w:val="32"/>
          <w:highlight w:val="none"/>
          <w:shd w:val="clear" w:color="auto" w:fill="FFFFFF"/>
        </w:rPr>
        <w:t>1255.81</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52.8%</w:t>
      </w:r>
      <w:r>
        <w:rPr>
          <w:rFonts w:ascii="Times New Roman" w:hAnsi="方正仿宋_GBK" w:eastAsia="方正仿宋_GBK" w:cs="方正仿宋_GBK"/>
          <w:b w:val="0"/>
          <w:bCs w:val="0"/>
          <w:color w:val="auto"/>
          <w:sz w:val="32"/>
          <w:szCs w:val="32"/>
          <w:highlight w:val="none"/>
          <w:shd w:val="clear" w:color="auto" w:fill="FFFFFF"/>
        </w:rPr>
        <w:t>；项目支出</w:t>
      </w:r>
      <w:r>
        <w:rPr>
          <w:rFonts w:hint="default" w:ascii="Times New Roman" w:hAnsi="Times New Roman" w:eastAsia="方正仿宋_GBK"/>
          <w:b w:val="0"/>
          <w:bCs w:val="0"/>
          <w:color w:val="auto"/>
          <w:sz w:val="32"/>
          <w:szCs w:val="32"/>
          <w:highlight w:val="none"/>
          <w:shd w:val="clear" w:color="auto" w:fill="FFFFFF"/>
        </w:rPr>
        <w:t>1123.43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47.2%</w:t>
      </w:r>
      <w:r>
        <w:rPr>
          <w:rFonts w:ascii="Times New Roman" w:hAnsi="方正仿宋_GBK" w:eastAsia="方正仿宋_GBK" w:cs="方正仿宋_GBK"/>
          <w:b w:val="0"/>
          <w:bCs w:val="0"/>
          <w:color w:val="auto"/>
          <w:sz w:val="32"/>
          <w:szCs w:val="32"/>
          <w:highlight w:val="none"/>
          <w:shd w:val="clear" w:color="auto" w:fill="FFFFFF"/>
        </w:rPr>
        <w:t>；经营支出</w:t>
      </w:r>
      <w:r>
        <w:rPr>
          <w:rFonts w:hint="default" w:ascii="Times New Roman" w:hAnsi="Times New Roman" w:eastAsia="方正仿宋_GBK"/>
          <w:b w:val="0"/>
          <w:bCs w:val="0"/>
          <w:color w:val="auto"/>
          <w:sz w:val="32"/>
          <w:szCs w:val="32"/>
          <w:highlight w:val="none"/>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。此外，结余分配</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47B39B79">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Style w:val="10"/>
          <w:rFonts w:hint="eastAsia" w:ascii="Times New Roman" w:hAnsi="Times New Roman" w:eastAsia="方正仿宋_GBK"/>
          <w:b w:val="0"/>
          <w:bCs w:val="0"/>
          <w:color w:val="auto"/>
          <w:sz w:val="32"/>
          <w:szCs w:val="32"/>
          <w:highlight w:val="none"/>
          <w:shd w:val="clear" w:color="auto" w:fill="FFFFFF"/>
          <w:lang w:val="en-US" w:eastAsia="zh-CN"/>
        </w:rPr>
        <w:t>3</w:t>
      </w:r>
      <w:r>
        <w:rPr>
          <w:rStyle w:val="10"/>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rPr>
        <w:t>与</w:t>
      </w:r>
      <w:r>
        <w:rPr>
          <w:rFonts w:hint="default" w:ascii="Times New Roman" w:hAnsi="Times New Roman" w:eastAsia="方正仿宋_GBK"/>
          <w:b w:val="0"/>
          <w:bCs w:val="0"/>
          <w:color w:val="auto"/>
          <w:sz w:val="32"/>
          <w:szCs w:val="32"/>
          <w:highlight w:val="none"/>
          <w:shd w:val="clear" w:color="auto" w:fill="FFFFFF"/>
        </w:rPr>
        <w:t>上年决算数</w:t>
      </w:r>
      <w:r>
        <w:rPr>
          <w:rFonts w:hint="eastAsia" w:ascii="Times New Roman" w:hAnsi="Times New Roman" w:eastAsia="方正仿宋_GBK"/>
          <w:b w:val="0"/>
          <w:bCs w:val="0"/>
          <w:color w:val="auto"/>
          <w:sz w:val="32"/>
          <w:szCs w:val="32"/>
          <w:highlight w:val="none"/>
          <w:shd w:val="clear" w:color="auto" w:fill="FFFFFF"/>
        </w:rPr>
        <w:t>持平</w:t>
      </w:r>
      <w:r>
        <w:rPr>
          <w:rFonts w:hint="default" w:ascii="Times New Roman" w:hAnsi="Times New Roman" w:eastAsia="方正仿宋_GBK"/>
          <w:b w:val="0"/>
          <w:bCs w:val="0"/>
          <w:color w:val="auto"/>
          <w:sz w:val="32"/>
          <w:szCs w:val="32"/>
          <w:highlight w:val="none"/>
          <w:shd w:val="clear" w:color="auto" w:fill="FFFFFF"/>
        </w:rPr>
        <w:t>。</w:t>
      </w:r>
    </w:p>
    <w:p w14:paraId="0E316E2F">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（二）财政拨款收入支出决算总体情况说明</w:t>
      </w:r>
    </w:p>
    <w:p w14:paraId="14F723DA">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年度财政拨款收、支总计均为</w:t>
      </w:r>
      <w:r>
        <w:rPr>
          <w:rFonts w:hint="default" w:ascii="Times New Roman" w:hAnsi="Times New Roman" w:eastAsia="方正仿宋_GBK"/>
          <w:b w:val="0"/>
          <w:bCs w:val="0"/>
          <w:color w:val="auto"/>
          <w:sz w:val="32"/>
          <w:szCs w:val="32"/>
          <w:highlight w:val="none"/>
          <w:shd w:val="clear" w:color="auto" w:fill="FFFFFF"/>
        </w:rPr>
        <w:t>2379.24</w:t>
      </w:r>
      <w:r>
        <w:rPr>
          <w:rFonts w:ascii="Times New Roman" w:hAnsi="方正仿宋_GBK" w:eastAsia="方正仿宋_GBK" w:cs="方正仿宋_GBK"/>
          <w:b w:val="0"/>
          <w:bCs w:val="0"/>
          <w:color w:val="auto"/>
          <w:sz w:val="32"/>
          <w:szCs w:val="32"/>
          <w:highlight w:val="none"/>
          <w:shd w:val="clear" w:color="auto" w:fill="FFFFFF"/>
        </w:rPr>
        <w:t>万元。与</w:t>
      </w:r>
      <w:r>
        <w:rPr>
          <w:rFonts w:hint="default" w:ascii="Times New Roman" w:hAnsi="Times New Roman" w:eastAsia="方正仿宋_GBK"/>
          <w:b w:val="0"/>
          <w:bCs w:val="0"/>
          <w:color w:val="auto"/>
          <w:sz w:val="32"/>
          <w:szCs w:val="32"/>
          <w:highlight w:val="none"/>
          <w:shd w:val="clear" w:color="auto" w:fill="FFFFFF"/>
        </w:rPr>
        <w:t>2023</w:t>
      </w:r>
      <w:r>
        <w:rPr>
          <w:rFonts w:ascii="Times New Roman" w:hAnsi="方正仿宋_GBK" w:eastAsia="方正仿宋_GBK" w:cs="方正仿宋_GBK"/>
          <w:b w:val="0"/>
          <w:bCs w:val="0"/>
          <w:color w:val="auto"/>
          <w:sz w:val="32"/>
          <w:szCs w:val="32"/>
          <w:highlight w:val="none"/>
          <w:shd w:val="clear" w:color="auto" w:fill="FFFFFF"/>
        </w:rPr>
        <w:t>年</w:t>
      </w:r>
      <w:r>
        <w:rPr>
          <w:rFonts w:hint="eastAsia" w:ascii="Times New Roman" w:hAnsi="方正仿宋_GBK" w:eastAsia="方正仿宋_GBK" w:cs="方正仿宋_GBK"/>
          <w:b w:val="0"/>
          <w:bCs w:val="0"/>
          <w:color w:val="auto"/>
          <w:sz w:val="32"/>
          <w:szCs w:val="32"/>
          <w:highlight w:val="none"/>
          <w:shd w:val="clear" w:color="auto" w:fill="FFFFFF"/>
          <w:lang w:eastAsia="zh-CN"/>
        </w:rPr>
        <w:t>度</w:t>
      </w:r>
      <w:r>
        <w:rPr>
          <w:rFonts w:ascii="Times New Roman" w:hAnsi="方正仿宋_GBK" w:eastAsia="方正仿宋_GBK" w:cs="方正仿宋_GBK"/>
          <w:b w:val="0"/>
          <w:bCs w:val="0"/>
          <w:color w:val="auto"/>
          <w:sz w:val="32"/>
          <w:szCs w:val="32"/>
          <w:highlight w:val="none"/>
          <w:shd w:val="clear" w:color="auto" w:fill="FFFFFF"/>
        </w:rPr>
        <w:t>相比，</w:t>
      </w:r>
      <w:r>
        <w:rPr>
          <w:rFonts w:hint="default" w:ascii="Times New Roman" w:hAnsi="Times New Roman" w:eastAsia="方正仿宋_GBK"/>
          <w:b w:val="0"/>
          <w:bCs w:val="0"/>
          <w:color w:val="auto"/>
          <w:sz w:val="32"/>
          <w:szCs w:val="32"/>
          <w:highlight w:val="none"/>
          <w:shd w:val="clear" w:color="auto" w:fill="FFFFFF"/>
        </w:rPr>
        <w:t>财政拨款收、支总计各减少594.49万元，下降20.0%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粮油储备补贴上解至市上支付，另外抽水蓄能等项目经费减少</w:t>
      </w:r>
      <w:r>
        <w:rPr>
          <w:rFonts w:ascii="Times New Roman" w:hAnsi="方正仿宋_GBK" w:eastAsia="方正仿宋_GBK" w:cs="方正仿宋_GBK"/>
          <w:b w:val="0"/>
          <w:bCs w:val="0"/>
          <w:color w:val="auto"/>
          <w:sz w:val="32"/>
          <w:szCs w:val="32"/>
          <w:highlight w:val="none"/>
          <w:shd w:val="clear" w:color="auto" w:fill="FFFFFF"/>
        </w:rPr>
        <w:t>。</w:t>
      </w:r>
    </w:p>
    <w:p w14:paraId="4FCB1EA9">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（三）一般公共预算财政拨款收入支出决算情况说明</w:t>
      </w:r>
    </w:p>
    <w:p w14:paraId="0E78C938">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Style w:val="10"/>
          <w:rFonts w:hint="default" w:ascii="Times New Roman" w:hAnsi="Times New Roman" w:eastAsia="方正仿宋_GBK"/>
          <w:b w:val="0"/>
          <w:bCs w:val="0"/>
          <w:color w:val="auto"/>
          <w:sz w:val="32"/>
          <w:szCs w:val="32"/>
          <w:highlight w:val="none"/>
          <w:shd w:val="clear" w:color="auto" w:fill="FFFFFF"/>
        </w:rPr>
        <w:t>1</w:t>
      </w:r>
      <w:r>
        <w:rPr>
          <w:rStyle w:val="10"/>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年度一般公共预算财政拨款收入</w:t>
      </w:r>
      <w:r>
        <w:rPr>
          <w:rFonts w:hint="default" w:ascii="Times New Roman" w:hAnsi="Times New Roman" w:eastAsia="方正仿宋_GBK"/>
          <w:b w:val="0"/>
          <w:bCs w:val="0"/>
          <w:color w:val="auto"/>
          <w:sz w:val="32"/>
          <w:szCs w:val="32"/>
          <w:highlight w:val="none"/>
          <w:shd w:val="clear" w:color="auto" w:fill="FFFFFF"/>
        </w:rPr>
        <w:t>2360.44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与2023年度相比，减少109.50万元，下降4.4%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w:t>
      </w:r>
      <w:r>
        <w:rPr>
          <w:rFonts w:hint="eastAsia" w:hAnsi="方正仿宋_GBK" w:eastAsia="方正仿宋_GBK" w:cs="方正仿宋_GBK"/>
          <w:b w:val="0"/>
          <w:bCs w:val="0"/>
          <w:color w:val="auto"/>
          <w:sz w:val="32"/>
          <w:szCs w:val="32"/>
          <w:highlight w:val="none"/>
          <w:lang w:eastAsia="zh-CN"/>
        </w:rPr>
        <w:t>另外，</w:t>
      </w:r>
      <w:r>
        <w:rPr>
          <w:rFonts w:hint="eastAsia" w:ascii="Times New Roman" w:hAnsi="方正仿宋_GBK" w:eastAsia="方正仿宋_GBK" w:cs="方正仿宋_GBK"/>
          <w:b w:val="0"/>
          <w:bCs w:val="0"/>
          <w:color w:val="auto"/>
          <w:sz w:val="32"/>
          <w:szCs w:val="32"/>
          <w:highlight w:val="none"/>
          <w:lang w:eastAsia="zh-CN"/>
        </w:rPr>
        <w:t>抽水蓄能等项目经费收入减少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较年初预算数减少518.80万元，下降18.0%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w:t>
      </w:r>
      <w:r>
        <w:rPr>
          <w:rFonts w:hint="eastAsia" w:hAnsi="方正仿宋_GBK" w:eastAsia="方正仿宋_GBK" w:cs="方正仿宋_GBK"/>
          <w:b w:val="0"/>
          <w:bCs w:val="0"/>
          <w:color w:val="auto"/>
          <w:sz w:val="32"/>
          <w:szCs w:val="32"/>
          <w:highlight w:val="none"/>
          <w:lang w:eastAsia="zh-CN"/>
        </w:rPr>
        <w:t>另外，</w:t>
      </w:r>
      <w:r>
        <w:rPr>
          <w:rFonts w:hint="eastAsia" w:ascii="Times New Roman" w:hAnsi="方正仿宋_GBK" w:eastAsia="方正仿宋_GBK" w:cs="方正仿宋_GBK"/>
          <w:b w:val="0"/>
          <w:bCs w:val="0"/>
          <w:color w:val="auto"/>
          <w:sz w:val="32"/>
          <w:szCs w:val="32"/>
          <w:highlight w:val="none"/>
          <w:lang w:eastAsia="zh-CN"/>
        </w:rPr>
        <w:t>抽水蓄能等项目经费减少</w:t>
      </w:r>
      <w:r>
        <w:rPr>
          <w:rFonts w:ascii="Times New Roman" w:hAnsi="方正仿宋_GBK" w:eastAsia="方正仿宋_GBK" w:cs="方正仿宋_GBK"/>
          <w:b w:val="0"/>
          <w:bCs w:val="0"/>
          <w:color w:val="auto"/>
          <w:sz w:val="32"/>
          <w:szCs w:val="32"/>
          <w:highlight w:val="none"/>
          <w:shd w:val="clear" w:color="auto" w:fill="FFFFFF"/>
        </w:rPr>
        <w:t>。此外，年初财政拨款结转和结余</w:t>
      </w:r>
      <w:r>
        <w:rPr>
          <w:rFonts w:hint="default" w:ascii="Times New Roman" w:hAnsi="Times New Roman" w:eastAsia="方正仿宋_GBK"/>
          <w:b w:val="0"/>
          <w:bCs w:val="0"/>
          <w:color w:val="auto"/>
          <w:sz w:val="32"/>
          <w:szCs w:val="32"/>
          <w:highlight w:val="none"/>
          <w:shd w:val="clear" w:color="auto" w:fill="FFFFFF"/>
        </w:rPr>
        <w:t>18.80</w:t>
      </w:r>
      <w:r>
        <w:rPr>
          <w:rFonts w:ascii="Times New Roman" w:hAnsi="方正仿宋_GBK" w:eastAsia="方正仿宋_GBK" w:cs="方正仿宋_GBK"/>
          <w:b w:val="0"/>
          <w:bCs w:val="0"/>
          <w:color w:val="auto"/>
          <w:sz w:val="32"/>
          <w:szCs w:val="32"/>
          <w:highlight w:val="none"/>
          <w:shd w:val="clear" w:color="auto" w:fill="FFFFFF"/>
        </w:rPr>
        <w:t>万元。</w:t>
      </w:r>
    </w:p>
    <w:p w14:paraId="0335BC16">
      <w:pPr>
        <w:pStyle w:val="6"/>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Style w:val="10"/>
          <w:rFonts w:hint="default" w:ascii="Times New Roman" w:hAnsi="Times New Roman" w:eastAsia="方正仿宋_GBK"/>
          <w:b w:val="0"/>
          <w:bCs w:val="0"/>
          <w:color w:val="auto"/>
          <w:sz w:val="32"/>
          <w:szCs w:val="32"/>
          <w:highlight w:val="none"/>
          <w:shd w:val="clear" w:color="auto" w:fill="FFFFFF"/>
        </w:rPr>
        <w:t>2</w:t>
      </w:r>
      <w:r>
        <w:rPr>
          <w:rStyle w:val="10"/>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年度一般公共预算财政拨款支出</w:t>
      </w:r>
      <w:r>
        <w:rPr>
          <w:rFonts w:hint="default" w:ascii="Times New Roman" w:hAnsi="Times New Roman" w:eastAsia="方正仿宋_GBK"/>
          <w:b w:val="0"/>
          <w:bCs w:val="0"/>
          <w:color w:val="auto"/>
          <w:sz w:val="32"/>
          <w:szCs w:val="32"/>
          <w:highlight w:val="none"/>
          <w:shd w:val="clear" w:color="auto" w:fill="FFFFFF"/>
        </w:rPr>
        <w:t>2379.24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与2023年度相比，减少594.49万元，下降20.0%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w:t>
      </w:r>
      <w:r>
        <w:rPr>
          <w:rFonts w:hint="eastAsia" w:hAnsi="方正仿宋_GBK" w:eastAsia="方正仿宋_GBK" w:cs="方正仿宋_GBK"/>
          <w:b w:val="0"/>
          <w:bCs w:val="0"/>
          <w:color w:val="auto"/>
          <w:sz w:val="32"/>
          <w:szCs w:val="32"/>
          <w:highlight w:val="none"/>
          <w:lang w:eastAsia="zh-CN"/>
        </w:rPr>
        <w:t>；</w:t>
      </w:r>
      <w:r>
        <w:rPr>
          <w:rFonts w:hint="eastAsia" w:ascii="Times New Roman" w:hAnsi="方正仿宋_GBK" w:eastAsia="方正仿宋_GBK" w:cs="方正仿宋_GBK"/>
          <w:b w:val="0"/>
          <w:bCs w:val="0"/>
          <w:color w:val="auto"/>
          <w:sz w:val="32"/>
          <w:szCs w:val="32"/>
          <w:highlight w:val="none"/>
          <w:lang w:eastAsia="zh-CN"/>
        </w:rPr>
        <w:t>另外</w:t>
      </w:r>
      <w:r>
        <w:rPr>
          <w:rFonts w:hint="eastAsia" w:hAnsi="方正仿宋_GBK" w:eastAsia="方正仿宋_GBK" w:cs="方正仿宋_GBK"/>
          <w:b w:val="0"/>
          <w:bCs w:val="0"/>
          <w:color w:val="auto"/>
          <w:sz w:val="32"/>
          <w:szCs w:val="32"/>
          <w:highlight w:val="none"/>
          <w:lang w:eastAsia="zh-CN"/>
        </w:rPr>
        <w:t>，抽水</w:t>
      </w:r>
      <w:r>
        <w:rPr>
          <w:rFonts w:hint="eastAsia" w:ascii="Times New Roman" w:hAnsi="方正仿宋_GBK" w:eastAsia="方正仿宋_GBK" w:cs="方正仿宋_GBK"/>
          <w:b w:val="0"/>
          <w:bCs w:val="0"/>
          <w:color w:val="auto"/>
          <w:sz w:val="32"/>
          <w:szCs w:val="32"/>
          <w:highlight w:val="none"/>
          <w:lang w:eastAsia="zh-CN"/>
        </w:rPr>
        <w:t>蓄能等项目经费有所减少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较年初预算数减少500.00万元，下降17.4%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粮油储备补贴上解至市上支付、另外抽水蓄能等项目经费有所减少</w:t>
      </w:r>
      <w:r>
        <w:rPr>
          <w:rFonts w:ascii="Times New Roman" w:hAnsi="方正仿宋_GBK" w:eastAsia="方正仿宋_GBK" w:cs="方正仿宋_GBK"/>
          <w:b w:val="0"/>
          <w:bCs w:val="0"/>
          <w:color w:val="auto"/>
          <w:sz w:val="32"/>
          <w:szCs w:val="32"/>
          <w:highlight w:val="none"/>
          <w:shd w:val="clear" w:color="auto" w:fill="FFFFFF"/>
        </w:rPr>
        <w:t>。</w:t>
      </w:r>
    </w:p>
    <w:p w14:paraId="7C72F8B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52"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一般公共预算财政拨款支出主要</w:t>
      </w:r>
      <w:r>
        <w:rPr>
          <w:rFonts w:hint="eastAsia" w:ascii="Times New Roman" w:hAnsi="方正仿宋_GBK" w:eastAsia="方正仿宋_GBK" w:cs="方正仿宋_GBK"/>
          <w:b w:val="0"/>
          <w:bCs w:val="0"/>
          <w:color w:val="auto"/>
          <w:sz w:val="32"/>
          <w:szCs w:val="32"/>
          <w:highlight w:val="none"/>
          <w:shd w:val="clear" w:color="auto" w:fill="FFFFFF"/>
          <w:lang w:eastAsia="zh-CN"/>
        </w:rPr>
        <w:t>用途如下</w:t>
      </w:r>
      <w:r>
        <w:rPr>
          <w:rFonts w:ascii="Times New Roman" w:hAnsi="方正仿宋_GBK" w:eastAsia="方正仿宋_GBK" w:cs="方正仿宋_GBK"/>
          <w:b w:val="0"/>
          <w:bCs w:val="0"/>
          <w:color w:val="auto"/>
          <w:sz w:val="32"/>
          <w:szCs w:val="32"/>
          <w:highlight w:val="none"/>
          <w:shd w:val="clear" w:color="auto" w:fill="FFFFFF"/>
        </w:rPr>
        <w:t>：</w:t>
      </w:r>
    </w:p>
    <w:p w14:paraId="6546309E">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）一般公共服务支出</w:t>
      </w:r>
      <w:r>
        <w:rPr>
          <w:rFonts w:hint="default" w:ascii="Times New Roman" w:hAnsi="Times New Roman" w:eastAsia="方正仿宋_GBK"/>
          <w:b w:val="0"/>
          <w:bCs w:val="0"/>
          <w:color w:val="auto"/>
          <w:sz w:val="32"/>
          <w:szCs w:val="32"/>
          <w:highlight w:val="none"/>
          <w:shd w:val="clear" w:color="auto" w:fill="FFFFFF"/>
        </w:rPr>
        <w:t>1797.36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75.5%</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较年初预算数减少76.42万元，下降4.1%</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hAnsi="Times New Roman" w:eastAsia="方正仿宋_GBK" w:cs="方正仿宋_GBK"/>
          <w:b w:val="0"/>
          <w:bCs w:val="0"/>
          <w:color w:val="auto"/>
          <w:sz w:val="32"/>
          <w:szCs w:val="32"/>
          <w:highlight w:val="none"/>
          <w:shd w:val="clear" w:color="auto" w:fill="FFFFFF"/>
          <w:lang w:eastAsia="zh-CN"/>
        </w:rPr>
        <w:t>：一</w:t>
      </w:r>
      <w:r>
        <w:rPr>
          <w:rFonts w:ascii="Times New Roman" w:hAnsi="Times New Roman" w:eastAsia="方正仿宋_GBK" w:cs="方正仿宋_GBK"/>
          <w:b w:val="0"/>
          <w:bCs w:val="0"/>
          <w:color w:val="auto"/>
          <w:sz w:val="32"/>
          <w:szCs w:val="32"/>
          <w:highlight w:val="none"/>
          <w:shd w:val="clear" w:color="auto" w:fill="FFFFFF"/>
        </w:rPr>
        <w:t>是</w:t>
      </w:r>
      <w:r>
        <w:rPr>
          <w:rFonts w:hint="eastAsia" w:ascii="Times New Roman" w:hAnsi="Times New Roman" w:eastAsia="方正仿宋_GBK" w:cs="方正仿宋_GBK"/>
          <w:b w:val="0"/>
          <w:bCs w:val="0"/>
          <w:color w:val="auto"/>
          <w:sz w:val="32"/>
          <w:szCs w:val="32"/>
          <w:highlight w:val="none"/>
          <w:shd w:val="clear" w:color="auto" w:fill="FFFFFF"/>
          <w:lang w:eastAsia="zh-CN"/>
        </w:rPr>
        <w:t>人员调出、退休</w:t>
      </w:r>
      <w:r>
        <w:rPr>
          <w:rFonts w:hint="eastAsia"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eastAsia="zh-CN"/>
        </w:rPr>
        <w:t>二是项目经费收入减少</w:t>
      </w:r>
      <w:r>
        <w:rPr>
          <w:rFonts w:ascii="Times New Roman" w:hAnsi="方正仿宋_GBK" w:eastAsia="方正仿宋_GBK" w:cs="方正仿宋_GBK"/>
          <w:b w:val="0"/>
          <w:bCs w:val="0"/>
          <w:color w:val="auto"/>
          <w:sz w:val="32"/>
          <w:szCs w:val="32"/>
          <w:highlight w:val="none"/>
          <w:shd w:val="clear" w:color="auto" w:fill="FFFFFF"/>
        </w:rPr>
        <w:t>。</w:t>
      </w:r>
    </w:p>
    <w:p w14:paraId="73ABF9E0">
      <w:pPr>
        <w:pStyle w:val="6"/>
        <w:keepNext w:val="0"/>
        <w:keepLines w:val="0"/>
        <w:pageBreakBefore w:val="0"/>
        <w:kinsoku/>
        <w:overflowPunct w:val="0"/>
        <w:topLinePunct/>
        <w:autoSpaceDN/>
        <w:bidi w:val="0"/>
        <w:snapToGrid w:val="0"/>
        <w:spacing w:before="0" w:beforeAutospacing="0" w:after="0" w:afterAutospacing="0" w:line="560" w:lineRule="atLeast"/>
        <w:ind w:firstLine="652" w:firstLineChars="200"/>
        <w:jc w:val="both"/>
        <w:rPr>
          <w:rFonts w:hint="default" w:ascii="Times New Roman" w:hAnsi="Times New Roman"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2</w:t>
      </w:r>
      <w:r>
        <w:rPr>
          <w:rFonts w:ascii="Times New Roman" w:hAnsi="方正仿宋_GBK" w:eastAsia="方正仿宋_GBK" w:cs="方正仿宋_GBK"/>
          <w:b w:val="0"/>
          <w:bCs w:val="0"/>
          <w:color w:val="auto"/>
          <w:sz w:val="32"/>
          <w:szCs w:val="32"/>
          <w:highlight w:val="none"/>
          <w:shd w:val="clear" w:color="auto" w:fill="FFFFFF"/>
        </w:rPr>
        <w:t>）社会保障</w:t>
      </w:r>
      <w:r>
        <w:rPr>
          <w:rFonts w:hint="eastAsia" w:ascii="Times New Roman" w:hAnsi="方正仿宋_GBK" w:eastAsia="方正仿宋_GBK" w:cs="方正仿宋_GBK"/>
          <w:b w:val="0"/>
          <w:bCs w:val="0"/>
          <w:color w:val="auto"/>
          <w:sz w:val="32"/>
          <w:szCs w:val="32"/>
          <w:highlight w:val="none"/>
          <w:shd w:val="clear" w:color="auto" w:fill="FFFFFF"/>
          <w:lang w:eastAsia="zh-CN"/>
        </w:rPr>
        <w:t>和</w:t>
      </w:r>
      <w:r>
        <w:rPr>
          <w:rFonts w:ascii="Times New Roman" w:hAnsi="方正仿宋_GBK" w:eastAsia="方正仿宋_GBK" w:cs="方正仿宋_GBK"/>
          <w:b w:val="0"/>
          <w:bCs w:val="0"/>
          <w:color w:val="auto"/>
          <w:sz w:val="32"/>
          <w:szCs w:val="32"/>
          <w:highlight w:val="none"/>
          <w:shd w:val="clear" w:color="auto" w:fill="FFFFFF"/>
        </w:rPr>
        <w:t>就业支出</w:t>
      </w:r>
      <w:r>
        <w:rPr>
          <w:rFonts w:hint="default" w:ascii="Times New Roman" w:hAnsi="Times New Roman" w:eastAsia="方正仿宋_GBK"/>
          <w:b w:val="0"/>
          <w:bCs w:val="0"/>
          <w:color w:val="auto"/>
          <w:sz w:val="32"/>
          <w:szCs w:val="32"/>
          <w:highlight w:val="none"/>
          <w:shd w:val="clear" w:color="auto" w:fill="FFFFFF"/>
        </w:rPr>
        <w:t>263.93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11.1%</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较年初预算数增加70.70万元，增长36.6%</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是人工工资晋级，养老保险、职业年金调整</w:t>
      </w:r>
      <w:r>
        <w:rPr>
          <w:rFonts w:ascii="Times New Roman" w:hAnsi="方正仿宋_GBK" w:eastAsia="方正仿宋_GBK" w:cs="方正仿宋_GBK"/>
          <w:b w:val="0"/>
          <w:bCs w:val="0"/>
          <w:color w:val="auto"/>
          <w:sz w:val="32"/>
          <w:szCs w:val="32"/>
          <w:highlight w:val="none"/>
          <w:shd w:val="clear" w:color="auto" w:fill="FFFFFF"/>
        </w:rPr>
        <w:t>。</w:t>
      </w:r>
    </w:p>
    <w:p w14:paraId="0214F6D1">
      <w:pPr>
        <w:pStyle w:val="6"/>
        <w:keepNext w:val="0"/>
        <w:keepLines w:val="0"/>
        <w:pageBreakBefore w:val="0"/>
        <w:kinsoku/>
        <w:overflowPunct w:val="0"/>
        <w:topLinePunct/>
        <w:autoSpaceDN/>
        <w:bidi w:val="0"/>
        <w:snapToGrid w:val="0"/>
        <w:spacing w:before="0" w:beforeAutospacing="0" w:after="0" w:afterAutospacing="0" w:line="560" w:lineRule="atLeast"/>
        <w:ind w:firstLine="652" w:firstLineChars="200"/>
        <w:jc w:val="both"/>
        <w:rPr>
          <w:rFonts w:hint="eastAsia" w:ascii="Times New Roman" w:hAnsi="方正仿宋_GBK" w:eastAsia="方正仿宋_GBK" w:cs="方正仿宋_GBK"/>
          <w:b w:val="0"/>
          <w:bCs w:val="0"/>
          <w:color w:val="auto"/>
          <w:sz w:val="32"/>
          <w:szCs w:val="32"/>
          <w:highlight w:val="none"/>
          <w:shd w:val="clear" w:color="auto" w:fill="FFFFFF"/>
          <w:lang w:val="en-US" w:eastAsia="zh-CN"/>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3</w:t>
      </w:r>
      <w:r>
        <w:rPr>
          <w:rFonts w:ascii="Times New Roman" w:hAnsi="方正仿宋_GBK" w:eastAsia="方正仿宋_GBK" w:cs="方正仿宋_GBK"/>
          <w:b w:val="0"/>
          <w:bCs w:val="0"/>
          <w:color w:val="auto"/>
          <w:sz w:val="32"/>
          <w:szCs w:val="32"/>
          <w:highlight w:val="none"/>
          <w:shd w:val="clear" w:color="auto" w:fill="FFFFFF"/>
        </w:rPr>
        <w:t>）卫生健康支出</w:t>
      </w:r>
      <w:r>
        <w:rPr>
          <w:rFonts w:hint="default" w:ascii="Times New Roman" w:hAnsi="方正仿宋_GBK" w:eastAsia="方正仿宋_GBK" w:cs="方正仿宋_GBK"/>
          <w:b w:val="0"/>
          <w:bCs w:val="0"/>
          <w:color w:val="auto"/>
          <w:sz w:val="32"/>
          <w:szCs w:val="32"/>
          <w:highlight w:val="none"/>
          <w:shd w:val="clear" w:color="auto" w:fill="FFFFFF"/>
        </w:rPr>
        <w:t>62.58</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方正仿宋_GBK" w:eastAsia="方正仿宋_GBK" w:cs="方正仿宋_GBK"/>
          <w:b w:val="0"/>
          <w:bCs w:val="0"/>
          <w:color w:val="auto"/>
          <w:sz w:val="32"/>
          <w:szCs w:val="32"/>
          <w:highlight w:val="none"/>
          <w:shd w:val="clear" w:color="auto" w:fill="FFFFFF"/>
        </w:rPr>
        <w:t>2.6%</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方正仿宋_GBK" w:eastAsia="方正仿宋_GBK" w:cs="方正仿宋_GBK"/>
          <w:b w:val="0"/>
          <w:bCs w:val="0"/>
          <w:color w:val="auto"/>
          <w:sz w:val="32"/>
          <w:szCs w:val="32"/>
          <w:highlight w:val="none"/>
          <w:shd w:val="clear" w:color="auto" w:fill="FFFFFF"/>
        </w:rPr>
        <w:t>较年初预算数减少2.71万元，下降4.2%</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人员退休</w:t>
      </w:r>
      <w:r>
        <w:rPr>
          <w:rFonts w:hint="eastAsia" w:hAnsi="方正仿宋_GBK" w:eastAsia="方正仿宋_GBK" w:cs="方正仿宋_GBK"/>
          <w:b w:val="0"/>
          <w:bCs w:val="0"/>
          <w:color w:val="auto"/>
          <w:sz w:val="32"/>
          <w:szCs w:val="32"/>
          <w:highlight w:val="none"/>
          <w:shd w:val="clear" w:color="auto" w:fill="FFFFFF"/>
          <w:lang w:val="en-US" w:eastAsia="zh-CN"/>
        </w:rPr>
        <w:t>，调整了预算</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w:t>
      </w:r>
    </w:p>
    <w:p w14:paraId="35A07405">
      <w:pPr>
        <w:pStyle w:val="6"/>
        <w:keepNext w:val="0"/>
        <w:keepLines w:val="0"/>
        <w:pageBreakBefore w:val="0"/>
        <w:kinsoku/>
        <w:overflowPunct w:val="0"/>
        <w:topLinePunct/>
        <w:autoSpaceDN/>
        <w:bidi w:val="0"/>
        <w:snapToGrid w:val="0"/>
        <w:spacing w:before="0" w:beforeAutospacing="0" w:after="0" w:afterAutospacing="0" w:line="560" w:lineRule="atLeas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4</w:t>
      </w:r>
      <w:r>
        <w:rPr>
          <w:rFonts w:ascii="Times New Roman" w:hAnsi="方正仿宋_GBK" w:eastAsia="方正仿宋_GBK" w:cs="方正仿宋_GBK"/>
          <w:b w:val="0"/>
          <w:bCs w:val="0"/>
          <w:color w:val="auto"/>
          <w:sz w:val="32"/>
          <w:szCs w:val="32"/>
          <w:highlight w:val="none"/>
          <w:shd w:val="clear" w:color="auto" w:fill="FFFFFF"/>
        </w:rPr>
        <w:t>）城乡社区支出</w:t>
      </w:r>
      <w:r>
        <w:rPr>
          <w:rFonts w:hint="default" w:ascii="Times New Roman" w:hAnsi="方正仿宋_GBK" w:eastAsia="方正仿宋_GBK" w:cs="方正仿宋_GBK"/>
          <w:b w:val="0"/>
          <w:bCs w:val="0"/>
          <w:color w:val="auto"/>
          <w:sz w:val="32"/>
          <w:szCs w:val="32"/>
          <w:highlight w:val="none"/>
          <w:shd w:val="clear" w:color="auto" w:fill="FFFFFF"/>
        </w:rPr>
        <w:t>154.96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方正仿宋_GBK" w:eastAsia="方正仿宋_GBK" w:cs="方正仿宋_GBK"/>
          <w:b w:val="0"/>
          <w:bCs w:val="0"/>
          <w:color w:val="auto"/>
          <w:sz w:val="32"/>
          <w:szCs w:val="32"/>
          <w:highlight w:val="none"/>
          <w:shd w:val="clear" w:color="auto" w:fill="FFFFFF"/>
        </w:rPr>
        <w:t>6.5%</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方正仿宋_GBK" w:eastAsia="方正仿宋_GBK" w:cs="方正仿宋_GBK"/>
          <w:b w:val="0"/>
          <w:bCs w:val="0"/>
          <w:color w:val="auto"/>
          <w:sz w:val="32"/>
          <w:szCs w:val="32"/>
          <w:highlight w:val="none"/>
          <w:shd w:val="clear" w:color="auto" w:fill="FFFFFF"/>
        </w:rPr>
        <w:t>较年初预算数增加28.66万元，增长22.7%</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cs="方正仿宋_GBK"/>
          <w:color w:val="auto"/>
          <w:sz w:val="32"/>
          <w:szCs w:val="32"/>
          <w:highlight w:val="none"/>
          <w:shd w:val="clear" w:color="auto" w:fill="FFFFFF"/>
          <w:lang w:eastAsia="zh-CN"/>
        </w:rPr>
        <w:t>民防应急应战</w:t>
      </w:r>
      <w:r>
        <w:rPr>
          <w:rFonts w:hint="eastAsia" w:ascii="Times New Roman" w:hAnsi="Times New Roman" w:cs="方正仿宋_GBK"/>
          <w:color w:val="auto"/>
          <w:sz w:val="32"/>
          <w:szCs w:val="32"/>
          <w:highlight w:val="none"/>
          <w:shd w:val="clear" w:color="auto" w:fill="FFFFFF"/>
          <w:lang w:val="en-US" w:eastAsia="zh-CN"/>
        </w:rPr>
        <w:t>项目支出增加</w:t>
      </w:r>
      <w:r>
        <w:rPr>
          <w:rFonts w:ascii="Times New Roman" w:hAnsi="Times New Roman" w:eastAsia="方正仿宋_GBK" w:cs="方正仿宋_GBK"/>
          <w:b w:val="0"/>
          <w:bCs w:val="0"/>
          <w:color w:val="auto"/>
          <w:sz w:val="32"/>
          <w:szCs w:val="32"/>
          <w:highlight w:val="none"/>
          <w:shd w:val="clear" w:color="auto" w:fill="FFFFFF"/>
        </w:rPr>
        <w:t>。</w:t>
      </w:r>
    </w:p>
    <w:p w14:paraId="1B1DB683">
      <w:pPr>
        <w:spacing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5</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住房保障支出</w:t>
      </w:r>
      <w:r>
        <w:rPr>
          <w:rFonts w:hint="default" w:ascii="Times New Roman" w:hAnsi="Times New Roman" w:eastAsia="方正仿宋_GBK"/>
          <w:b w:val="0"/>
          <w:bCs w:val="0"/>
          <w:color w:val="auto"/>
          <w:sz w:val="32"/>
          <w:szCs w:val="32"/>
          <w:highlight w:val="none"/>
          <w:shd w:val="clear" w:color="auto" w:fill="FFFFFF"/>
        </w:rPr>
        <w:t>61.92</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2.6%</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较年初预算数减少0.21万元，下降0.3%</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val="en-US" w:eastAsia="zh-CN"/>
        </w:rPr>
        <w:t>人员退休</w:t>
      </w:r>
      <w:r>
        <w:rPr>
          <w:rFonts w:hint="eastAsia" w:hAnsi="方正仿宋_GBK" w:eastAsia="方正仿宋_GBK" w:cs="方正仿宋_GBK"/>
          <w:b w:val="0"/>
          <w:bCs w:val="0"/>
          <w:color w:val="auto"/>
          <w:sz w:val="32"/>
          <w:szCs w:val="32"/>
          <w:highlight w:val="none"/>
          <w:lang w:val="en-US" w:eastAsia="zh-CN"/>
        </w:rPr>
        <w:t>，</w:t>
      </w:r>
      <w:r>
        <w:rPr>
          <w:rFonts w:hint="eastAsia" w:ascii="Times New Roman" w:hAnsi="方正仿宋_GBK" w:eastAsia="方正仿宋_GBK" w:cs="方正仿宋_GBK"/>
          <w:b w:val="0"/>
          <w:bCs w:val="0"/>
          <w:color w:val="auto"/>
          <w:sz w:val="32"/>
          <w:szCs w:val="32"/>
          <w:highlight w:val="none"/>
          <w:lang w:val="en-US" w:eastAsia="zh-CN"/>
        </w:rPr>
        <w:t>部门住房公积金标准清算</w:t>
      </w:r>
      <w:r>
        <w:rPr>
          <w:rFonts w:hint="eastAsia" w:hAnsi="方正仿宋_GBK" w:eastAsia="方正仿宋_GBK" w:cs="方正仿宋_GBK"/>
          <w:b w:val="0"/>
          <w:bCs w:val="0"/>
          <w:color w:val="auto"/>
          <w:sz w:val="32"/>
          <w:szCs w:val="32"/>
          <w:highlight w:val="none"/>
          <w:lang w:val="en-US" w:eastAsia="zh-CN"/>
        </w:rPr>
        <w:t>后调整了预算</w:t>
      </w:r>
      <w:r>
        <w:rPr>
          <w:rFonts w:ascii="Times New Roman" w:hAnsi="方正仿宋_GBK" w:eastAsia="方正仿宋_GBK" w:cs="方正仿宋_GBK"/>
          <w:b w:val="0"/>
          <w:bCs w:val="0"/>
          <w:color w:val="auto"/>
          <w:sz w:val="32"/>
          <w:szCs w:val="32"/>
          <w:highlight w:val="none"/>
          <w:shd w:val="clear" w:color="auto" w:fill="FFFFFF"/>
        </w:rPr>
        <w:t>。</w:t>
      </w:r>
    </w:p>
    <w:p w14:paraId="098C02C7">
      <w:pPr>
        <w:keepNext w:val="0"/>
        <w:keepLines w:val="0"/>
        <w:pageBreakBefore w:val="0"/>
        <w:kinsoku/>
        <w:overflowPunct w:val="0"/>
        <w:topLinePunct/>
        <w:autoSpaceDN/>
        <w:bidi w:val="0"/>
        <w:spacing w:beforeAutospacing="0" w:line="560" w:lineRule="atLeast"/>
        <w:ind w:firstLine="652" w:firstLineChars="200"/>
        <w:rPr>
          <w:rFonts w:hint="default" w:ascii="Times New Roman" w:hAnsi="Times New Roman"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6</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粮油物资储备支出</w:t>
      </w:r>
      <w:r>
        <w:rPr>
          <w:rFonts w:hint="default" w:ascii="Times New Roman" w:hAnsi="Times New Roman" w:eastAsia="方正仿宋_GBK"/>
          <w:b w:val="0"/>
          <w:bCs w:val="0"/>
          <w:color w:val="auto"/>
          <w:sz w:val="32"/>
          <w:szCs w:val="32"/>
          <w:highlight w:val="none"/>
          <w:shd w:val="clear" w:color="auto" w:fill="FFFFFF"/>
        </w:rPr>
        <w:t>38.50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1.6%</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较年初预算数减少520.00万元，下降93.1%</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粮油储备补贴上解至市上支付，我委此项目支出大幅减少</w:t>
      </w:r>
      <w:r>
        <w:rPr>
          <w:rFonts w:ascii="Times New Roman" w:hAnsi="方正仿宋_GBK" w:eastAsia="方正仿宋_GBK" w:cs="方正仿宋_GBK"/>
          <w:b w:val="0"/>
          <w:bCs w:val="0"/>
          <w:color w:val="auto"/>
          <w:sz w:val="32"/>
          <w:szCs w:val="32"/>
          <w:highlight w:val="none"/>
        </w:rPr>
        <w:t>。</w:t>
      </w:r>
    </w:p>
    <w:p w14:paraId="67217D6F">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0"/>
          <w:rFonts w:hint="default" w:ascii="Times New Roman" w:hAnsi="Times New Roman" w:eastAsia="方正仿宋_GBK"/>
          <w:b w:val="0"/>
          <w:bCs w:val="0"/>
          <w:color w:val="auto"/>
          <w:sz w:val="32"/>
          <w:szCs w:val="32"/>
          <w:highlight w:val="none"/>
          <w:shd w:val="clear" w:color="auto" w:fill="FFFFFF"/>
        </w:rPr>
        <w:t>3</w:t>
      </w:r>
      <w:r>
        <w:rPr>
          <w:rStyle w:val="10"/>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年度年末一般公共预算财政拨款结转和结余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rPr>
        <w:t>与</w:t>
      </w:r>
      <w:r>
        <w:rPr>
          <w:rFonts w:hint="default" w:ascii="Times New Roman" w:hAnsi="Times New Roman" w:eastAsia="方正仿宋_GBK"/>
          <w:b w:val="0"/>
          <w:bCs w:val="0"/>
          <w:color w:val="auto"/>
          <w:sz w:val="32"/>
          <w:szCs w:val="32"/>
          <w:highlight w:val="none"/>
          <w:shd w:val="clear" w:color="auto" w:fill="FFFFFF"/>
        </w:rPr>
        <w:t>上年决算数</w:t>
      </w:r>
      <w:r>
        <w:rPr>
          <w:rFonts w:hint="eastAsia" w:ascii="Times New Roman" w:hAnsi="Times New Roman" w:eastAsia="方正仿宋_GBK"/>
          <w:b w:val="0"/>
          <w:bCs w:val="0"/>
          <w:color w:val="auto"/>
          <w:sz w:val="32"/>
          <w:szCs w:val="32"/>
          <w:highlight w:val="none"/>
          <w:shd w:val="clear" w:color="auto" w:fill="FFFFFF"/>
        </w:rPr>
        <w:t>持平</w:t>
      </w:r>
      <w:r>
        <w:rPr>
          <w:rFonts w:hint="default" w:ascii="Times New Roman" w:hAnsi="Times New Roman" w:eastAsia="方正仿宋_GBK"/>
          <w:b w:val="0"/>
          <w:bCs w:val="0"/>
          <w:color w:val="auto"/>
          <w:sz w:val="32"/>
          <w:szCs w:val="32"/>
          <w:highlight w:val="none"/>
          <w:shd w:val="clear" w:color="auto" w:fill="FFFFFF"/>
        </w:rPr>
        <w:t>。</w:t>
      </w:r>
    </w:p>
    <w:p w14:paraId="45F9946A">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（四）一般公共预算财政拨款基本支出决算情况说明</w:t>
      </w:r>
    </w:p>
    <w:p w14:paraId="226FFF98">
      <w:pPr>
        <w:pStyle w:val="6"/>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年度一般公共财政拨款基本支出</w:t>
      </w:r>
      <w:r>
        <w:rPr>
          <w:rFonts w:hint="default" w:ascii="Times New Roman" w:hAnsi="Times New Roman" w:eastAsia="方正仿宋_GBK"/>
          <w:b w:val="0"/>
          <w:bCs w:val="0"/>
          <w:color w:val="auto"/>
          <w:sz w:val="32"/>
          <w:szCs w:val="32"/>
          <w:highlight w:val="none"/>
          <w:shd w:val="clear" w:color="auto" w:fill="FFFFFF"/>
        </w:rPr>
        <w:t>1255.81</w:t>
      </w:r>
      <w:r>
        <w:rPr>
          <w:rFonts w:ascii="Times New Roman" w:hAnsi="方正仿宋_GBK" w:eastAsia="方正仿宋_GBK" w:cs="方正仿宋_GBK"/>
          <w:b w:val="0"/>
          <w:bCs w:val="0"/>
          <w:color w:val="auto"/>
          <w:sz w:val="32"/>
          <w:szCs w:val="32"/>
          <w:highlight w:val="none"/>
          <w:shd w:val="clear" w:color="auto" w:fill="FFFFFF"/>
        </w:rPr>
        <w:t>万元。</w:t>
      </w:r>
    </w:p>
    <w:p w14:paraId="0FD055C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其中：</w:t>
      </w:r>
    </w:p>
    <w:p w14:paraId="0E9CD3A2">
      <w:pPr>
        <w:pStyle w:val="6"/>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人员经费</w:t>
      </w:r>
      <w:r>
        <w:rPr>
          <w:rFonts w:hint="default" w:ascii="Times New Roman" w:hAnsi="Times New Roman" w:eastAsia="方正仿宋_GBK"/>
          <w:b w:val="0"/>
          <w:bCs w:val="0"/>
          <w:color w:val="auto"/>
          <w:sz w:val="32"/>
          <w:szCs w:val="32"/>
          <w:highlight w:val="none"/>
          <w:shd w:val="clear" w:color="auto" w:fill="FFFFFF"/>
        </w:rPr>
        <w:t>1090.96</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与2023年度相比，减少10.05万元，下降0.9%</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szCs w:val="32"/>
          <w:highlight w:val="none"/>
          <w:shd w:val="clear" w:color="auto" w:fill="FFFFFF"/>
          <w:lang w:eastAsia="zh-CN"/>
        </w:rPr>
        <w:t>是人员退休、调出调整预算</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人员经费</w:t>
      </w:r>
      <w:r>
        <w:rPr>
          <w:rFonts w:hint="eastAsia" w:ascii="Times New Roman" w:hAnsi="Times New Roman" w:cs="方正仿宋_GBK"/>
          <w:color w:val="auto"/>
          <w:sz w:val="32"/>
          <w:szCs w:val="32"/>
          <w:highlight w:val="none"/>
          <w:shd w:val="clear" w:color="auto" w:fill="FFFFFF"/>
          <w:lang w:val="en-US" w:eastAsia="zh-CN"/>
        </w:rPr>
        <w:t>用</w:t>
      </w:r>
      <w:r>
        <w:rPr>
          <w:rFonts w:ascii="Times New Roman" w:hAnsi="Times New Roman" w:eastAsia="方正仿宋_GBK" w:cs="方正仿宋_GBK"/>
          <w:b w:val="0"/>
          <w:bCs w:val="0"/>
          <w:color w:val="auto"/>
          <w:sz w:val="32"/>
          <w:szCs w:val="32"/>
          <w:highlight w:val="none"/>
          <w:shd w:val="clear" w:color="auto" w:fill="FFFFFF"/>
        </w:rPr>
        <w:t>途</w:t>
      </w:r>
      <w:r>
        <w:rPr>
          <w:rFonts w:hint="eastAsia" w:ascii="Times New Roman" w:hAnsi="Times New Roman" w:eastAsia="方正仿宋_GBK" w:cs="方正仿宋_GBK"/>
          <w:b w:val="0"/>
          <w:bCs w:val="0"/>
          <w:color w:val="auto"/>
          <w:sz w:val="32"/>
          <w:szCs w:val="32"/>
          <w:highlight w:val="none"/>
          <w:shd w:val="clear" w:color="auto" w:fill="auto"/>
        </w:rPr>
        <w:t>主</w:t>
      </w:r>
      <w:r>
        <w:rPr>
          <w:rFonts w:hint="eastAsia" w:ascii="Times New Roman" w:hAnsi="方正仿宋_GBK" w:eastAsia="方正仿宋_GBK" w:cs="方正仿宋_GBK"/>
          <w:b w:val="0"/>
          <w:bCs w:val="0"/>
          <w:color w:val="auto"/>
          <w:sz w:val="32"/>
          <w:szCs w:val="32"/>
          <w:highlight w:val="none"/>
          <w:shd w:val="clear" w:color="auto" w:fill="FFFFFF"/>
          <w:lang w:eastAsia="zh-CN"/>
        </w:rPr>
        <w:t>要包括</w:t>
      </w:r>
      <w:r>
        <w:rPr>
          <w:rFonts w:hint="eastAsia" w:ascii="方正仿宋_GBK" w:hAnsi="方正仿宋_GBK" w:eastAsia="方正仿宋_GBK" w:cs="方正仿宋_GBK"/>
          <w:color w:val="auto"/>
          <w:sz w:val="32"/>
          <w:szCs w:val="32"/>
          <w:highlight w:val="none"/>
          <w:shd w:val="clear" w:color="auto" w:fill="FFFFFF"/>
          <w:lang w:val="en-US" w:eastAsia="zh-CN"/>
        </w:rPr>
        <w:t>基本工资、津贴补贴、绩效工资、养老保险、职业年金等</w:t>
      </w:r>
      <w:r>
        <w:rPr>
          <w:rFonts w:ascii="Times New Roman" w:hAnsi="方正仿宋_GBK" w:eastAsia="方正仿宋_GBK" w:cs="方正仿宋_GBK"/>
          <w:b w:val="0"/>
          <w:bCs w:val="0"/>
          <w:color w:val="auto"/>
          <w:sz w:val="32"/>
          <w:szCs w:val="32"/>
          <w:highlight w:val="none"/>
          <w:shd w:val="clear" w:color="auto" w:fill="FFFFFF"/>
        </w:rPr>
        <w:t>。</w:t>
      </w:r>
    </w:p>
    <w:p w14:paraId="6665F886">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公用经费</w:t>
      </w:r>
      <w:r>
        <w:rPr>
          <w:rFonts w:hint="default" w:ascii="Times New Roman" w:hAnsi="Times New Roman" w:eastAsia="方正仿宋_GBK"/>
          <w:b w:val="0"/>
          <w:bCs w:val="0"/>
          <w:color w:val="auto"/>
          <w:sz w:val="32"/>
          <w:szCs w:val="32"/>
          <w:highlight w:val="none"/>
          <w:shd w:val="clear" w:color="auto" w:fill="FFFFFF"/>
        </w:rPr>
        <w:t>164.85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与2023年度相比，增加4.55万元，增长2.8%</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是外出培训、对接工作等公务费用支出增加</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pacing w:val="-6"/>
          <w:sz w:val="32"/>
          <w:szCs w:val="32"/>
          <w:highlight w:val="none"/>
          <w:shd w:val="clear" w:color="auto" w:fill="FFFFFF"/>
        </w:rPr>
        <w:t>公用经费用途主要包括</w:t>
      </w:r>
      <w:r>
        <w:rPr>
          <w:rFonts w:hint="eastAsia" w:ascii="Times New Roman" w:hAnsi="Times New Roman" w:eastAsia="方正仿宋_GBK" w:cs="方正仿宋_GBK"/>
          <w:b w:val="0"/>
          <w:bCs w:val="0"/>
          <w:color w:val="auto"/>
          <w:spacing w:val="-6"/>
          <w:sz w:val="32"/>
          <w:highlight w:val="none"/>
          <w:shd w:val="clear" w:color="auto" w:fill="auto"/>
        </w:rPr>
        <w:t>办公费、</w:t>
      </w:r>
      <w:r>
        <w:rPr>
          <w:rFonts w:hint="eastAsia" w:ascii="方正仿宋_GBK" w:hAnsi="方正仿宋_GBK" w:eastAsia="方正仿宋_GBK" w:cs="方正仿宋_GBK"/>
          <w:color w:val="auto"/>
          <w:sz w:val="32"/>
          <w:szCs w:val="32"/>
          <w:highlight w:val="none"/>
          <w:shd w:val="clear" w:color="auto" w:fill="FFFFFF"/>
          <w:lang w:val="en-US" w:eastAsia="zh-CN"/>
        </w:rPr>
        <w:t>水费、电费、印刷费、委托业务费、差旅费等。</w:t>
      </w:r>
    </w:p>
    <w:p w14:paraId="6AC4FCB8">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（五）政府性基金预算收支决算情况说明</w:t>
      </w:r>
    </w:p>
    <w:p w14:paraId="01965A40">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本部门</w:t>
      </w: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年度无政府性基金预算财政拨款收支。</w:t>
      </w:r>
    </w:p>
    <w:p w14:paraId="66DC521C">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（六）国有资本经营预算财政拨款支出决算情况说明</w:t>
      </w:r>
    </w:p>
    <w:p w14:paraId="19BE3246">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本部门</w:t>
      </w: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年度无国有资本经营预算财政拨款支出。</w:t>
      </w:r>
    </w:p>
    <w:p w14:paraId="5F9855C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0"/>
          <w:rFonts w:hint="default" w:ascii="Times New Roman" w:hAnsi="方正黑体_GBK" w:eastAsia="方正黑体_GBK" w:cs="方正黑体_GBK"/>
          <w:b w:val="0"/>
          <w:bCs w:val="0"/>
          <w:color w:val="auto"/>
          <w:sz w:val="32"/>
          <w:szCs w:val="32"/>
          <w:highlight w:val="none"/>
          <w:shd w:val="clear" w:color="auto" w:fill="FFFFFF"/>
        </w:rPr>
      </w:pPr>
      <w:r>
        <w:rPr>
          <w:rStyle w:val="10"/>
          <w:rFonts w:ascii="Times New Roman" w:hAnsi="方正黑体_GBK" w:eastAsia="方正黑体_GBK" w:cs="方正黑体_GBK"/>
          <w:b w:val="0"/>
          <w:bCs w:val="0"/>
          <w:color w:val="auto"/>
          <w:sz w:val="32"/>
          <w:szCs w:val="32"/>
          <w:highlight w:val="none"/>
          <w:shd w:val="clear" w:color="auto" w:fill="FFFFFF"/>
        </w:rPr>
        <w:t>三、</w:t>
      </w:r>
      <w:r>
        <w:rPr>
          <w:rStyle w:val="10"/>
          <w:rFonts w:hint="eastAsia" w:ascii="Times New Roman" w:hAnsi="方正黑体_GBK" w:eastAsia="方正黑体_GBK" w:cs="方正黑体_GBK"/>
          <w:b w:val="0"/>
          <w:bCs w:val="0"/>
          <w:color w:val="auto"/>
          <w:sz w:val="32"/>
          <w:szCs w:val="32"/>
          <w:highlight w:val="none"/>
          <w:shd w:val="clear" w:color="auto" w:fill="FFFFFF"/>
          <w:lang w:eastAsia="zh-CN"/>
        </w:rPr>
        <w:t>财政拨款</w:t>
      </w:r>
      <w:r>
        <w:rPr>
          <w:rStyle w:val="10"/>
          <w:rFonts w:ascii="Times New Roman" w:hAnsi="方正黑体_GBK" w:eastAsia="方正黑体_GBK" w:cs="方正黑体_GBK"/>
          <w:b w:val="0"/>
          <w:bCs w:val="0"/>
          <w:color w:val="auto"/>
          <w:sz w:val="32"/>
          <w:szCs w:val="32"/>
          <w:highlight w:val="none"/>
          <w:shd w:val="clear" w:color="auto" w:fill="FFFFFF"/>
        </w:rPr>
        <w:t>“三公”经费情况说明</w:t>
      </w:r>
    </w:p>
    <w:p w14:paraId="74E8C8D8">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（一）“三公”经费支出总体情况说明</w:t>
      </w:r>
    </w:p>
    <w:p w14:paraId="60E7DB03">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年度“三公”经费支出共计</w:t>
      </w:r>
      <w:r>
        <w:rPr>
          <w:rFonts w:hint="default" w:ascii="Times New Roman" w:hAnsi="Times New Roman" w:eastAsia="方正仿宋_GBK"/>
          <w:b w:val="0"/>
          <w:bCs w:val="0"/>
          <w:color w:val="auto"/>
          <w:sz w:val="32"/>
          <w:szCs w:val="32"/>
          <w:highlight w:val="none"/>
          <w:shd w:val="clear" w:color="auto" w:fill="FFFFFF"/>
        </w:rPr>
        <w:t>9.06</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较年初预算数减少2.54万元，下降21.9%</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lang w:val="en-US" w:eastAsia="zh-CN"/>
        </w:rPr>
        <w:t>是严格执行</w:t>
      </w:r>
      <w:r>
        <w:rPr>
          <w:rFonts w:hint="eastAsia" w:ascii="Times New Roman" w:hAnsi="Times New Roman" w:cs="方正仿宋_GBK"/>
          <w:color w:val="auto"/>
          <w:sz w:val="32"/>
          <w:highlight w:val="none"/>
          <w:lang w:val="en-US" w:eastAsia="zh-CN"/>
        </w:rPr>
        <w:t>中央八项规定</w:t>
      </w:r>
      <w:r>
        <w:rPr>
          <w:rFonts w:hint="eastAsia" w:ascii="Times New Roman" w:hAnsi="Times New Roman" w:eastAsia="方正仿宋_GBK" w:cs="方正仿宋_GBK"/>
          <w:b w:val="0"/>
          <w:bCs w:val="0"/>
          <w:color w:val="auto"/>
          <w:sz w:val="32"/>
          <w:highlight w:val="none"/>
          <w:lang w:val="en-US" w:eastAsia="zh-CN"/>
        </w:rPr>
        <w:t>，厉行节约，严控“三公”经费，缩减开支</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较上年支出数减少1.01万元，下降10.0%</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严格执行</w:t>
      </w:r>
      <w:r>
        <w:rPr>
          <w:rFonts w:hint="eastAsia" w:ascii="Times New Roman" w:hAnsi="Times New Roman" w:cs="方正仿宋_GBK"/>
          <w:color w:val="auto"/>
          <w:sz w:val="32"/>
          <w:highlight w:val="none"/>
          <w:lang w:val="en-US" w:eastAsia="zh-CN"/>
        </w:rPr>
        <w:t>中央八项规定</w:t>
      </w:r>
      <w:r>
        <w:rPr>
          <w:rFonts w:hint="eastAsia" w:ascii="Times New Roman" w:hAnsi="Times New Roman" w:eastAsia="方正仿宋_GBK" w:cs="方正仿宋_GBK"/>
          <w:b w:val="0"/>
          <w:bCs w:val="0"/>
          <w:color w:val="auto"/>
          <w:sz w:val="32"/>
          <w:highlight w:val="none"/>
          <w:lang w:val="en-US" w:eastAsia="zh-CN"/>
        </w:rPr>
        <w:t>，厉行节约，严控“三公”经费，缩减开支</w:t>
      </w:r>
      <w:r>
        <w:rPr>
          <w:rFonts w:ascii="Times New Roman" w:hAnsi="方正仿宋_GBK" w:eastAsia="方正仿宋_GBK" w:cs="方正仿宋_GBK"/>
          <w:b w:val="0"/>
          <w:bCs w:val="0"/>
          <w:color w:val="auto"/>
          <w:sz w:val="32"/>
          <w:szCs w:val="32"/>
          <w:highlight w:val="none"/>
          <w:shd w:val="clear" w:color="auto" w:fill="FFFFFF"/>
        </w:rPr>
        <w:t>。</w:t>
      </w:r>
    </w:p>
    <w:p w14:paraId="6141D49C">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（二）“三公”经费分项支出情况</w:t>
      </w:r>
    </w:p>
    <w:p w14:paraId="045F1531">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年度本部门因公出国（境）费用</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r>
        <w:rPr>
          <w:rFonts w:ascii="Times New Roman" w:hAnsi="方正仿宋_GBK" w:eastAsia="方正仿宋_GBK" w:cs="方正仿宋_GBK"/>
          <w:b w:val="0"/>
          <w:bCs w:val="0"/>
          <w:color w:val="auto"/>
          <w:sz w:val="32"/>
          <w:szCs w:val="32"/>
          <w:highlight w:val="none"/>
          <w:shd w:val="clear" w:color="auto" w:fill="FFFFFF"/>
        </w:rPr>
        <w:t>。</w:t>
      </w:r>
    </w:p>
    <w:p w14:paraId="0F8DC30D">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车购置费</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r>
        <w:rPr>
          <w:rFonts w:ascii="Times New Roman" w:hAnsi="方正仿宋_GBK" w:eastAsia="方正仿宋_GBK" w:cs="方正仿宋_GBK"/>
          <w:b w:val="0"/>
          <w:bCs w:val="0"/>
          <w:color w:val="auto"/>
          <w:sz w:val="32"/>
          <w:szCs w:val="32"/>
          <w:highlight w:val="none"/>
          <w:shd w:val="clear" w:color="auto" w:fill="FFFFFF"/>
        </w:rPr>
        <w:t>。</w:t>
      </w:r>
    </w:p>
    <w:p w14:paraId="7BB50350">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车运行维护费</w:t>
      </w:r>
      <w:r>
        <w:rPr>
          <w:rFonts w:hint="default" w:ascii="Times New Roman" w:hAnsi="方正仿宋_GBK" w:eastAsia="方正仿宋_GBK" w:cs="方正仿宋_GBK"/>
          <w:b w:val="0"/>
          <w:bCs w:val="0"/>
          <w:color w:val="auto"/>
          <w:sz w:val="32"/>
          <w:szCs w:val="32"/>
          <w:highlight w:val="none"/>
          <w:shd w:val="clear" w:color="auto" w:fill="FFFFFF"/>
        </w:rPr>
        <w:t>5.31</w:t>
      </w:r>
      <w:r>
        <w:rPr>
          <w:rFonts w:ascii="Times New Roman" w:hAnsi="方正仿宋_GBK" w:eastAsia="方正仿宋_GBK" w:cs="方正仿宋_GBK"/>
          <w:b w:val="0"/>
          <w:bCs w:val="0"/>
          <w:color w:val="auto"/>
          <w:sz w:val="32"/>
          <w:szCs w:val="32"/>
          <w:highlight w:val="none"/>
          <w:shd w:val="clear" w:color="auto" w:fill="FFFFFF"/>
        </w:rPr>
        <w:t>万元，主要用于</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我委2辆公务车辆日常运行维护费用</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具体用于价格监测、项目统筹协调、下乡检查项目、民防应急保障训练等工作的公务用车</w:t>
      </w:r>
      <w:r>
        <w:rPr>
          <w:rFonts w:ascii="方正仿宋_GBK" w:hAnsi="方正仿宋_GBK" w:eastAsia="方正仿宋_GBK" w:cs="方正仿宋_GBK"/>
          <w:color w:val="auto"/>
          <w:sz w:val="32"/>
          <w:szCs w:val="32"/>
          <w:highlight w:val="none"/>
          <w:shd w:val="clear" w:color="auto" w:fill="FFFFFF"/>
        </w:rPr>
        <w:t>加油、维修保养、保险等开支</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较年初预算数减少1.59万元，下降23.0%</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本年公车运行良好，维修较少，从而支出有所减少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较上年支出数减少0.69万元，下降11.5%</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严控公车运行维护费，减少开支</w:t>
      </w:r>
      <w:r>
        <w:rPr>
          <w:rFonts w:ascii="Times New Roman" w:hAnsi="方正仿宋_GBK" w:eastAsia="方正仿宋_GBK" w:cs="方正仿宋_GBK"/>
          <w:b w:val="0"/>
          <w:bCs w:val="0"/>
          <w:color w:val="auto"/>
          <w:sz w:val="32"/>
          <w:szCs w:val="32"/>
          <w:highlight w:val="none"/>
          <w:shd w:val="clear" w:color="auto" w:fill="FFFFFF"/>
        </w:rPr>
        <w:t>。</w:t>
      </w:r>
    </w:p>
    <w:p w14:paraId="4B748C1E">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lang w:val="en-US" w:eastAsia="zh-CN"/>
        </w:rPr>
      </w:pPr>
      <w:r>
        <w:rPr>
          <w:rFonts w:ascii="Times New Roman" w:hAnsi="方正仿宋_GBK" w:eastAsia="方正仿宋_GBK" w:cs="方正仿宋_GBK"/>
          <w:b w:val="0"/>
          <w:bCs w:val="0"/>
          <w:color w:val="auto"/>
          <w:sz w:val="32"/>
          <w:szCs w:val="32"/>
          <w:highlight w:val="none"/>
          <w:shd w:val="clear" w:color="auto" w:fill="FFFFFF"/>
        </w:rPr>
        <w:t>公务接待费</w:t>
      </w:r>
      <w:r>
        <w:rPr>
          <w:rFonts w:hint="default" w:ascii="Times New Roman" w:hAnsi="方正仿宋_GBK" w:eastAsia="方正仿宋_GBK" w:cs="方正仿宋_GBK"/>
          <w:b w:val="0"/>
          <w:bCs w:val="0"/>
          <w:color w:val="auto"/>
          <w:sz w:val="32"/>
          <w:szCs w:val="32"/>
          <w:highlight w:val="none"/>
          <w:shd w:val="clear" w:color="auto" w:fill="FFFFFF"/>
        </w:rPr>
        <w:t>3.75</w:t>
      </w:r>
      <w:r>
        <w:rPr>
          <w:rFonts w:ascii="Times New Roman" w:hAnsi="方正仿宋_GBK" w:eastAsia="方正仿宋_GBK" w:cs="方正仿宋_GBK"/>
          <w:b w:val="0"/>
          <w:bCs w:val="0"/>
          <w:color w:val="auto"/>
          <w:sz w:val="32"/>
          <w:szCs w:val="32"/>
          <w:highlight w:val="none"/>
          <w:shd w:val="clear" w:color="auto" w:fill="FFFFFF"/>
        </w:rPr>
        <w:t>万元，主</w:t>
      </w:r>
      <w:r>
        <w:rPr>
          <w:rFonts w:hint="eastAsia" w:ascii="Times New Roman" w:hAnsi="方正仿宋_GBK" w:eastAsia="方正仿宋_GBK" w:cs="方正仿宋_GBK"/>
          <w:b w:val="0"/>
          <w:bCs w:val="0"/>
          <w:color w:val="auto"/>
          <w:sz w:val="32"/>
          <w:szCs w:val="32"/>
          <w:highlight w:val="none"/>
          <w:shd w:val="clear" w:color="auto" w:fill="FFFFFF"/>
          <w:lang w:eastAsia="zh-CN"/>
        </w:rPr>
        <w:t>要用于接待</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上级部门检查工作、对企业招商引资、向上对接工作等支出。费用支出</w:t>
      </w:r>
      <w:r>
        <w:rPr>
          <w:rFonts w:hint="default" w:ascii="Times New Roman" w:hAnsi="方正仿宋_GBK" w:eastAsia="方正仿宋_GBK" w:cs="方正仿宋_GBK"/>
          <w:b w:val="0"/>
          <w:bCs w:val="0"/>
          <w:color w:val="auto"/>
          <w:sz w:val="32"/>
          <w:szCs w:val="32"/>
          <w:highlight w:val="none"/>
          <w:shd w:val="clear" w:color="auto" w:fill="FFFFFF"/>
          <w:lang w:val="en-US" w:eastAsia="zh-CN"/>
        </w:rPr>
        <w:t>较年初预算数减少0.95万元，下降20.2%</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，主要原因是严格执行中央八项规定，厉行节约，严控“三公”经费，缩减开支。</w:t>
      </w:r>
      <w:r>
        <w:rPr>
          <w:rFonts w:hint="default" w:ascii="Times New Roman" w:hAnsi="方正仿宋_GBK" w:eastAsia="方正仿宋_GBK" w:cs="方正仿宋_GBK"/>
          <w:b w:val="0"/>
          <w:bCs w:val="0"/>
          <w:color w:val="auto"/>
          <w:sz w:val="32"/>
          <w:szCs w:val="32"/>
          <w:highlight w:val="none"/>
          <w:shd w:val="clear" w:color="auto" w:fill="FFFFFF"/>
          <w:lang w:val="en-US" w:eastAsia="zh-CN"/>
        </w:rPr>
        <w:t>较上年支出数减少0.32万元，下降7.9%</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，主要原因是严格执行中央八项规定，厉行节约，严控“三公”经费，缩减开支。</w:t>
      </w:r>
    </w:p>
    <w:p w14:paraId="47AE041C">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（三）“三公”经费实物量情况</w:t>
      </w:r>
    </w:p>
    <w:p w14:paraId="7E98183F">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年度本部门因公出国（境）共计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个团组，</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人；公务用车购置</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w:t>
      </w:r>
      <w:r>
        <w:rPr>
          <w:rFonts w:hint="eastAsia" w:hAnsi="方正仿宋_GBK" w:eastAsia="方正仿宋_GBK" w:cs="方正仿宋_GBK"/>
          <w:b w:val="0"/>
          <w:bCs w:val="0"/>
          <w:color w:val="auto"/>
          <w:sz w:val="32"/>
          <w:szCs w:val="32"/>
          <w:highlight w:val="none"/>
          <w:shd w:val="clear" w:color="auto" w:fill="FFFFFF"/>
          <w:lang w:eastAsia="zh-CN"/>
        </w:rPr>
        <w:t>公务用车</w:t>
      </w:r>
      <w:r>
        <w:rPr>
          <w:rFonts w:ascii="Times New Roman" w:hAnsi="方正仿宋_GBK" w:eastAsia="方正仿宋_GBK" w:cs="方正仿宋_GBK"/>
          <w:b w:val="0"/>
          <w:bCs w:val="0"/>
          <w:color w:val="auto"/>
          <w:sz w:val="32"/>
          <w:szCs w:val="32"/>
          <w:highlight w:val="none"/>
          <w:shd w:val="clear" w:color="auto" w:fill="FFFFFF"/>
        </w:rPr>
        <w:t>保有量为</w:t>
      </w:r>
      <w:r>
        <w:rPr>
          <w:rFonts w:hint="default" w:ascii="Times New Roman" w:hAnsi="Times New Roman" w:eastAsia="方正仿宋_GBK"/>
          <w:b w:val="0"/>
          <w:bCs w:val="0"/>
          <w:color w:val="auto"/>
          <w:sz w:val="32"/>
          <w:szCs w:val="32"/>
          <w:highlight w:val="none"/>
          <w:shd w:val="clear" w:color="auto" w:fill="FFFFFF"/>
        </w:rPr>
        <w:t>2</w:t>
      </w:r>
      <w:r>
        <w:rPr>
          <w:rFonts w:ascii="Times New Roman" w:hAnsi="方正仿宋_GBK" w:eastAsia="方正仿宋_GBK" w:cs="方正仿宋_GBK"/>
          <w:b w:val="0"/>
          <w:bCs w:val="0"/>
          <w:color w:val="auto"/>
          <w:sz w:val="32"/>
          <w:szCs w:val="32"/>
          <w:highlight w:val="none"/>
          <w:shd w:val="clear" w:color="auto" w:fill="FFFFFF"/>
        </w:rPr>
        <w:t>辆；国内公务接待</w:t>
      </w:r>
      <w:r>
        <w:rPr>
          <w:rFonts w:hint="default" w:ascii="Times New Roman" w:hAnsi="Times New Roman" w:eastAsia="方正仿宋_GBK"/>
          <w:b w:val="0"/>
          <w:bCs w:val="0"/>
          <w:color w:val="auto"/>
          <w:sz w:val="32"/>
          <w:szCs w:val="32"/>
          <w:highlight w:val="none"/>
          <w:shd w:val="clear" w:color="auto" w:fill="FFFFFF"/>
        </w:rPr>
        <w:t>61</w:t>
      </w:r>
      <w:r>
        <w:rPr>
          <w:rFonts w:ascii="Times New Roman" w:hAnsi="方正仿宋_GBK" w:eastAsia="方正仿宋_GBK" w:cs="方正仿宋_GBK"/>
          <w:b w:val="0"/>
          <w:bCs w:val="0"/>
          <w:color w:val="auto"/>
          <w:sz w:val="32"/>
          <w:szCs w:val="32"/>
          <w:highlight w:val="none"/>
          <w:shd w:val="clear" w:color="auto" w:fill="FFFFFF"/>
        </w:rPr>
        <w:t>批次</w:t>
      </w:r>
      <w:r>
        <w:rPr>
          <w:rFonts w:hint="eastAsia" w:hAnsi="方正仿宋_GBK" w:eastAsia="方正仿宋_GBK" w:cs="方正仿宋_GBK"/>
          <w:b w:val="0"/>
          <w:bCs w:val="0"/>
          <w:color w:val="auto"/>
          <w:sz w:val="32"/>
          <w:szCs w:val="32"/>
          <w:highlight w:val="none"/>
          <w:shd w:val="clear" w:color="auto" w:fill="FFFFFF"/>
          <w:lang w:eastAsia="zh-CN"/>
        </w:rPr>
        <w:t>，430</w:t>
      </w:r>
      <w:r>
        <w:rPr>
          <w:rFonts w:ascii="Times New Roman" w:hAnsi="方正仿宋_GBK" w:eastAsia="方正仿宋_GBK" w:cs="方正仿宋_GBK"/>
          <w:b w:val="0"/>
          <w:bCs w:val="0"/>
          <w:color w:val="auto"/>
          <w:sz w:val="32"/>
          <w:szCs w:val="32"/>
          <w:highlight w:val="none"/>
          <w:shd w:val="clear" w:color="auto" w:fill="FFFFFF"/>
        </w:rPr>
        <w:t>人，其中</w:t>
      </w:r>
      <w:r>
        <w:rPr>
          <w:rFonts w:hint="eastAsia" w:hAnsi="方正仿宋_GBK" w:eastAsia="方正仿宋_GBK" w:cs="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国内外事接待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人；国（境）外公务接待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年本部门人均接待费</w:t>
      </w:r>
      <w:r>
        <w:rPr>
          <w:rFonts w:hint="default" w:ascii="Times New Roman" w:hAnsi="Times New Roman" w:eastAsia="方正仿宋_GBK"/>
          <w:b w:val="0"/>
          <w:bCs w:val="0"/>
          <w:color w:val="auto"/>
          <w:sz w:val="32"/>
          <w:szCs w:val="32"/>
          <w:highlight w:val="none"/>
          <w:shd w:val="clear" w:color="auto" w:fill="FFFFFF"/>
        </w:rPr>
        <w:t>87.28</w:t>
      </w:r>
      <w:r>
        <w:rPr>
          <w:rFonts w:ascii="Times New Roman" w:hAnsi="方正仿宋_GBK" w:eastAsia="方正仿宋_GBK" w:cs="方正仿宋_GBK"/>
          <w:b w:val="0"/>
          <w:bCs w:val="0"/>
          <w:color w:val="auto"/>
          <w:sz w:val="32"/>
          <w:szCs w:val="32"/>
          <w:highlight w:val="none"/>
          <w:shd w:val="clear" w:color="auto" w:fill="FFFFFF"/>
        </w:rPr>
        <w:t>元，车均购置费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万元，车均维护费</w:t>
      </w:r>
      <w:r>
        <w:rPr>
          <w:rFonts w:hint="default" w:ascii="Times New Roman" w:hAnsi="Times New Roman" w:eastAsia="方正仿宋_GBK"/>
          <w:b w:val="0"/>
          <w:bCs w:val="0"/>
          <w:color w:val="auto"/>
          <w:sz w:val="32"/>
          <w:szCs w:val="32"/>
          <w:highlight w:val="none"/>
          <w:shd w:val="clear" w:color="auto" w:fill="FFFFFF"/>
        </w:rPr>
        <w:t>2.65</w:t>
      </w:r>
      <w:r>
        <w:rPr>
          <w:rFonts w:ascii="Times New Roman" w:hAnsi="方正仿宋_GBK" w:eastAsia="方正仿宋_GBK" w:cs="方正仿宋_GBK"/>
          <w:b w:val="0"/>
          <w:bCs w:val="0"/>
          <w:color w:val="auto"/>
          <w:sz w:val="32"/>
          <w:szCs w:val="32"/>
          <w:highlight w:val="none"/>
          <w:shd w:val="clear" w:color="auto" w:fill="FFFFFF"/>
        </w:rPr>
        <w:t>万元。</w:t>
      </w:r>
    </w:p>
    <w:p w14:paraId="699D3A6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0"/>
          <w:rFonts w:hint="default" w:ascii="Times New Roman" w:hAnsi="方正黑体_GBK" w:eastAsia="方正黑体_GBK" w:cs="方正黑体_GBK"/>
          <w:b w:val="0"/>
          <w:bCs w:val="0"/>
          <w:color w:val="auto"/>
          <w:sz w:val="32"/>
          <w:szCs w:val="32"/>
          <w:highlight w:val="none"/>
          <w:shd w:val="clear" w:color="auto" w:fill="FFFFFF"/>
        </w:rPr>
      </w:pPr>
      <w:r>
        <w:rPr>
          <w:rStyle w:val="10"/>
          <w:rFonts w:ascii="Times New Roman" w:hAnsi="方正黑体_GBK" w:eastAsia="方正黑体_GBK" w:cs="方正黑体_GBK"/>
          <w:b w:val="0"/>
          <w:bCs w:val="0"/>
          <w:color w:val="auto"/>
          <w:sz w:val="32"/>
          <w:szCs w:val="32"/>
          <w:highlight w:val="none"/>
          <w:shd w:val="clear" w:color="auto" w:fill="FFFFFF"/>
        </w:rPr>
        <w:t>四、其他需要说明的事项</w:t>
      </w:r>
    </w:p>
    <w:p w14:paraId="06AAA28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jc w:val="both"/>
        <w:textAlignment w:val="auto"/>
        <w:rPr>
          <w:rFonts w:hint="default" w:ascii="Times New Roman" w:hAnsi="方正楷体_GBK" w:eastAsia="方正楷体_GBK" w:cs="方正楷体_GBK"/>
          <w:b w:val="0"/>
          <w:bCs w:val="0"/>
          <w:color w:val="auto"/>
          <w:sz w:val="32"/>
          <w:szCs w:val="32"/>
          <w:highlight w:val="none"/>
          <w:shd w:val="clear" w:color="auto" w:fill="FFFFFF"/>
        </w:rPr>
      </w:pPr>
      <w:r>
        <w:rPr>
          <w:rFonts w:ascii="Times New Roman" w:hAnsi="方正楷体_GBK" w:eastAsia="方正楷体_GBK" w:cs="方正楷体_GBK"/>
          <w:b w:val="0"/>
          <w:bCs w:val="0"/>
          <w:color w:val="auto"/>
          <w:sz w:val="32"/>
          <w:szCs w:val="32"/>
          <w:highlight w:val="none"/>
          <w:shd w:val="clear" w:color="auto" w:fill="FFFFFF"/>
        </w:rPr>
        <w:t>（一）财政拨款会议费、培训费和差旅费情况说明</w:t>
      </w:r>
    </w:p>
    <w:p w14:paraId="5367FE0E">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本年度会议费支出</w:t>
      </w:r>
      <w:r>
        <w:rPr>
          <w:rFonts w:hint="default" w:ascii="Times New Roman" w:hAnsi="Times New Roman" w:eastAsia="方正仿宋_GBK"/>
          <w:b w:val="0"/>
          <w:bCs w:val="0"/>
          <w:color w:val="auto"/>
          <w:sz w:val="32"/>
          <w:szCs w:val="32"/>
          <w:highlight w:val="none"/>
          <w:shd w:val="clear" w:color="auto" w:fill="FFFFFF"/>
        </w:rPr>
        <w:t>1.48</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w:t>
      </w:r>
      <w:r>
        <w:rPr>
          <w:rFonts w:hint="eastAsia" w:hAnsi="Times New Roman" w:eastAsia="方正仿宋_GBK"/>
          <w:b w:val="0"/>
          <w:bCs w:val="0"/>
          <w:color w:val="auto"/>
          <w:sz w:val="32"/>
          <w:szCs w:val="32"/>
          <w:highlight w:val="none"/>
          <w:shd w:val="clear" w:color="auto" w:fill="FFFFFF"/>
          <w:lang w:eastAsia="zh-CN"/>
        </w:rPr>
        <w:t>相比</w:t>
      </w:r>
      <w:r>
        <w:rPr>
          <w:rFonts w:hint="default" w:ascii="Times New Roman" w:hAnsi="Times New Roman" w:eastAsia="方正仿宋_GBK"/>
          <w:b w:val="0"/>
          <w:bCs w:val="0"/>
          <w:color w:val="auto"/>
          <w:sz w:val="32"/>
          <w:szCs w:val="32"/>
          <w:highlight w:val="none"/>
          <w:shd w:val="clear" w:color="auto" w:fill="FFFFFF"/>
        </w:rPr>
        <w:t>无增减</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与上年决算数持平</w:t>
      </w:r>
      <w:r>
        <w:rPr>
          <w:rFonts w:ascii="Times New Roman" w:hAnsi="方正仿宋_GBK" w:eastAsia="方正仿宋_GBK" w:cs="方正仿宋_GBK"/>
          <w:b w:val="0"/>
          <w:bCs w:val="0"/>
          <w:color w:val="auto"/>
          <w:sz w:val="32"/>
          <w:szCs w:val="32"/>
          <w:highlight w:val="none"/>
          <w:shd w:val="clear" w:color="auto" w:fill="FFFFFF"/>
        </w:rPr>
        <w:t>。本年度培训费支出</w:t>
      </w:r>
      <w:r>
        <w:rPr>
          <w:rFonts w:hint="default" w:ascii="Times New Roman" w:hAnsi="Times New Roman" w:eastAsia="方正仿宋_GBK"/>
          <w:b w:val="0"/>
          <w:bCs w:val="0"/>
          <w:color w:val="auto"/>
          <w:sz w:val="32"/>
          <w:szCs w:val="32"/>
          <w:highlight w:val="none"/>
          <w:shd w:val="clear" w:color="auto" w:fill="FFFFFF"/>
        </w:rPr>
        <w:t>1.45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与2023年度相比，增加0.87万元，增长150.0%</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今年应工作要求外出培训有所增加导致培训费增长</w:t>
      </w:r>
      <w:r>
        <w:rPr>
          <w:rFonts w:ascii="Times New Roman" w:hAnsi="方正仿宋_GBK" w:eastAsia="方正仿宋_GBK" w:cs="方正仿宋_GBK"/>
          <w:b w:val="0"/>
          <w:bCs w:val="0"/>
          <w:color w:val="auto"/>
          <w:sz w:val="32"/>
          <w:szCs w:val="32"/>
          <w:highlight w:val="none"/>
          <w:shd w:val="clear" w:color="auto" w:fill="FFFFFF"/>
        </w:rPr>
        <w:t>。本年度差旅费支出</w:t>
      </w:r>
      <w:r>
        <w:rPr>
          <w:rFonts w:hint="default" w:ascii="Times New Roman" w:hAnsi="Times New Roman" w:eastAsia="方正仿宋_GBK"/>
          <w:b w:val="0"/>
          <w:bCs w:val="0"/>
          <w:color w:val="auto"/>
          <w:sz w:val="32"/>
          <w:szCs w:val="32"/>
          <w:highlight w:val="none"/>
          <w:shd w:val="clear" w:color="auto" w:fill="FFFFFF"/>
        </w:rPr>
        <w:t>25.64</w:t>
      </w:r>
      <w:r>
        <w:rPr>
          <w:rFonts w:ascii="Times New Roman" w:hAnsi="方正仿宋_GBK" w:eastAsia="方正仿宋_GBK" w:cs="方正仿宋_GBK"/>
          <w:b w:val="0"/>
          <w:bCs w:val="0"/>
          <w:color w:val="auto"/>
          <w:sz w:val="32"/>
          <w:szCs w:val="32"/>
          <w:highlight w:val="none"/>
        </w:rPr>
        <w:t>万元，</w:t>
      </w:r>
      <w:r>
        <w:rPr>
          <w:rFonts w:hint="default" w:ascii="Times New Roman" w:hAnsi="Times New Roman" w:eastAsia="方正仿宋_GBK"/>
          <w:b w:val="0"/>
          <w:bCs w:val="0"/>
          <w:color w:val="auto"/>
          <w:sz w:val="32"/>
          <w:szCs w:val="32"/>
          <w:highlight w:val="none"/>
          <w:shd w:val="clear" w:color="auto" w:fill="FFFFFF"/>
        </w:rPr>
        <w:t>与2023年度相比，减少4.66万元，下降15.4%</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本年公务出差有所减少</w:t>
      </w:r>
      <w:r>
        <w:rPr>
          <w:rFonts w:ascii="Times New Roman" w:hAnsi="方正仿宋_GBK" w:eastAsia="方正仿宋_GBK" w:cs="方正仿宋_GBK"/>
          <w:b w:val="0"/>
          <w:bCs w:val="0"/>
          <w:color w:val="auto"/>
          <w:sz w:val="32"/>
          <w:szCs w:val="32"/>
          <w:highlight w:val="none"/>
          <w:shd w:val="clear" w:color="auto" w:fill="FFFFFF"/>
        </w:rPr>
        <w:t>。</w:t>
      </w:r>
    </w:p>
    <w:p w14:paraId="444ECE62">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（二）机关运行经费情况说明</w:t>
      </w:r>
    </w:p>
    <w:p w14:paraId="68AE6C26">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hAnsi="方正仿宋_GBK" w:eastAsia="方正仿宋_GBK" w:cs="方正仿宋_GBK"/>
          <w:b w:val="0"/>
          <w:bCs w:val="0"/>
          <w:color w:val="auto"/>
          <w:sz w:val="32"/>
          <w:szCs w:val="32"/>
          <w:highlight w:val="none"/>
          <w:shd w:val="clear" w:color="auto" w:fill="FFFFFF"/>
          <w:lang w:val="en-US" w:eastAsia="zh-CN"/>
        </w:rPr>
        <w:t>部门</w:t>
      </w:r>
      <w:r>
        <w:rPr>
          <w:rFonts w:ascii="Times New Roman" w:hAnsi="方正仿宋_GBK" w:eastAsia="方正仿宋_GBK" w:cs="方正仿宋_GBK"/>
          <w:b w:val="0"/>
          <w:bCs w:val="0"/>
          <w:color w:val="auto"/>
          <w:sz w:val="32"/>
          <w:szCs w:val="32"/>
          <w:highlight w:val="none"/>
          <w:shd w:val="clear" w:color="auto" w:fill="FFFFFF"/>
        </w:rPr>
        <w:t>机关运行经费支出</w:t>
      </w:r>
      <w:r>
        <w:rPr>
          <w:rFonts w:hint="default" w:ascii="Times New Roman" w:hAnsi="方正仿宋_GBK" w:eastAsia="方正仿宋_GBK" w:cs="方正仿宋_GBK"/>
          <w:b w:val="0"/>
          <w:bCs w:val="0"/>
          <w:color w:val="auto"/>
          <w:sz w:val="32"/>
          <w:szCs w:val="32"/>
          <w:highlight w:val="none"/>
          <w:shd w:val="clear" w:color="auto" w:fill="FFFFFF"/>
        </w:rPr>
        <w:t>98.51</w:t>
      </w:r>
      <w:r>
        <w:rPr>
          <w:rFonts w:ascii="Times New Roman" w:hAnsi="方正仿宋_GBK" w:eastAsia="方正仿宋_GBK" w:cs="方正仿宋_GBK"/>
          <w:b w:val="0"/>
          <w:bCs w:val="0"/>
          <w:color w:val="auto"/>
          <w:sz w:val="32"/>
          <w:szCs w:val="32"/>
          <w:highlight w:val="none"/>
          <w:shd w:val="clear" w:color="auto" w:fill="FFFFFF"/>
        </w:rPr>
        <w:t>万元，机关运行经费主要用于开支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我委水费、电费、办公费、印刷费、差旅费等开支</w:t>
      </w:r>
      <w:r>
        <w:rPr>
          <w:rFonts w:ascii="Times New Roman" w:hAnsi="方正仿宋_GBK" w:eastAsia="方正仿宋_GBK" w:cs="方正仿宋_GBK"/>
          <w:b w:val="0"/>
          <w:bCs w:val="0"/>
          <w:color w:val="auto"/>
          <w:sz w:val="32"/>
          <w:szCs w:val="32"/>
          <w:highlight w:val="none"/>
          <w:shd w:val="clear" w:color="auto" w:fill="FFFFFF"/>
        </w:rPr>
        <w:t>。机关运行经费</w:t>
      </w:r>
      <w:r>
        <w:rPr>
          <w:rFonts w:hint="default" w:ascii="Times New Roman" w:hAnsi="方正仿宋_GBK" w:eastAsia="方正仿宋_GBK" w:cs="方正仿宋_GBK"/>
          <w:b w:val="0"/>
          <w:bCs w:val="0"/>
          <w:color w:val="auto"/>
          <w:sz w:val="32"/>
          <w:szCs w:val="32"/>
          <w:highlight w:val="none"/>
          <w:shd w:val="clear" w:color="auto" w:fill="FFFFFF"/>
        </w:rPr>
        <w:t>较上年支出数减少26.04万元，</w:t>
      </w:r>
      <w:r>
        <w:rPr>
          <w:rFonts w:hint="default" w:ascii="Times New Roman" w:hAnsi="Times New Roman" w:eastAsia="方正仿宋_GBK"/>
          <w:b w:val="0"/>
          <w:bCs w:val="0"/>
          <w:color w:val="auto"/>
          <w:sz w:val="32"/>
          <w:szCs w:val="32"/>
          <w:highlight w:val="none"/>
          <w:shd w:val="clear" w:color="auto" w:fill="FFFFFF"/>
        </w:rPr>
        <w:t>下降20.9%</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要原因一是去年下属事业单位城乡统筹合并报决算，今年拆分单位报表导致，二牢记过紧日子思想，厉行节约，减少机关运行成本。</w:t>
      </w:r>
    </w:p>
    <w:p w14:paraId="5228D366">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（三）国有资产占用情况说明</w:t>
      </w:r>
    </w:p>
    <w:p w14:paraId="131907B1">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截至</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w:t>
      </w:r>
      <w:r>
        <w:rPr>
          <w:rFonts w:hint="default" w:ascii="Times New Roman" w:hAnsi="Times New Roman" w:eastAsia="方正仿宋_GBK"/>
          <w:b w:val="0"/>
          <w:bCs w:val="0"/>
          <w:color w:val="auto"/>
          <w:sz w:val="32"/>
          <w:szCs w:val="32"/>
          <w:highlight w:val="none"/>
          <w:shd w:val="clear" w:color="auto" w:fill="FFFFFF"/>
        </w:rPr>
        <w:t>12</w:t>
      </w:r>
      <w:r>
        <w:rPr>
          <w:rFonts w:ascii="Times New Roman" w:hAnsi="方正仿宋_GBK" w:eastAsia="方正仿宋_GBK" w:cs="方正仿宋_GBK"/>
          <w:b w:val="0"/>
          <w:bCs w:val="0"/>
          <w:color w:val="auto"/>
          <w:sz w:val="32"/>
          <w:szCs w:val="32"/>
          <w:highlight w:val="none"/>
          <w:shd w:val="clear" w:color="auto" w:fill="FFFFFF"/>
        </w:rPr>
        <w:t>月</w:t>
      </w:r>
      <w:r>
        <w:rPr>
          <w:rFonts w:hint="default" w:ascii="Times New Roman" w:hAnsi="Times New Roman" w:eastAsia="方正仿宋_GBK"/>
          <w:b w:val="0"/>
          <w:bCs w:val="0"/>
          <w:color w:val="auto"/>
          <w:sz w:val="32"/>
          <w:szCs w:val="32"/>
          <w:highlight w:val="none"/>
          <w:shd w:val="clear" w:color="auto" w:fill="FFFFFF"/>
        </w:rPr>
        <w:t>31</w:t>
      </w:r>
      <w:r>
        <w:rPr>
          <w:rFonts w:ascii="Times New Roman" w:hAnsi="方正仿宋_GBK" w:eastAsia="方正仿宋_GBK" w:cs="方正仿宋_GBK"/>
          <w:b w:val="0"/>
          <w:bCs w:val="0"/>
          <w:color w:val="auto"/>
          <w:sz w:val="32"/>
          <w:szCs w:val="32"/>
          <w:highlight w:val="none"/>
          <w:shd w:val="clear" w:color="auto" w:fill="FFFFFF"/>
        </w:rPr>
        <w:t>日，本部门共有车辆</w:t>
      </w:r>
      <w:r>
        <w:rPr>
          <w:rFonts w:hint="default" w:ascii="Times New Roman" w:hAnsi="Times New Roman" w:eastAsia="方正仿宋_GBK"/>
          <w:b w:val="0"/>
          <w:bCs w:val="0"/>
          <w:color w:val="auto"/>
          <w:sz w:val="32"/>
          <w:szCs w:val="32"/>
          <w:highlight w:val="none"/>
          <w:shd w:val="clear" w:color="auto" w:fill="FFFFFF"/>
        </w:rPr>
        <w:t>2</w:t>
      </w:r>
      <w:r>
        <w:rPr>
          <w:rFonts w:ascii="Times New Roman" w:hAnsi="方正仿宋_GBK" w:eastAsia="方正仿宋_GBK" w:cs="方正仿宋_GBK"/>
          <w:b w:val="0"/>
          <w:bCs w:val="0"/>
          <w:color w:val="auto"/>
          <w:sz w:val="32"/>
          <w:szCs w:val="32"/>
          <w:highlight w:val="none"/>
          <w:shd w:val="clear" w:color="auto" w:fill="FFFFFF"/>
        </w:rPr>
        <w:t>辆，其中，副部（省）级及以上领导用车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Times New Roman" w:hAnsi="方正仿宋_GBK" w:eastAsia="方正仿宋_GBK" w:cs="方正仿宋_GBK"/>
          <w:b w:val="0"/>
          <w:bCs w:val="0"/>
          <w:color w:val="auto"/>
          <w:sz w:val="32"/>
          <w:szCs w:val="32"/>
          <w:highlight w:val="none"/>
          <w:shd w:val="clear" w:color="auto" w:fill="FFFFFF"/>
        </w:rPr>
        <w:t>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辆、机要通信用车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辆、应急保障用车</w:t>
      </w:r>
      <w:r>
        <w:rPr>
          <w:rFonts w:hint="default" w:ascii="Times New Roman" w:hAnsi="Times New Roman" w:eastAsia="方正仿宋_GBK"/>
          <w:b w:val="0"/>
          <w:bCs w:val="0"/>
          <w:color w:val="auto"/>
          <w:sz w:val="32"/>
          <w:szCs w:val="32"/>
          <w:highlight w:val="none"/>
          <w:shd w:val="clear" w:color="auto" w:fill="FFFFFF"/>
        </w:rPr>
        <w:t>2</w:t>
      </w:r>
      <w:r>
        <w:rPr>
          <w:rFonts w:ascii="Times New Roman" w:hAnsi="方正仿宋_GBK" w:eastAsia="方正仿宋_GBK" w:cs="方正仿宋_GBK"/>
          <w:b w:val="0"/>
          <w:bCs w:val="0"/>
          <w:color w:val="auto"/>
          <w:sz w:val="32"/>
          <w:szCs w:val="32"/>
          <w:highlight w:val="none"/>
          <w:shd w:val="clear" w:color="auto" w:fill="FFFFFF"/>
        </w:rPr>
        <w:t>辆、执法执勤用车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辆，特种专业技术用车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辆，离退休干部用车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辆。单价</w:t>
      </w:r>
      <w:r>
        <w:rPr>
          <w:rFonts w:hint="default" w:ascii="Times New Roman" w:hAnsi="Times New Roman" w:eastAsia="方正仿宋_GBK"/>
          <w:b w:val="0"/>
          <w:bCs w:val="0"/>
          <w:color w:val="auto"/>
          <w:sz w:val="32"/>
          <w:szCs w:val="32"/>
          <w:highlight w:val="none"/>
          <w:shd w:val="clear" w:color="auto" w:fill="FFFFFF"/>
        </w:rPr>
        <w:t>100</w:t>
      </w:r>
      <w:r>
        <w:rPr>
          <w:rFonts w:ascii="Times New Roman" w:hAnsi="方正仿宋_GBK" w:eastAsia="方正仿宋_GBK" w:cs="方正仿宋_GBK"/>
          <w:b w:val="0"/>
          <w:bCs w:val="0"/>
          <w:color w:val="auto"/>
          <w:sz w:val="32"/>
          <w:szCs w:val="32"/>
          <w:highlight w:val="none"/>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台（套）。</w:t>
      </w:r>
    </w:p>
    <w:p w14:paraId="01552D15">
      <w:pPr>
        <w:pStyle w:val="11"/>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（四）政府采购支出情况说明</w:t>
      </w:r>
    </w:p>
    <w:p w14:paraId="7EF132A0">
      <w:pPr>
        <w:pStyle w:val="6"/>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hAnsi="方正仿宋_GBK" w:eastAsia="方正仿宋_GBK" w:cs="方正仿宋_GBK"/>
          <w:b w:val="0"/>
          <w:bCs w:val="0"/>
          <w:color w:val="auto"/>
          <w:sz w:val="32"/>
          <w:szCs w:val="32"/>
          <w:highlight w:val="none"/>
          <w:shd w:val="clear" w:color="auto" w:fill="FFFFFF"/>
          <w:lang w:val="en-US" w:eastAsia="zh-CN"/>
        </w:rPr>
        <w:t>部门</w:t>
      </w:r>
      <w:r>
        <w:rPr>
          <w:rFonts w:ascii="Times New Roman" w:hAnsi="方正仿宋_GBK" w:eastAsia="方正仿宋_GBK" w:cs="方正仿宋_GBK"/>
          <w:b w:val="0"/>
          <w:bCs w:val="0"/>
          <w:color w:val="auto"/>
          <w:sz w:val="32"/>
          <w:szCs w:val="32"/>
          <w:highlight w:val="none"/>
          <w:shd w:val="clear" w:color="auto" w:fill="FFFFFF"/>
        </w:rPr>
        <w:t>政府采购支出总额</w:t>
      </w:r>
      <w:r>
        <w:rPr>
          <w:rFonts w:hint="default" w:ascii="Times New Roman" w:hAnsi="Times New Roman" w:eastAsia="方正仿宋_GBK"/>
          <w:b w:val="0"/>
          <w:bCs w:val="0"/>
          <w:color w:val="auto"/>
          <w:sz w:val="32"/>
          <w:szCs w:val="32"/>
          <w:highlight w:val="none"/>
          <w:shd w:val="clear" w:color="auto" w:fill="FFFFFF"/>
        </w:rPr>
        <w:t>118.00</w:t>
      </w:r>
      <w:r>
        <w:rPr>
          <w:rFonts w:ascii="Times New Roman" w:hAnsi="方正仿宋_GBK" w:eastAsia="方正仿宋_GBK" w:cs="方正仿宋_GBK"/>
          <w:b w:val="0"/>
          <w:bCs w:val="0"/>
          <w:color w:val="auto"/>
          <w:sz w:val="32"/>
          <w:szCs w:val="32"/>
          <w:highlight w:val="none"/>
          <w:shd w:val="clear" w:color="auto" w:fill="FFFFFF"/>
        </w:rPr>
        <w:t>万元，其中：政府采购货物支出</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万元、政府采购工程支出</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万元、政府采购服务支出</w:t>
      </w:r>
      <w:r>
        <w:rPr>
          <w:rFonts w:hint="default" w:ascii="Times New Roman" w:hAnsi="Times New Roman" w:eastAsia="方正仿宋_GBK"/>
          <w:b w:val="0"/>
          <w:bCs w:val="0"/>
          <w:color w:val="auto"/>
          <w:sz w:val="32"/>
          <w:szCs w:val="32"/>
          <w:highlight w:val="none"/>
          <w:shd w:val="clear" w:color="auto" w:fill="FFFFFF"/>
        </w:rPr>
        <w:t>118.00</w:t>
      </w:r>
      <w:r>
        <w:rPr>
          <w:rFonts w:ascii="Times New Roman" w:hAnsi="方正仿宋_GBK" w:eastAsia="方正仿宋_GBK" w:cs="方正仿宋_GBK"/>
          <w:b w:val="0"/>
          <w:bCs w:val="0"/>
          <w:color w:val="auto"/>
          <w:sz w:val="32"/>
          <w:szCs w:val="32"/>
          <w:highlight w:val="none"/>
          <w:shd w:val="clear" w:color="auto" w:fill="FFFFFF"/>
        </w:rPr>
        <w:t>万元。授予中小企业合同金额</w:t>
      </w:r>
      <w:r>
        <w:rPr>
          <w:rFonts w:hint="default" w:ascii="Times New Roman" w:hAnsi="Times New Roman" w:eastAsia="方正仿宋_GBK"/>
          <w:b w:val="0"/>
          <w:bCs w:val="0"/>
          <w:color w:val="auto"/>
          <w:sz w:val="32"/>
          <w:szCs w:val="32"/>
          <w:highlight w:val="none"/>
          <w:shd w:val="clear" w:color="auto" w:fill="FFFFFF"/>
        </w:rPr>
        <w:t>118.00</w:t>
      </w:r>
      <w:r>
        <w:rPr>
          <w:rFonts w:ascii="Times New Roman" w:hAnsi="方正仿宋_GBK" w:eastAsia="方正仿宋_GBK" w:cs="方正仿宋_GBK"/>
          <w:b w:val="0"/>
          <w:bCs w:val="0"/>
          <w:color w:val="auto"/>
          <w:sz w:val="32"/>
          <w:szCs w:val="32"/>
          <w:highlight w:val="none"/>
        </w:rPr>
        <w:t>万</w:t>
      </w:r>
      <w:r>
        <w:rPr>
          <w:rFonts w:ascii="Times New Roman" w:hAnsi="方正仿宋_GBK" w:eastAsia="方正仿宋_GBK" w:cs="方正仿宋_GBK"/>
          <w:b w:val="0"/>
          <w:bCs w:val="0"/>
          <w:color w:val="auto"/>
          <w:sz w:val="32"/>
          <w:szCs w:val="32"/>
          <w:highlight w:val="none"/>
          <w:shd w:val="clear" w:color="auto" w:fill="FFFFFF"/>
        </w:rPr>
        <w:t>元，占政府采购支出总额的</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，其中：授予小微企业合同金额</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万元，占政府采购支出总额的</w:t>
      </w:r>
      <w:r>
        <w:rPr>
          <w:rFonts w:hint="default" w:ascii="Times New Roman" w:hAnsi="方正仿宋_GBK" w:eastAsia="方正仿宋_GBK" w:cs="方正仿宋_GBK"/>
          <w:b w:val="0"/>
          <w:bCs w:val="0"/>
          <w:color w:val="auto"/>
          <w:sz w:val="32"/>
          <w:szCs w:val="32"/>
          <w:highlight w:val="none"/>
          <w:shd w:val="clear" w:color="auto" w:fill="FFFFFF"/>
        </w:rPr>
        <w:t>0.0 %</w:t>
      </w:r>
      <w:r>
        <w:rPr>
          <w:rFonts w:ascii="Times New Roman" w:hAnsi="方正仿宋_GBK" w:eastAsia="方正仿宋_GBK" w:cs="方正仿宋_GBK"/>
          <w:b w:val="0"/>
          <w:bCs w:val="0"/>
          <w:color w:val="auto"/>
          <w:sz w:val="32"/>
          <w:szCs w:val="32"/>
          <w:highlight w:val="none"/>
          <w:shd w:val="clear" w:color="auto" w:fill="FFFFFF"/>
        </w:rPr>
        <w:t>。主要用于采购</w:t>
      </w:r>
      <w:r>
        <w:rPr>
          <w:rFonts w:hint="eastAsia" w:ascii="Times New Roman" w:hAnsi="方正仿宋_GBK" w:eastAsia="方正仿宋_GBK" w:cs="方正仿宋_GBK"/>
          <w:b w:val="0"/>
          <w:bCs w:val="0"/>
          <w:color w:val="auto"/>
          <w:sz w:val="32"/>
          <w:szCs w:val="32"/>
          <w:highlight w:val="none"/>
          <w:shd w:val="clear" w:color="auto" w:fill="FFFFFF"/>
        </w:rPr>
        <w:t>丰都县国民经济和社会发展“十五五”规划</w:t>
      </w:r>
      <w:r>
        <w:rPr>
          <w:rFonts w:ascii="Times New Roman" w:hAnsi="方正仿宋_GBK" w:eastAsia="方正仿宋_GBK" w:cs="方正仿宋_GBK"/>
          <w:b w:val="0"/>
          <w:bCs w:val="0"/>
          <w:color w:val="auto"/>
          <w:sz w:val="32"/>
          <w:szCs w:val="32"/>
          <w:highlight w:val="none"/>
          <w:shd w:val="clear" w:color="auto" w:fill="FFFFFF"/>
        </w:rPr>
        <w:t>。</w:t>
      </w:r>
    </w:p>
    <w:p w14:paraId="509D318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0"/>
          <w:rFonts w:hint="eastAsia" w:ascii="Times New Roman" w:hAnsi="方正黑体_GBK" w:eastAsia="方正黑体_GBK" w:cs="方正黑体_GBK"/>
          <w:b w:val="0"/>
          <w:bCs w:val="0"/>
          <w:color w:val="auto"/>
          <w:sz w:val="32"/>
          <w:szCs w:val="32"/>
          <w:highlight w:val="none"/>
          <w:shd w:val="clear" w:color="auto" w:fill="FFFFFF"/>
          <w:lang w:val="en-US" w:eastAsia="zh-CN" w:bidi="ar-SA"/>
        </w:rPr>
      </w:pPr>
      <w:r>
        <w:rPr>
          <w:rStyle w:val="10"/>
          <w:rFonts w:hint="eastAsia" w:ascii="Times New Roman" w:hAnsi="方正黑体_GBK" w:eastAsia="方正黑体_GBK" w:cs="方正黑体_GBK"/>
          <w:b w:val="0"/>
          <w:bCs w:val="0"/>
          <w:color w:val="auto"/>
          <w:sz w:val="32"/>
          <w:szCs w:val="32"/>
          <w:highlight w:val="none"/>
          <w:shd w:val="clear" w:color="auto" w:fill="FFFFFF"/>
          <w:lang w:val="en-US" w:eastAsia="zh-CN" w:bidi="ar-SA"/>
        </w:rPr>
        <w:t>五、2024年度预算绩效管理情况说明</w:t>
      </w:r>
    </w:p>
    <w:p w14:paraId="2E0285DD">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52" w:firstLineChars="200"/>
        <w:jc w:val="left"/>
        <w:textAlignment w:val="auto"/>
        <w:rPr>
          <w:rFonts w:hint="eastAsia" w:ascii="Times New Roman" w:hAnsi="方正楷体_GBK" w:eastAsia="方正楷体_GBK" w:cs="方正楷体_GBK"/>
          <w:b w:val="0"/>
          <w:bCs w:val="0"/>
          <w:color w:val="auto"/>
          <w:kern w:val="0"/>
          <w:sz w:val="32"/>
          <w:szCs w:val="32"/>
          <w:highlight w:val="none"/>
          <w:shd w:val="clear" w:fill="FFFFFF"/>
        </w:rPr>
      </w:pPr>
      <w:r>
        <w:rPr>
          <w:rFonts w:hint="eastAsia" w:ascii="Times New Roman" w:hAnsi="方正楷体_GBK" w:eastAsia="方正楷体_GBK" w:cs="方正楷体_GBK"/>
          <w:b w:val="0"/>
          <w:bCs w:val="0"/>
          <w:color w:val="auto"/>
          <w:kern w:val="0"/>
          <w:sz w:val="32"/>
          <w:szCs w:val="32"/>
          <w:highlight w:val="none"/>
          <w:shd w:val="clear" w:fill="FFFFFF"/>
        </w:rPr>
        <w:t>（一）</w:t>
      </w:r>
      <w:r>
        <w:rPr>
          <w:rFonts w:hint="eastAsia" w:hAnsi="方正楷体_GBK" w:eastAsia="方正楷体_GBK" w:cs="方正楷体_GBK"/>
          <w:b w:val="0"/>
          <w:bCs w:val="0"/>
          <w:color w:val="auto"/>
          <w:kern w:val="0"/>
          <w:sz w:val="32"/>
          <w:szCs w:val="32"/>
          <w:highlight w:val="none"/>
          <w:shd w:val="clear" w:fill="FFFFFF"/>
          <w:lang w:eastAsia="zh-CN"/>
        </w:rPr>
        <w:t>部门</w:t>
      </w:r>
      <w:r>
        <w:rPr>
          <w:rFonts w:hint="eastAsia" w:ascii="Times New Roman" w:hAnsi="方正楷体_GBK" w:eastAsia="方正楷体_GBK" w:cs="方正楷体_GBK"/>
          <w:b w:val="0"/>
          <w:bCs w:val="0"/>
          <w:color w:val="auto"/>
          <w:kern w:val="0"/>
          <w:sz w:val="32"/>
          <w:szCs w:val="32"/>
          <w:highlight w:val="none"/>
          <w:shd w:val="clear" w:fill="FFFFFF"/>
        </w:rPr>
        <w:t>自评情况</w:t>
      </w:r>
    </w:p>
    <w:p w14:paraId="7DF9D6A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val="en-US" w:eastAsia="zh-CN"/>
        </w:rPr>
      </w:pPr>
      <w:r>
        <w:rPr>
          <w:rFonts w:hint="eastAsia" w:ascii="Times New Roman" w:hAnsi="Times New Roman" w:eastAsia="方正仿宋_GBK" w:cs="方正仿宋_GBK"/>
          <w:b w:val="0"/>
          <w:bCs w:val="0"/>
          <w:color w:val="auto"/>
          <w:sz w:val="32"/>
          <w:szCs w:val="32"/>
          <w:highlight w:val="none"/>
          <w:shd w:val="clear" w:color="auto" w:fill="FFFFFF"/>
        </w:rPr>
        <w:t>根据预算绩效管理要求，我</w:t>
      </w:r>
      <w:r>
        <w:rPr>
          <w:rFonts w:hint="eastAsia" w:ascii="Times New Roman" w:hAnsi="Times New Roman" w:eastAsia="方正仿宋_GBK" w:cs="方正仿宋_GBK"/>
          <w:b w:val="0"/>
          <w:bCs w:val="0"/>
          <w:color w:val="auto"/>
          <w:sz w:val="32"/>
          <w:szCs w:val="32"/>
          <w:highlight w:val="none"/>
          <w:shd w:val="clear" w:color="auto" w:fill="FFFFFF"/>
          <w:lang w:eastAsia="zh-CN"/>
        </w:rPr>
        <w:t>部门对</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29</w:t>
      </w:r>
      <w:r>
        <w:rPr>
          <w:rFonts w:hint="eastAsia" w:ascii="Times New Roman" w:hAnsi="Times New Roman" w:eastAsia="方正仿宋_GBK" w:cs="方正仿宋_GBK"/>
          <w:b w:val="0"/>
          <w:bCs w:val="0"/>
          <w:color w:val="auto"/>
          <w:sz w:val="32"/>
          <w:szCs w:val="32"/>
          <w:highlight w:val="none"/>
          <w:shd w:val="clear" w:color="auto" w:fill="FFFFFF"/>
        </w:rPr>
        <w:t>个项目开展了绩效自评，涉及财政拨款项目支出资金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1123.43</w:t>
      </w:r>
      <w:r>
        <w:rPr>
          <w:rFonts w:hint="eastAsia" w:ascii="Times New Roman" w:hAnsi="Times New Roman" w:eastAsia="方正仿宋_GBK" w:cs="方正仿宋_GBK"/>
          <w:b w:val="0"/>
          <w:bCs w:val="0"/>
          <w:color w:val="auto"/>
          <w:sz w:val="32"/>
          <w:szCs w:val="32"/>
          <w:highlight w:val="none"/>
          <w:shd w:val="clear" w:color="auto" w:fill="FFFFFF"/>
        </w:rPr>
        <w:t>万元</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综合</w:t>
      </w:r>
      <w:r>
        <w:rPr>
          <w:rFonts w:hint="eastAsia" w:ascii="Times New Roman" w:hAnsi="Times New Roman" w:eastAsia="方正仿宋_GBK" w:cs="方正仿宋_GBK"/>
          <w:b w:val="0"/>
          <w:bCs w:val="0"/>
          <w:color w:val="auto"/>
          <w:sz w:val="32"/>
          <w:szCs w:val="32"/>
          <w:highlight w:val="none"/>
          <w:shd w:val="clear" w:color="auto" w:fill="FFFFFF"/>
        </w:rPr>
        <w:t>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99</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eastAsia="zh-CN"/>
        </w:rPr>
        <w:t>部分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资金拨付效率不高、项目发挥效益与预期有差距、项目管理不够规范等。</w:t>
      </w:r>
    </w:p>
    <w:p w14:paraId="6DB4F5B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rPr>
      </w:pPr>
      <w:r>
        <w:rPr>
          <w:rFonts w:hint="eastAsia" w:ascii="Times New Roman" w:hAnsi="Times New Roman" w:eastAsia="方正仿宋_GBK" w:cs="方正仿宋_GBK"/>
          <w:b w:val="0"/>
          <w:bCs w:val="0"/>
          <w:color w:val="auto"/>
          <w:sz w:val="32"/>
          <w:szCs w:val="32"/>
          <w:highlight w:val="none"/>
          <w:shd w:val="clear" w:color="auto" w:fill="FFFFFF"/>
        </w:rPr>
        <w:t>2024年度我委四大核心领域项目全面完成既定绩效目标。其中，经济规划与产业发展领域完成抽水蓄能电站前期勘察、特铝产业园规划编制，推动签约产业项目3个，总投资5.2亿元；</w:t>
      </w:r>
      <w:r>
        <w:rPr>
          <w:rFonts w:hint="eastAsia" w:hAnsi="Times New Roman" w:eastAsia="方正仿宋_GBK" w:cs="方正仿宋_GBK"/>
          <w:b w:val="0"/>
          <w:bCs w:val="0"/>
          <w:color w:val="auto"/>
          <w:sz w:val="32"/>
          <w:szCs w:val="32"/>
          <w:highlight w:val="none"/>
          <w:shd w:val="clear" w:color="auto" w:fill="FFFFFF"/>
          <w:lang w:eastAsia="zh-CN"/>
        </w:rPr>
        <w:t>成渝地区双城经济圈</w:t>
      </w:r>
      <w:r>
        <w:rPr>
          <w:rFonts w:hint="eastAsia" w:ascii="Times New Roman" w:hAnsi="Times New Roman" w:eastAsia="方正仿宋_GBK" w:cs="方正仿宋_GBK"/>
          <w:b w:val="0"/>
          <w:bCs w:val="0"/>
          <w:color w:val="auto"/>
          <w:sz w:val="32"/>
          <w:szCs w:val="32"/>
          <w:highlight w:val="none"/>
          <w:shd w:val="clear" w:color="auto" w:fill="FFFFFF"/>
        </w:rPr>
        <w:t>建设项目投资完成率131%，助销农特产品4500万元；粮食安全与应急保障领域原粮储备监测覆盖率100%，成品粮储备量42万吨，超额完成目标10%；新建应急网点34个，开展粮食质量安全监测9万余吨。在信息化与营商环境优化领域智慧城市一期平台上线运行，企业办事效率提升30%；归集公共信用信息1000万条，信用监测稳居全市前2位。尤为突出的是，人才与公共服务领域，发放人才安家补助25人次，编外人员工资足额支付率100%；完成23件重点民生实事，解决“城西就医难”等痛点问题10项。我委通过系统实施四大核心领域项目并开展绩效自评，2024年度绩效目标全面达成且成效显著。最终，自评得分92分，评价结果为“优”。为强化结果应用，拟采取以下措施：一是以评促改，靶向优化管理机制，针对“十五五”规划编制滞后、支付效率不足等问题，将滞后项目纳入2025年重点督办清单，组建发改、财政、审计联合督导组，实行“按月调度、按季通报”机制，同步修订《丰都县政府投资管理办法》，严控设计变更和资金超支风险。二是以评定绩，精准衔接预算安排，将本次自评结果作为2025年度预算分配的核心依据，优先支持执行高效、效益突出的项目，对未达标单位实行资金限额管理，确保财政资金精准投向民生急需、发展关键领域。三是主动公开，强化社会监督。自评报告全文及评分明细已通过丰都县人民政府门户网站、“政务公开栏”等渠道向社会公示，广泛接受公众质询与监督。同时，各项目单位评价结果将纳入年度考核体系，作为下一年度资金分配的重要参考，形成“绩效导向、公开透明”的长效机制。</w:t>
      </w:r>
    </w:p>
    <w:p w14:paraId="69160BF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rPr>
      </w:pPr>
      <w:r>
        <w:rPr>
          <w:rFonts w:hint="eastAsia" w:ascii="Times New Roman" w:hAnsi="Times New Roman" w:eastAsia="方正仿宋_GBK" w:cs="方正仿宋_GBK"/>
          <w:b w:val="0"/>
          <w:bCs w:val="0"/>
          <w:color w:val="auto"/>
          <w:sz w:val="32"/>
          <w:szCs w:val="32"/>
          <w:highlight w:val="none"/>
          <w:shd w:val="clear" w:color="auto" w:fill="FFFFFF"/>
        </w:rPr>
        <w:t>通过上述举措，切实发挥绩效评价“指挥棒”作用，推动资金管理与项目实施提质增效，为县域“稳增长、促改革、惠民生”提供坚实支撑。</w:t>
      </w:r>
    </w:p>
    <w:p w14:paraId="59A6434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方正仿宋_GBK" w:eastAsia="方正仿宋_GBK" w:cs="方正仿宋_GBK"/>
          <w:b w:val="0"/>
          <w:bCs w:val="0"/>
          <w:color w:val="auto"/>
          <w:kern w:val="0"/>
          <w:sz w:val="32"/>
          <w:szCs w:val="32"/>
          <w:highlight w:val="none"/>
          <w:shd w:val="clear" w:fill="FFFFFF"/>
          <w:lang w:eastAsia="zh-CN"/>
        </w:rPr>
      </w:pPr>
      <w:r>
        <w:rPr>
          <w:rFonts w:hint="eastAsia" w:ascii="Times New Roman" w:hAnsi="方正仿宋_GBK" w:eastAsia="方正仿宋_GBK" w:cs="方正仿宋_GBK"/>
          <w:b w:val="0"/>
          <w:bCs w:val="0"/>
          <w:color w:val="auto"/>
          <w:kern w:val="0"/>
          <w:sz w:val="32"/>
          <w:szCs w:val="32"/>
          <w:highlight w:val="none"/>
          <w:shd w:val="clear" w:fill="FFFFFF"/>
        </w:rPr>
        <w:t>部门整体绩效自评</w:t>
      </w:r>
      <w:r>
        <w:rPr>
          <w:rFonts w:hint="eastAsia" w:ascii="Times New Roman" w:hAnsi="方正仿宋_GBK" w:eastAsia="方正仿宋_GBK" w:cs="方正仿宋_GBK"/>
          <w:b w:val="0"/>
          <w:bCs w:val="0"/>
          <w:color w:val="auto"/>
          <w:kern w:val="0"/>
          <w:sz w:val="32"/>
          <w:szCs w:val="32"/>
          <w:highlight w:val="none"/>
          <w:shd w:val="clear" w:fill="FFFFFF"/>
          <w:lang w:eastAsia="zh-CN"/>
        </w:rPr>
        <w:t>表</w:t>
      </w:r>
    </w:p>
    <w:tbl>
      <w:tblPr>
        <w:tblStyle w:val="7"/>
        <w:tblpPr w:leftFromText="180" w:rightFromText="180" w:vertAnchor="text" w:horzAnchor="page" w:tblpX="1785" w:tblpY="56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7"/>
        <w:gridCol w:w="843"/>
        <w:gridCol w:w="843"/>
        <w:gridCol w:w="799"/>
        <w:gridCol w:w="633"/>
        <w:gridCol w:w="714"/>
        <w:gridCol w:w="798"/>
        <w:gridCol w:w="695"/>
        <w:gridCol w:w="549"/>
        <w:gridCol w:w="716"/>
        <w:gridCol w:w="673"/>
      </w:tblGrid>
      <w:tr w14:paraId="7EF7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4B9C">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2024年度部门整体绩效自评表</w:t>
            </w:r>
          </w:p>
        </w:tc>
      </w:tr>
      <w:tr w14:paraId="70E9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B230">
            <w:pPr>
              <w:jc w:val="right"/>
              <w:rPr>
                <w:rFonts w:hint="eastAsia" w:ascii="Times New Roman" w:hAnsi="宋体" w:eastAsia="宋体" w:cs="宋体"/>
                <w:b/>
                <w:bCs/>
                <w:i w:val="0"/>
                <w:iCs w:val="0"/>
                <w:color w:val="auto"/>
                <w:sz w:val="22"/>
                <w:szCs w:val="22"/>
                <w:highlight w:val="none"/>
                <w:u w:val="none"/>
              </w:rPr>
            </w:pPr>
          </w:p>
        </w:tc>
      </w:tr>
      <w:tr w14:paraId="6C95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7C00">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C44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丰都县发展和改革委员会整体监控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2D0B">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003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50023000024P000057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0FF6">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B4C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7D0C">
            <w:pPr>
              <w:jc w:val="right"/>
              <w:rPr>
                <w:rFonts w:hint="eastAsia" w:ascii="Times New Roman"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B1192">
            <w:pPr>
              <w:rPr>
                <w:rFonts w:hint="eastAsia" w:ascii="Times New Roman" w:hAnsi="宋体" w:eastAsia="宋体" w:cs="宋体"/>
                <w:i w:val="0"/>
                <w:iCs w:val="0"/>
                <w:color w:val="auto"/>
                <w:sz w:val="22"/>
                <w:szCs w:val="22"/>
                <w:highlight w:val="none"/>
                <w:u w:val="none"/>
              </w:rPr>
            </w:pPr>
          </w:p>
        </w:tc>
      </w:tr>
      <w:tr w14:paraId="1469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1785">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B1E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608-丰都县发展和改革委员会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FAB6">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1E3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D67E">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76A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郑建朋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B8E2">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DA5E8">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cs="宋体"/>
                <w:i w:val="0"/>
                <w:iCs w:val="0"/>
                <w:color w:val="auto"/>
                <w:kern w:val="0"/>
                <w:sz w:val="22"/>
                <w:szCs w:val="22"/>
                <w:highlight w:val="none"/>
                <w:u w:val="none"/>
                <w:lang w:val="en-US" w:eastAsia="zh-CN" w:bidi="ar"/>
              </w:rPr>
              <w:t>173******66</w:t>
            </w:r>
          </w:p>
        </w:tc>
      </w:tr>
      <w:tr w14:paraId="2298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473F">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4828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2A8">
            <w:pPr>
              <w:jc w:val="center"/>
              <w:rPr>
                <w:rFonts w:hint="eastAsia" w:ascii="Times New Roman" w:hAnsi="宋体" w:eastAsia="宋体" w:cs="宋体"/>
                <w:i w:val="0"/>
                <w:iCs w:val="0"/>
                <w:color w:val="auto"/>
                <w:sz w:val="22"/>
                <w:szCs w:val="22"/>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105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D586">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325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C07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B7F0">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CA0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2A37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57621441">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95080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A38CBB">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74119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28,792,426.96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C01C2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3C78A12">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25,638,423.97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00D23C">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1DF2E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23,917,133.53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B83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5E9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59DB">
            <w:pPr>
              <w:jc w:val="right"/>
              <w:rPr>
                <w:rFonts w:hint="eastAsia" w:ascii="Times New Roman" w:hAnsi="宋体" w:eastAsia="宋体" w:cs="宋体"/>
                <w:i w:val="0"/>
                <w:iCs w:val="0"/>
                <w:color w:val="auto"/>
                <w:sz w:val="22"/>
                <w:szCs w:val="22"/>
                <w:highlight w:val="none"/>
                <w:u w:val="none"/>
              </w:rPr>
            </w:pPr>
          </w:p>
        </w:tc>
      </w:tr>
      <w:tr w14:paraId="249F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2011F9E">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16EFD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30C62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6DE002">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28,792,426.96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B10E9A">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FEF7F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25,638,423.97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533A7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61647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23,917,133.53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901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0FC0">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19C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9.33 </w:t>
            </w:r>
          </w:p>
        </w:tc>
      </w:tr>
      <w:tr w14:paraId="2414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01CED915">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EA5FF4">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42F7E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C2B15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28,792,426.96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B8FB7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A669A1A">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25,638,423.97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1FDE79">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7EA57B">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23,917,133.53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6A1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AE9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B613">
            <w:pPr>
              <w:jc w:val="right"/>
              <w:rPr>
                <w:rFonts w:hint="eastAsia" w:ascii="Times New Roman" w:hAnsi="宋体" w:eastAsia="宋体" w:cs="宋体"/>
                <w:i w:val="0"/>
                <w:iCs w:val="0"/>
                <w:color w:val="auto"/>
                <w:sz w:val="22"/>
                <w:szCs w:val="22"/>
                <w:highlight w:val="none"/>
                <w:u w:val="none"/>
              </w:rPr>
            </w:pPr>
          </w:p>
        </w:tc>
      </w:tr>
      <w:tr w14:paraId="7735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7BFB">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2DA7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F72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1EE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1963">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2D8E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754EC0">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推进全县公共服务和社会治理信息化。推动全县信息网络行业发展。协调推动下一代网络部署和规模化运用。统筹全县数据资源体系的建设和管理工作。推动社会数据汇聚融合、互联互通及合法有效利用。推进社会信用体系建设。建设管理全县统一的公共信用信息平台。统筹协调守信联合激励与失信联合惩戒有关工作。建立和完善信用服务市场监管制度，培育和规范信用服务市场</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稳定市场物价平衡</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完善规划体系，推进规划体制改革。参与拟订财政政策和金融政策。承担全县国民经济动员工作。负责高质量发展和现代化经济体系建设工作</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政府投资项目审批权限和政府核准固定资产投资项目目录建议。完成政府投融资规划、年度计划的编制，会同财政安排和平衡财政性建设资金</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确保社会事业、交通运输业、服务业、现代物流业、经济社会协调发展</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确保粮食安全、生产、供给、储备</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确保全县公共资源交易政策、全县公共资源交易活动、公共资源交易业务工作正常运行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根据市发改委、</w:t>
            </w:r>
            <w:r>
              <w:rPr>
                <w:rFonts w:hint="eastAsia" w:ascii="Times New Roman" w:cs="宋体"/>
                <w:i w:val="0"/>
                <w:iCs w:val="0"/>
                <w:color w:val="auto"/>
                <w:kern w:val="0"/>
                <w:sz w:val="22"/>
                <w:szCs w:val="22"/>
                <w:highlight w:val="none"/>
                <w:u w:val="none"/>
                <w:lang w:val="en-US" w:eastAsia="zh-CN" w:bidi="ar"/>
              </w:rPr>
              <w:t>县委、县政府</w:t>
            </w:r>
            <w:r>
              <w:rPr>
                <w:rFonts w:hint="eastAsia" w:ascii="Times New Roman" w:hAnsi="宋体" w:eastAsia="宋体" w:cs="宋体"/>
                <w:i w:val="0"/>
                <w:iCs w:val="0"/>
                <w:color w:val="auto"/>
                <w:kern w:val="0"/>
                <w:sz w:val="22"/>
                <w:szCs w:val="22"/>
                <w:highlight w:val="none"/>
                <w:u w:val="none"/>
                <w:lang w:val="en-US" w:eastAsia="zh-CN" w:bidi="ar"/>
              </w:rPr>
              <w:t>要求，统筹推进易地扶贫搬迁后续扶持重点工作，确保完成上级交办的目标任务</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提出农村经济和生态保护与建设发展战略、体制改革及有关政策建议，协调有关重大问题。衔接平衡农业、林业、水利、气象、生态及有关农村基础设施等发展规划、计划和政策，提出重大项目布局建议。按权限审批、核准、转报农业、林业、水利、气象、生态建设、资源环境等有关项目并协调实施。参与拟订农业农村经济发展战略、规划、计划和政策。参与编制环境保护规划。统筹平衡林业及生态、水利、气象项目建设资金。按分工提出中大型水利水电工程移民政策建议</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规范管理，履行职责，确保项目达到预定绩效目标。</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规范管理，履行职责，确保项目达到预定绩效目标。</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规范管理，履行职责，确保项目达到预定绩效目标。</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B58A3A">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推进全县公共服务和社会治理信息化。推动全县信息网络行业发展。协调推动下一代网络部署和规模化运用。统筹全县数据资源体系的建设和管理工作。推动社会数据汇聚融合、互联互通及合法有效利用。推进社会信用体系建设。建设管理全县统一的公共信用信息平台。统筹协调守信联合激励与失信联合惩戒有关工作。建立和完善信用服务市场监管制度，培育和规范信用服务市场</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稳定市场物价平衡</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完善规划体系，推进规划体制改革。参与拟订财政政策和金融政策。承担全县国民经济动员工作。负责高质量发展和现代化经济体系建设工作</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政府投资项目审批权限和政府核准固定资产投资项目目录建议。完成政府投融资规划、年度计划的编制，会同财政安排和平衡财政性建设资金</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确保社会事业、交通运输业、服务业、现代物流业、经济社会协调发展</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确保粮食安全、生产、供给、储备</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确保全县公共资源交易政策、全县公共资源交易活动、公共资源交易业务工作正常运行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根据市发改委、</w:t>
            </w:r>
            <w:r>
              <w:rPr>
                <w:rFonts w:hint="eastAsia" w:ascii="Times New Roman" w:cs="宋体"/>
                <w:i w:val="0"/>
                <w:iCs w:val="0"/>
                <w:color w:val="auto"/>
                <w:kern w:val="0"/>
                <w:sz w:val="22"/>
                <w:szCs w:val="22"/>
                <w:highlight w:val="none"/>
                <w:u w:val="none"/>
                <w:lang w:val="en-US" w:eastAsia="zh-CN" w:bidi="ar"/>
              </w:rPr>
              <w:t>县委、县政府</w:t>
            </w:r>
            <w:r>
              <w:rPr>
                <w:rFonts w:hint="eastAsia" w:ascii="Times New Roman" w:hAnsi="宋体" w:eastAsia="宋体" w:cs="宋体"/>
                <w:i w:val="0"/>
                <w:iCs w:val="0"/>
                <w:color w:val="auto"/>
                <w:kern w:val="0"/>
                <w:sz w:val="22"/>
                <w:szCs w:val="22"/>
                <w:highlight w:val="none"/>
                <w:u w:val="none"/>
                <w:lang w:val="en-US" w:eastAsia="zh-CN" w:bidi="ar"/>
              </w:rPr>
              <w:t>要求，统筹推进易地扶贫搬迁后续扶持重点工作，确保完成上级交办的目标任务</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6D2FCC">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推进全县公共服务和社会治理信息化。推动全县信息网络行业发展。协调推动下一代网络部署和规模化运用。统筹全县数据资源体系的建设和管理工作。推动社会数据汇聚融合、互联互通及合法有效利用。推进社会信用体系建设。建设管理全县统一的公共信用信息平台。统筹协调守信联合激励与失信联合惩戒有关工作。建立和完善信用服务市场监管制度，培育和规范信用服务市场</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稳定市场物价平衡</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完善规划体系，推进规划体制改革。参与拟订财政政策和金融政策。承担全县国民经济动员工作。负责高质量发展和现代化经济体系建设工作</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政府投资项目审批权限和政府核准固定资产投资项目目录建议。完成政府投融资规划、年度计划的编制，会同财政安排和平衡财政性建设资金</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确保社会事业、交通运输业、服务业、现代物流业、经济社会协调发展</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确保粮食安全、生产、供给、储备</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确保全县公共资源交易政策、全县公共资源交易活动、公共资源交易业务工作正常运行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根据市发改委、</w:t>
            </w:r>
            <w:r>
              <w:rPr>
                <w:rFonts w:hint="eastAsia" w:ascii="Times New Roman" w:cs="宋体"/>
                <w:i w:val="0"/>
                <w:iCs w:val="0"/>
                <w:color w:val="auto"/>
                <w:kern w:val="0"/>
                <w:sz w:val="22"/>
                <w:szCs w:val="22"/>
                <w:highlight w:val="none"/>
                <w:u w:val="none"/>
                <w:lang w:val="en-US" w:eastAsia="zh-CN" w:bidi="ar"/>
              </w:rPr>
              <w:t>县委、县政府</w:t>
            </w:r>
            <w:r>
              <w:rPr>
                <w:rFonts w:hint="eastAsia" w:ascii="Times New Roman" w:hAnsi="宋体" w:eastAsia="宋体" w:cs="宋体"/>
                <w:i w:val="0"/>
                <w:iCs w:val="0"/>
                <w:color w:val="auto"/>
                <w:kern w:val="0"/>
                <w:sz w:val="22"/>
                <w:szCs w:val="22"/>
                <w:highlight w:val="none"/>
                <w:u w:val="none"/>
                <w:lang w:val="en-US" w:eastAsia="zh-CN" w:bidi="ar"/>
              </w:rPr>
              <w:t>要求，统筹推进易地扶贫搬迁后续扶持重点工作，确保完成上级交办的目标任务</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应战应急指挥大厅运行</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移动指挥平台维护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人防专业队伍单项及综合演练</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两防一体化社区建设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民防疏散基地建设及维护</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警报建设</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人防工程建设规划和防空袭预案绘制</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民防安全教育宣传</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市县镇三级视频会议</w:t>
            </w:r>
            <w:r>
              <w:rPr>
                <w:rFonts w:hint="eastAsia" w:ascii="Times New Roman" w:cs="宋体"/>
                <w:i w:val="0"/>
                <w:iCs w:val="0"/>
                <w:color w:val="auto"/>
                <w:kern w:val="0"/>
                <w:sz w:val="22"/>
                <w:szCs w:val="22"/>
                <w:highlight w:val="none"/>
                <w:u w:val="none"/>
                <w:lang w:val="en-US" w:eastAsia="zh-CN" w:bidi="ar"/>
              </w:rPr>
              <w:t>，</w:t>
            </w:r>
            <w:r>
              <w:rPr>
                <w:rFonts w:hint="eastAsia" w:ascii="Times New Roman" w:hAnsi="宋体" w:eastAsia="宋体" w:cs="宋体"/>
                <w:i w:val="0"/>
                <w:iCs w:val="0"/>
                <w:color w:val="auto"/>
                <w:kern w:val="0"/>
                <w:sz w:val="22"/>
                <w:szCs w:val="22"/>
                <w:highlight w:val="none"/>
                <w:u w:val="none"/>
                <w:lang w:val="en-US" w:eastAsia="zh-CN" w:bidi="ar"/>
              </w:rPr>
              <w:t>以及开展相关工作；保障应急大厅和平台正常运转，开展综合演练和建设好民防应急疏散基地，提高全员民防应急能力，确保全县应急指挥及应急处置。</w:t>
            </w:r>
          </w:p>
        </w:tc>
      </w:tr>
      <w:tr w14:paraId="3A43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1EE9">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1E7C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DC3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1C53">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57F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D97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7978">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7983">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7D1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AA1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DE3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F17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640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1414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1DB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发改委遗属补助按时发放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985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3F0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D3B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208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73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95B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DF5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F7E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D6C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8806">
            <w:pPr>
              <w:jc w:val="left"/>
              <w:rPr>
                <w:rFonts w:hint="eastAsia" w:ascii="Times New Roman" w:hAnsi="宋体" w:eastAsia="宋体" w:cs="宋体"/>
                <w:i w:val="0"/>
                <w:iCs w:val="0"/>
                <w:color w:val="auto"/>
                <w:sz w:val="22"/>
                <w:szCs w:val="22"/>
                <w:highlight w:val="none"/>
                <w:u w:val="none"/>
              </w:rPr>
            </w:pPr>
          </w:p>
        </w:tc>
      </w:tr>
      <w:tr w14:paraId="3B2D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2C2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风光资源普查和能评报告编制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1F9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9FE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F52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57B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DAA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37D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F50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3C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8D1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31CD">
            <w:pPr>
              <w:jc w:val="left"/>
              <w:rPr>
                <w:rFonts w:hint="eastAsia" w:ascii="Times New Roman" w:hAnsi="宋体" w:eastAsia="宋体" w:cs="宋体"/>
                <w:i w:val="0"/>
                <w:iCs w:val="0"/>
                <w:color w:val="auto"/>
                <w:sz w:val="22"/>
                <w:szCs w:val="22"/>
                <w:highlight w:val="none"/>
                <w:u w:val="none"/>
              </w:rPr>
            </w:pPr>
          </w:p>
        </w:tc>
      </w:tr>
      <w:tr w14:paraId="19B0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3FA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静态储备10000吨原粮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DD9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C4D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627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AEC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4ED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153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3B9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A2B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F4A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F9E0">
            <w:pPr>
              <w:jc w:val="left"/>
              <w:rPr>
                <w:rFonts w:hint="eastAsia" w:ascii="Times New Roman" w:hAnsi="宋体" w:eastAsia="宋体" w:cs="宋体"/>
                <w:i w:val="0"/>
                <w:iCs w:val="0"/>
                <w:color w:val="auto"/>
                <w:sz w:val="22"/>
                <w:szCs w:val="22"/>
                <w:highlight w:val="none"/>
                <w:u w:val="none"/>
              </w:rPr>
            </w:pPr>
          </w:p>
        </w:tc>
      </w:tr>
      <w:tr w14:paraId="240C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FFF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开展营商环境季度督查次数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8A2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B59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ED0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D41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BC8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20D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3BE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3B1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01D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2629">
            <w:pPr>
              <w:jc w:val="left"/>
              <w:rPr>
                <w:rFonts w:hint="eastAsia" w:ascii="Times New Roman" w:hAnsi="宋体" w:eastAsia="宋体" w:cs="宋体"/>
                <w:i w:val="0"/>
                <w:iCs w:val="0"/>
                <w:color w:val="auto"/>
                <w:sz w:val="22"/>
                <w:szCs w:val="22"/>
                <w:highlight w:val="none"/>
                <w:u w:val="none"/>
              </w:rPr>
            </w:pPr>
          </w:p>
        </w:tc>
      </w:tr>
      <w:tr w14:paraId="5848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386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民防应急应战工作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6F7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5B3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246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1EC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AE8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A47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CC1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D06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664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EC50">
            <w:pPr>
              <w:jc w:val="left"/>
              <w:rPr>
                <w:rFonts w:hint="eastAsia" w:ascii="Times New Roman" w:hAnsi="宋体" w:eastAsia="宋体" w:cs="宋体"/>
                <w:i w:val="0"/>
                <w:iCs w:val="0"/>
                <w:color w:val="auto"/>
                <w:sz w:val="22"/>
                <w:szCs w:val="22"/>
                <w:highlight w:val="none"/>
                <w:u w:val="none"/>
              </w:rPr>
            </w:pPr>
          </w:p>
        </w:tc>
      </w:tr>
      <w:tr w14:paraId="0666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8A4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全县项目概算审核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704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B3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A86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553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D04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4D5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0F8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CB0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5D7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8AC1">
            <w:pPr>
              <w:jc w:val="left"/>
              <w:rPr>
                <w:rFonts w:hint="eastAsia" w:ascii="Times New Roman" w:hAnsi="宋体" w:eastAsia="宋体" w:cs="宋体"/>
                <w:i w:val="0"/>
                <w:iCs w:val="0"/>
                <w:color w:val="auto"/>
                <w:sz w:val="22"/>
                <w:szCs w:val="22"/>
                <w:highlight w:val="none"/>
                <w:u w:val="none"/>
              </w:rPr>
            </w:pPr>
          </w:p>
        </w:tc>
      </w:tr>
      <w:tr w14:paraId="4378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BF8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双城经济圈开展课题研究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809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410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4E9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0C5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928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859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3F4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8BB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59C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F2C9">
            <w:pPr>
              <w:jc w:val="left"/>
              <w:rPr>
                <w:rFonts w:hint="eastAsia" w:ascii="Times New Roman" w:hAnsi="宋体" w:eastAsia="宋体" w:cs="宋体"/>
                <w:i w:val="0"/>
                <w:iCs w:val="0"/>
                <w:color w:val="auto"/>
                <w:sz w:val="22"/>
                <w:szCs w:val="22"/>
                <w:highlight w:val="none"/>
                <w:u w:val="none"/>
              </w:rPr>
            </w:pPr>
          </w:p>
        </w:tc>
      </w:tr>
      <w:tr w14:paraId="1549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84E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小县大城编制和一县一策编制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47B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0B8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1DC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947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596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A76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411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F6E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091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A381">
            <w:pPr>
              <w:jc w:val="left"/>
              <w:rPr>
                <w:rFonts w:hint="eastAsia" w:ascii="Times New Roman" w:hAnsi="宋体" w:eastAsia="宋体" w:cs="宋体"/>
                <w:i w:val="0"/>
                <w:iCs w:val="0"/>
                <w:color w:val="auto"/>
                <w:sz w:val="22"/>
                <w:szCs w:val="22"/>
                <w:highlight w:val="none"/>
                <w:u w:val="none"/>
              </w:rPr>
            </w:pPr>
          </w:p>
        </w:tc>
      </w:tr>
      <w:tr w14:paraId="137E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21C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促进企业工业</w:t>
            </w:r>
            <w:r>
              <w:rPr>
                <w:rFonts w:hint="eastAsia" w:ascii="Times New Roman" w:cs="宋体"/>
                <w:i w:val="0"/>
                <w:iCs w:val="0"/>
                <w:color w:val="auto"/>
                <w:kern w:val="0"/>
                <w:sz w:val="22"/>
                <w:szCs w:val="22"/>
                <w:highlight w:val="none"/>
                <w:u w:val="none"/>
                <w:lang w:val="en-US" w:eastAsia="zh-CN" w:bidi="ar"/>
              </w:rPr>
              <w:t>“双碳”</w:t>
            </w:r>
            <w:r>
              <w:rPr>
                <w:rFonts w:hint="eastAsia" w:ascii="Times New Roman" w:hAnsi="宋体" w:eastAsia="宋体" w:cs="宋体"/>
                <w:i w:val="0"/>
                <w:iCs w:val="0"/>
                <w:color w:val="auto"/>
                <w:kern w:val="0"/>
                <w:sz w:val="22"/>
                <w:szCs w:val="22"/>
                <w:highlight w:val="none"/>
                <w:u w:val="none"/>
                <w:lang w:val="en-US" w:eastAsia="zh-CN" w:bidi="ar"/>
              </w:rPr>
              <w:t>节能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2F4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21A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DF6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49F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EB0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6A1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EB2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E97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CC0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200C">
            <w:pPr>
              <w:jc w:val="left"/>
              <w:rPr>
                <w:rFonts w:hint="eastAsia" w:ascii="Times New Roman" w:hAnsi="宋体" w:eastAsia="宋体" w:cs="宋体"/>
                <w:i w:val="0"/>
                <w:iCs w:val="0"/>
                <w:color w:val="auto"/>
                <w:sz w:val="22"/>
                <w:szCs w:val="22"/>
                <w:highlight w:val="none"/>
                <w:u w:val="none"/>
              </w:rPr>
            </w:pPr>
          </w:p>
        </w:tc>
      </w:tr>
      <w:tr w14:paraId="5D8B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28A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规范物价管理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3FD6">
            <w:pPr>
              <w:jc w:val="left"/>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4ED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6B0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EDD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835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2AD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8AE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EF1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E95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74CE">
            <w:pPr>
              <w:jc w:val="left"/>
              <w:rPr>
                <w:rFonts w:hint="eastAsia" w:ascii="Times New Roman" w:hAnsi="宋体" w:eastAsia="宋体" w:cs="宋体"/>
                <w:i w:val="0"/>
                <w:iCs w:val="0"/>
                <w:color w:val="auto"/>
                <w:sz w:val="22"/>
                <w:szCs w:val="22"/>
                <w:highlight w:val="none"/>
                <w:u w:val="none"/>
              </w:rPr>
            </w:pPr>
          </w:p>
        </w:tc>
      </w:tr>
      <w:tr w14:paraId="0CB0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156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民防应急应战工作完成质量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079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831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222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248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4D3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190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A31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3A1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F87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2DCA">
            <w:pPr>
              <w:jc w:val="left"/>
              <w:rPr>
                <w:rFonts w:hint="eastAsia" w:ascii="Times New Roman" w:hAnsi="宋体" w:eastAsia="宋体" w:cs="宋体"/>
                <w:i w:val="0"/>
                <w:iCs w:val="0"/>
                <w:color w:val="auto"/>
                <w:sz w:val="22"/>
                <w:szCs w:val="22"/>
                <w:highlight w:val="none"/>
                <w:u w:val="none"/>
              </w:rPr>
            </w:pPr>
          </w:p>
        </w:tc>
      </w:tr>
      <w:tr w14:paraId="74EA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42D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确保监管全县粮食储备安全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A6EB">
            <w:pPr>
              <w:jc w:val="left"/>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680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9F0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948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1D6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B20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3FC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FE0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146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64D2">
            <w:pPr>
              <w:jc w:val="left"/>
              <w:rPr>
                <w:rFonts w:hint="eastAsia" w:ascii="Times New Roman" w:hAnsi="宋体" w:eastAsia="宋体" w:cs="宋体"/>
                <w:i w:val="0"/>
                <w:iCs w:val="0"/>
                <w:color w:val="auto"/>
                <w:sz w:val="22"/>
                <w:szCs w:val="22"/>
                <w:highlight w:val="none"/>
                <w:u w:val="none"/>
              </w:rPr>
            </w:pPr>
          </w:p>
        </w:tc>
      </w:tr>
      <w:tr w14:paraId="62C4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584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优化营商环境和助推双城经济圈建设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434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E2F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EEB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79F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018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AD4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02D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A7A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9C3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8152">
            <w:pPr>
              <w:jc w:val="left"/>
              <w:rPr>
                <w:rFonts w:hint="eastAsia" w:ascii="Times New Roman" w:hAnsi="宋体" w:eastAsia="宋体" w:cs="宋体"/>
                <w:i w:val="0"/>
                <w:iCs w:val="0"/>
                <w:color w:val="auto"/>
                <w:sz w:val="22"/>
                <w:szCs w:val="22"/>
                <w:highlight w:val="none"/>
                <w:u w:val="none"/>
              </w:rPr>
            </w:pPr>
          </w:p>
        </w:tc>
      </w:tr>
      <w:tr w14:paraId="12A2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21E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2023年完成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DD4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AED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799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C24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CD0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864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BFF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662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0A5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E1F5">
            <w:pPr>
              <w:jc w:val="left"/>
              <w:rPr>
                <w:rFonts w:hint="eastAsia" w:ascii="Times New Roman" w:hAnsi="宋体" w:eastAsia="宋体" w:cs="宋体"/>
                <w:i w:val="0"/>
                <w:iCs w:val="0"/>
                <w:color w:val="auto"/>
                <w:sz w:val="22"/>
                <w:szCs w:val="22"/>
                <w:highlight w:val="none"/>
                <w:u w:val="none"/>
              </w:rPr>
            </w:pPr>
          </w:p>
        </w:tc>
      </w:tr>
      <w:tr w14:paraId="0C13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F40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确保国防建设、社会经济、民生稳步发展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972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B12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B70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97D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017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89B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E9D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F6E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9B4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76CF">
            <w:pPr>
              <w:jc w:val="left"/>
              <w:rPr>
                <w:rFonts w:hint="eastAsia" w:ascii="Times New Roman" w:hAnsi="宋体" w:eastAsia="宋体" w:cs="宋体"/>
                <w:i w:val="0"/>
                <w:iCs w:val="0"/>
                <w:color w:val="auto"/>
                <w:sz w:val="22"/>
                <w:szCs w:val="22"/>
                <w:highlight w:val="none"/>
                <w:u w:val="none"/>
              </w:rPr>
            </w:pPr>
          </w:p>
        </w:tc>
      </w:tr>
      <w:tr w14:paraId="28CD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BAE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D93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1B2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ACA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074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24E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01F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20D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40D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D29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FA47">
            <w:pPr>
              <w:jc w:val="left"/>
              <w:rPr>
                <w:rFonts w:hint="eastAsia" w:ascii="Times New Roman" w:hAnsi="宋体" w:eastAsia="宋体" w:cs="宋体"/>
                <w:i w:val="0"/>
                <w:iCs w:val="0"/>
                <w:color w:val="auto"/>
                <w:sz w:val="22"/>
                <w:szCs w:val="22"/>
                <w:highlight w:val="none"/>
                <w:u w:val="none"/>
              </w:rPr>
            </w:pPr>
          </w:p>
        </w:tc>
      </w:tr>
      <w:tr w14:paraId="06FF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79A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需要相关经费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64F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962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DC8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2879.24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DA7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2879.24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8E1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6BA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B2F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322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BEA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6A27">
            <w:pPr>
              <w:jc w:val="left"/>
              <w:rPr>
                <w:rFonts w:hint="eastAsia" w:ascii="Times New Roman" w:hAnsi="宋体" w:eastAsia="宋体" w:cs="宋体"/>
                <w:i w:val="0"/>
                <w:iCs w:val="0"/>
                <w:color w:val="auto"/>
                <w:sz w:val="22"/>
                <w:szCs w:val="22"/>
                <w:highlight w:val="none"/>
                <w:u w:val="none"/>
              </w:rPr>
            </w:pPr>
          </w:p>
        </w:tc>
      </w:tr>
    </w:tbl>
    <w:p w14:paraId="11FE006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jc w:val="left"/>
        <w:textAlignment w:val="auto"/>
        <w:rPr>
          <w:rFonts w:hint="eastAsia" w:ascii="Times New Roman" w:hAnsi="方正仿宋_GBK" w:eastAsia="方正仿宋_GBK" w:cs="方正仿宋_GBK"/>
          <w:b w:val="0"/>
          <w:bCs w:val="0"/>
          <w:color w:val="auto"/>
          <w:kern w:val="0"/>
          <w:sz w:val="32"/>
          <w:szCs w:val="32"/>
          <w:highlight w:val="none"/>
          <w:shd w:val="clear" w:fill="FFFFFF"/>
          <w:lang w:eastAsia="zh-CN"/>
        </w:rPr>
      </w:pPr>
    </w:p>
    <w:p w14:paraId="7FC46F4B">
      <w:pPr>
        <w:pStyle w:val="6"/>
        <w:shd w:val="clear" w:color="auto" w:fill="FFFFFF"/>
        <w:ind w:firstLine="652" w:firstLineChars="200"/>
        <w:rPr>
          <w:rFonts w:hint="default" w:ascii="Times New Roman" w:hAnsi="Times New Roman" w:eastAsia="方正仿宋_GBK" w:cs="方正仿宋_GBK"/>
          <w:b/>
          <w:bCs/>
          <w:color w:val="auto"/>
          <w:sz w:val="32"/>
          <w:szCs w:val="32"/>
          <w:highlight w:val="none"/>
          <w:shd w:val="clear" w:color="auto" w:fill="FFFFFF"/>
          <w:lang w:val="en-US" w:eastAsia="zh-CN"/>
        </w:rPr>
      </w:pPr>
      <w:r>
        <w:rPr>
          <w:rFonts w:hint="eastAsia" w:ascii="Times New Roman" w:hAnsi="Times New Roman" w:eastAsia="方正仿宋_GBK" w:cs="方正仿宋_GBK"/>
          <w:b/>
          <w:bCs/>
          <w:color w:val="auto"/>
          <w:sz w:val="32"/>
          <w:szCs w:val="32"/>
          <w:highlight w:val="none"/>
          <w:shd w:val="clear" w:color="auto" w:fill="FFFFFF"/>
          <w:lang w:val="en-US" w:eastAsia="zh-CN"/>
        </w:rPr>
        <w:t>项目较多则以附件形式上传</w:t>
      </w:r>
      <w:r>
        <w:rPr>
          <w:rFonts w:hint="eastAsia" w:hAnsi="Times New Roman" w:eastAsia="方正仿宋_GBK" w:cs="方正仿宋_GBK"/>
          <w:b/>
          <w:bCs/>
          <w:color w:val="auto"/>
          <w:sz w:val="32"/>
          <w:szCs w:val="32"/>
          <w:highlight w:val="none"/>
          <w:shd w:val="clear" w:color="auto" w:fill="FFFFFF"/>
          <w:lang w:val="en-US" w:eastAsia="zh-CN"/>
        </w:rPr>
        <w:t>，</w:t>
      </w:r>
      <w:r>
        <w:rPr>
          <w:rFonts w:hint="eastAsia" w:ascii="Times New Roman" w:hAnsi="Times New Roman" w:eastAsia="方正仿宋_GBK" w:cs="方正仿宋_GBK"/>
          <w:b/>
          <w:bCs/>
          <w:color w:val="auto"/>
          <w:sz w:val="32"/>
          <w:szCs w:val="32"/>
          <w:highlight w:val="none"/>
          <w:shd w:val="clear" w:color="auto" w:fill="FFFFFF"/>
          <w:lang w:val="en-US" w:eastAsia="zh-CN"/>
        </w:rPr>
        <w:t>见附件</w:t>
      </w:r>
      <w:r>
        <w:rPr>
          <w:rFonts w:hint="eastAsia" w:ascii="Times New Roman" w:hAnsi="Times New Roman" w:eastAsia="方正仿宋_GBK" w:cs="方正仿宋_GBK"/>
          <w:b/>
          <w:bCs/>
          <w:color w:val="auto"/>
          <w:sz w:val="32"/>
          <w:szCs w:val="32"/>
          <w:highlight w:val="none"/>
          <w:shd w:val="clear" w:color="auto" w:fill="FFFFFF"/>
        </w:rPr>
        <w:t>202</w:t>
      </w:r>
      <w:r>
        <w:rPr>
          <w:rFonts w:hint="eastAsia" w:hAnsi="Times New Roman" w:eastAsia="方正仿宋_GBK" w:cs="方正仿宋_GBK"/>
          <w:b/>
          <w:bCs/>
          <w:color w:val="auto"/>
          <w:sz w:val="32"/>
          <w:szCs w:val="32"/>
          <w:highlight w:val="none"/>
          <w:shd w:val="clear" w:color="auto" w:fill="FFFFFF"/>
          <w:lang w:val="en-US" w:eastAsia="zh-CN"/>
        </w:rPr>
        <w:t>4</w:t>
      </w:r>
      <w:r>
        <w:rPr>
          <w:rFonts w:hint="eastAsia" w:ascii="Times New Roman" w:hAnsi="Times New Roman" w:eastAsia="方正仿宋_GBK" w:cs="方正仿宋_GBK"/>
          <w:b/>
          <w:bCs/>
          <w:color w:val="auto"/>
          <w:sz w:val="32"/>
          <w:szCs w:val="32"/>
          <w:highlight w:val="none"/>
          <w:shd w:val="clear" w:color="auto" w:fill="FFFFFF"/>
        </w:rPr>
        <w:t>年度项目绩效自评表</w:t>
      </w:r>
      <w:r>
        <w:rPr>
          <w:rFonts w:hint="eastAsia" w:hAnsi="Times New Roman" w:eastAsia="方正仿宋_GBK" w:cs="方正仿宋_GBK"/>
          <w:b/>
          <w:bCs/>
          <w:color w:val="auto"/>
          <w:sz w:val="32"/>
          <w:szCs w:val="32"/>
          <w:highlight w:val="none"/>
          <w:shd w:val="clear" w:color="auto" w:fill="FFFFFF"/>
          <w:lang w:val="en-US" w:eastAsia="zh-CN"/>
        </w:rPr>
        <w:t>29个</w:t>
      </w:r>
    </w:p>
    <w:p w14:paraId="2DFDB069">
      <w:pPr>
        <w:pStyle w:val="11"/>
        <w:keepNext w:val="0"/>
        <w:keepLines w:val="0"/>
        <w:pageBreakBefore w:val="0"/>
        <w:kinsoku/>
        <w:overflowPunct w:val="0"/>
        <w:topLinePunct/>
        <w:autoSpaceDE w:val="0"/>
        <w:autoSpaceDN/>
        <w:bidi w:val="0"/>
        <w:spacing w:beforeAutospacing="0" w:line="560" w:lineRule="atLeast"/>
        <w:ind w:firstLine="643"/>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（二）部门绩效评价情况</w:t>
      </w:r>
    </w:p>
    <w:p w14:paraId="56BAE082">
      <w:pPr>
        <w:pStyle w:val="6"/>
        <w:shd w:val="clear" w:color="auto" w:fill="FFFFFF"/>
        <w:ind w:firstLine="652" w:firstLineChars="200"/>
        <w:rPr>
          <w:rFonts w:hint="eastAsia" w:ascii="Times New Roman" w:hAnsi="Times New Roman" w:eastAsia="方正仿宋_GBK" w:cs="方正仿宋_GBK"/>
          <w:b w:val="0"/>
          <w:bCs w:val="0"/>
          <w:color w:val="auto"/>
          <w:sz w:val="32"/>
          <w:szCs w:val="32"/>
          <w:highlight w:val="none"/>
        </w:rPr>
      </w:pPr>
      <w:r>
        <w:rPr>
          <w:rFonts w:hint="eastAsia" w:ascii="Times New Roman" w:hAnsi="方正仿宋_GBK" w:eastAsia="方正仿宋_GBK" w:cs="方正仿宋_GBK"/>
          <w:b w:val="0"/>
          <w:bCs w:val="0"/>
          <w:color w:val="auto"/>
          <w:sz w:val="32"/>
          <w:szCs w:val="32"/>
          <w:highlight w:val="none"/>
          <w:lang w:val="en-US" w:eastAsia="zh-CN"/>
        </w:rPr>
        <w:t>我部门未组织开展绩效评价</w:t>
      </w:r>
    </w:p>
    <w:p w14:paraId="371D76D3">
      <w:pPr>
        <w:pStyle w:val="11"/>
        <w:keepNext w:val="0"/>
        <w:keepLines w:val="0"/>
        <w:pageBreakBefore w:val="0"/>
        <w:kinsoku/>
        <w:overflowPunct w:val="0"/>
        <w:topLinePunct/>
        <w:autoSpaceDE w:val="0"/>
        <w:autoSpaceDN/>
        <w:bidi w:val="0"/>
        <w:spacing w:beforeAutospacing="0" w:line="560" w:lineRule="atLeast"/>
        <w:ind w:firstLine="643"/>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（三）财政绩效评价情况</w:t>
      </w:r>
    </w:p>
    <w:p w14:paraId="139DD3B3">
      <w:pPr>
        <w:pStyle w:val="14"/>
        <w:keepNext w:val="0"/>
        <w:keepLines w:val="0"/>
        <w:pageBreakBefore w:val="0"/>
        <w:widowControl/>
        <w:kinsoku/>
        <w:overflowPunct w:val="0"/>
        <w:topLinePunct/>
        <w:autoSpaceDE w:val="0"/>
        <w:autoSpaceDN/>
        <w:bidi w:val="0"/>
        <w:adjustRightInd/>
        <w:spacing w:beforeAutospacing="0" w:line="560" w:lineRule="exact"/>
        <w:rPr>
          <w:rFonts w:hint="eastAsia" w:ascii="Times New Roman" w:hAnsi="Times New Roman" w:eastAsia="方正仿宋_GBK" w:cs="方正仿宋_GBK"/>
          <w:b w:val="0"/>
          <w:bCs w:val="0"/>
          <w:color w:val="auto"/>
          <w:sz w:val="32"/>
          <w:szCs w:val="32"/>
          <w:highlight w:val="none"/>
          <w:shd w:val="clear" w:color="auto" w:fill="auto"/>
        </w:rPr>
      </w:pPr>
      <w:r>
        <w:rPr>
          <w:rFonts w:hint="eastAsia" w:hAnsi="Times New Roman" w:eastAsia="方正仿宋_GBK" w:cs="方正仿宋_GBK"/>
          <w:b w:val="0"/>
          <w:bCs w:val="0"/>
          <w:color w:val="auto"/>
          <w:sz w:val="32"/>
          <w:szCs w:val="32"/>
          <w:highlight w:val="none"/>
          <w:shd w:val="clear" w:color="auto" w:fill="auto"/>
          <w:lang w:val="en-US" w:eastAsia="zh-CN"/>
        </w:rPr>
        <w:t>县</w:t>
      </w:r>
      <w:r>
        <w:rPr>
          <w:rFonts w:hint="eastAsia" w:ascii="Times New Roman" w:hAnsi="Times New Roman" w:eastAsia="方正仿宋_GBK" w:cs="方正仿宋_GBK"/>
          <w:b w:val="0"/>
          <w:bCs w:val="0"/>
          <w:color w:val="auto"/>
          <w:sz w:val="32"/>
          <w:szCs w:val="32"/>
          <w:highlight w:val="none"/>
          <w:shd w:val="clear" w:color="auto" w:fill="auto"/>
        </w:rPr>
        <w:t>财政局未委托第三方对我</w:t>
      </w:r>
      <w:r>
        <w:rPr>
          <w:rFonts w:hint="eastAsia" w:ascii="Times New Roman" w:hAnsi="Times New Roman" w:eastAsia="方正仿宋_GBK" w:cs="方正仿宋_GBK"/>
          <w:b w:val="0"/>
          <w:bCs w:val="0"/>
          <w:color w:val="auto"/>
          <w:sz w:val="32"/>
          <w:szCs w:val="32"/>
          <w:highlight w:val="none"/>
          <w:shd w:val="clear" w:color="auto" w:fill="auto"/>
          <w:lang w:eastAsia="zh-CN"/>
        </w:rPr>
        <w:t>部门</w:t>
      </w:r>
      <w:r>
        <w:rPr>
          <w:rFonts w:hint="eastAsia" w:ascii="Times New Roman" w:hAnsi="Times New Roman" w:eastAsia="方正仿宋_GBK" w:cs="方正仿宋_GBK"/>
          <w:b w:val="0"/>
          <w:bCs w:val="0"/>
          <w:color w:val="auto"/>
          <w:sz w:val="32"/>
          <w:szCs w:val="32"/>
          <w:highlight w:val="none"/>
          <w:shd w:val="clear" w:color="auto" w:fill="auto"/>
        </w:rPr>
        <w:t>开展绩效评价。</w:t>
      </w:r>
    </w:p>
    <w:p w14:paraId="307C4411">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仿宋_GBK" w:eastAsia="方正仿宋_GBK" w:cs="方正仿宋_GBK"/>
          <w:b w:val="0"/>
          <w:bCs w:val="0"/>
          <w:color w:val="auto"/>
          <w:sz w:val="32"/>
          <w:szCs w:val="32"/>
          <w:highlight w:val="none"/>
          <w:shd w:val="clear" w:fill="FFFFFF"/>
        </w:rPr>
        <w:t xml:space="preserve"> </w:t>
      </w:r>
      <w:r>
        <w:rPr>
          <w:rStyle w:val="13"/>
          <w:rFonts w:hint="eastAsia" w:ascii="Times New Roman" w:hAnsi="方正仿宋_GBK" w:eastAsia="方正仿宋_GBK" w:cs="方正仿宋_GBK"/>
          <w:b w:val="0"/>
          <w:bCs w:val="0"/>
          <w:color w:val="auto"/>
          <w:sz w:val="32"/>
          <w:szCs w:val="32"/>
          <w:highlight w:val="none"/>
          <w:shd w:val="clear" w:fill="FFFFFF"/>
          <w:lang w:val="en-US" w:eastAsia="zh-CN"/>
        </w:rPr>
        <w:t xml:space="preserve">  </w:t>
      </w:r>
      <w:r>
        <w:rPr>
          <w:rStyle w:val="10"/>
          <w:rFonts w:hint="eastAsia" w:ascii="Times New Roman" w:hAnsi="方正黑体_GBK" w:eastAsia="方正黑体_GBK" w:cs="方正黑体_GBK"/>
          <w:b w:val="0"/>
          <w:bCs w:val="0"/>
          <w:color w:val="auto"/>
          <w:sz w:val="32"/>
          <w:szCs w:val="32"/>
          <w:highlight w:val="none"/>
          <w:shd w:val="clear" w:color="auto" w:fill="FFFFFF"/>
          <w:lang w:val="en-US" w:eastAsia="zh-CN" w:bidi="ar-SA"/>
        </w:rPr>
        <w:t xml:space="preserve"> 六、专业名词解释</w:t>
      </w:r>
    </w:p>
    <w:p w14:paraId="1D0A5A5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（一）财政拨款收入：</w:t>
      </w:r>
      <w:r>
        <w:rPr>
          <w:rFonts w:hint="eastAsia" w:ascii="Times New Roman" w:hAnsi="方正仿宋_GBK" w:eastAsia="方正仿宋_GBK" w:cs="方正仿宋_GBK"/>
          <w:b w:val="0"/>
          <w:bCs w:val="0"/>
          <w:color w:val="auto"/>
          <w:kern w:val="0"/>
          <w:sz w:val="32"/>
          <w:szCs w:val="32"/>
          <w:highlight w:val="none"/>
          <w:shd w:val="clear" w:fill="FFFFFF"/>
        </w:rPr>
        <w:t>指本年度从本级财政部门取得的财政拨款，包括一般公共预算财政拨款和政府性基金预算财政拨款。</w:t>
      </w:r>
    </w:p>
    <w:p w14:paraId="3CBF5FD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（二）事业收入：</w:t>
      </w:r>
      <w:r>
        <w:rPr>
          <w:rFonts w:hint="eastAsia" w:ascii="Times New Roman" w:hAnsi="方正仿宋_GBK" w:eastAsia="方正仿宋_GBK" w:cs="方正仿宋_GBK"/>
          <w:b w:val="0"/>
          <w:bCs w:val="0"/>
          <w:color w:val="auto"/>
          <w:kern w:val="0"/>
          <w:sz w:val="32"/>
          <w:szCs w:val="32"/>
          <w:highlight w:val="none"/>
          <w:shd w:val="clear" w:fill="FFFFFF"/>
        </w:rPr>
        <w:t>指事业单位开展专业业务活动及其辅助活动取得的现金流入；事业单位收到的财政专户实际核拨的教育收费等资金在此反映。</w:t>
      </w:r>
    </w:p>
    <w:p w14:paraId="58D3929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（三）经营收入：</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指事业单位在专业业务活动及其辅助活动之外开展非独立核算经营活动取得的现金流入。</w:t>
      </w:r>
    </w:p>
    <w:p w14:paraId="00C26D0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（四）其他收入：</w:t>
      </w:r>
      <w:r>
        <w:rPr>
          <w:rFonts w:hint="eastAsia" w:ascii="Times New Roman" w:hAnsi="方正仿宋_GBK" w:eastAsia="方正仿宋_GBK" w:cs="方正仿宋_GBK"/>
          <w:b w:val="0"/>
          <w:bCs w:val="0"/>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A6C8B4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（五）使用非财政拨款结余（含专用结余）：</w:t>
      </w:r>
      <w:r>
        <w:rPr>
          <w:rFonts w:hint="eastAsia" w:ascii="Times New Roman" w:hAnsi="方正仿宋_GBK" w:eastAsia="方正仿宋_GBK" w:cs="方正仿宋_GBK"/>
          <w:b w:val="0"/>
          <w:bCs w:val="0"/>
          <w:color w:val="auto"/>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14:paraId="6B63BF3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hint="eastAsia" w:ascii="Times New Roman" w:hAnsi="方正仿宋_GBK" w:eastAsia="方正仿宋_GBK" w:cs="方正仿宋_GBK"/>
          <w:b w:val="0"/>
          <w:bCs w:val="0"/>
          <w:color w:val="auto"/>
          <w:kern w:val="0"/>
          <w:sz w:val="32"/>
          <w:szCs w:val="32"/>
          <w:highlight w:val="none"/>
          <w:shd w:val="clear" w:fill="FFFFFF"/>
        </w:rPr>
        <w:t>指单位上年结转本年使用的基本支出结转、项目支出结转和结余、经营结余。</w:t>
      </w:r>
    </w:p>
    <w:p w14:paraId="05463A6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（七）结余分配：</w:t>
      </w:r>
      <w:r>
        <w:rPr>
          <w:rFonts w:hint="eastAsia" w:ascii="Times New Roman" w:hAnsi="方正仿宋_GBK" w:eastAsia="方正仿宋_GBK" w:cs="方正仿宋_GBK"/>
          <w:b w:val="0"/>
          <w:bCs w:val="0"/>
          <w:color w:val="auto"/>
          <w:kern w:val="0"/>
          <w:sz w:val="32"/>
          <w:szCs w:val="32"/>
          <w:highlight w:val="none"/>
          <w:shd w:val="clear" w:fill="FFFFFF"/>
        </w:rPr>
        <w:t>指单位按照国家有关规定，缴纳所得税、提取专用基金、转入非财政拨款结余等当年结余的分配情况。</w:t>
      </w:r>
    </w:p>
    <w:p w14:paraId="7553085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hint="eastAsia" w:ascii="Times New Roman" w:hAnsi="方正仿宋_GBK" w:eastAsia="方正仿宋_GBK" w:cs="方正仿宋_GBK"/>
          <w:b w:val="0"/>
          <w:bCs w:val="0"/>
          <w:color w:val="auto"/>
          <w:kern w:val="0"/>
          <w:sz w:val="32"/>
          <w:szCs w:val="32"/>
          <w:highlight w:val="none"/>
          <w:shd w:val="clear" w:fill="FFFFFF"/>
        </w:rPr>
        <w:t>指单位结转下年的基本支出结转、项目支出结转和结余、经营结余。</w:t>
      </w:r>
    </w:p>
    <w:p w14:paraId="73E18E0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（九）基本支出：</w:t>
      </w:r>
      <w:r>
        <w:rPr>
          <w:rFonts w:hint="eastAsia" w:ascii="Times New Roman" w:hAnsi="方正仿宋_GBK" w:eastAsia="方正仿宋_GBK" w:cs="方正仿宋_GBK"/>
          <w:b w:val="0"/>
          <w:bCs w:val="0"/>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17109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（十）项目支出：</w:t>
      </w:r>
      <w:r>
        <w:rPr>
          <w:rFonts w:hint="eastAsia" w:ascii="Times New Roman" w:hAnsi="方正仿宋_GBK" w:eastAsia="方正仿宋_GBK" w:cs="方正仿宋_GBK"/>
          <w:b w:val="0"/>
          <w:bCs w:val="0"/>
          <w:color w:val="auto"/>
          <w:kern w:val="0"/>
          <w:sz w:val="32"/>
          <w:szCs w:val="32"/>
          <w:highlight w:val="none"/>
          <w:shd w:val="clear" w:fill="FFFFFF"/>
        </w:rPr>
        <w:t>指在基本支出之外为完成特定行政任务和事业发展目标所发生的支出。</w:t>
      </w:r>
    </w:p>
    <w:p w14:paraId="77136D5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（十一）经营支出：</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指事业单位在专业业务活动及其辅助活动之外开展非独立核算经营活动发生的支出。</w:t>
      </w:r>
    </w:p>
    <w:p w14:paraId="5630714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（十二）“三公”经费：</w:t>
      </w:r>
      <w:r>
        <w:rPr>
          <w:rFonts w:hint="eastAsia" w:ascii="Times New Roman" w:hAnsi="方正仿宋_GBK" w:eastAsia="方正仿宋_GBK" w:cs="方正仿宋_GBK"/>
          <w:b w:val="0"/>
          <w:bCs w:val="0"/>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30A88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hint="eastAsia" w:ascii="Times New Roman" w:hAnsi="方正仿宋_GBK" w:eastAsia="方正仿宋_GBK" w:cs="方正仿宋_GBK"/>
          <w:b w:val="0"/>
          <w:bCs w:val="0"/>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CE8152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反映单位开支的在职职工和编制外长期聘用人员的各类劳动报酬，以及为上述人员缴纳的各项社会保险费等。</w:t>
      </w:r>
    </w:p>
    <w:p w14:paraId="5361893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反映单位购买商品和服务的支出（不包括用于购置固定资产的支出、战略性和应急储备支出）。</w:t>
      </w:r>
    </w:p>
    <w:p w14:paraId="24EEEB5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反映用于对个人和家庭的补助支出。</w:t>
      </w:r>
    </w:p>
    <w:p w14:paraId="47F1832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14:paraId="4DC85C7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0"/>
          <w:rFonts w:hint="eastAsia" w:ascii="Times New Roman" w:hAnsi="方正黑体_GBK" w:eastAsia="方正黑体_GBK" w:cs="方正黑体_GBK"/>
          <w:b w:val="0"/>
          <w:bCs w:val="0"/>
          <w:color w:val="auto"/>
          <w:sz w:val="32"/>
          <w:szCs w:val="32"/>
          <w:highlight w:val="none"/>
          <w:shd w:val="clear" w:color="auto" w:fill="FFFFFF"/>
          <w:lang w:val="en-US" w:eastAsia="zh-CN" w:bidi="ar-SA"/>
        </w:rPr>
        <w:t>七、决算公开联系方式及信息反馈渠道</w:t>
      </w:r>
    </w:p>
    <w:p w14:paraId="60D7AB1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Fonts w:hint="eastAsia" w:ascii="Times New Roman" w:hAnsi="方正仿宋_GBK" w:eastAsia="方正仿宋_GBK" w:cs="方正仿宋_GBK"/>
          <w:b w:val="0"/>
          <w:bCs w:val="0"/>
          <w:color w:val="auto"/>
          <w:kern w:val="0"/>
          <w:sz w:val="32"/>
          <w:szCs w:val="32"/>
          <w:highlight w:val="none"/>
          <w:shd w:val="clear" w:fill="FFFFFF"/>
        </w:rPr>
        <w:t>本</w:t>
      </w:r>
      <w:r>
        <w:rPr>
          <w:rFonts w:hint="eastAsia" w:hAnsi="方正仿宋_GBK" w:eastAsia="方正仿宋_GBK" w:cs="方正仿宋_GBK"/>
          <w:b w:val="0"/>
          <w:bCs w:val="0"/>
          <w:color w:val="auto"/>
          <w:kern w:val="0"/>
          <w:sz w:val="32"/>
          <w:szCs w:val="32"/>
          <w:highlight w:val="none"/>
          <w:shd w:val="clear" w:fill="FFFFFF"/>
          <w:lang w:eastAsia="zh-CN"/>
        </w:rPr>
        <w:t>部门</w:t>
      </w:r>
      <w:r>
        <w:rPr>
          <w:rFonts w:hint="eastAsia" w:ascii="Times New Roman" w:hAnsi="方正仿宋_GBK" w:eastAsia="方正仿宋_GBK" w:cs="方正仿宋_GBK"/>
          <w:b w:val="0"/>
          <w:bCs w:val="0"/>
          <w:color w:val="auto"/>
          <w:kern w:val="0"/>
          <w:sz w:val="32"/>
          <w:szCs w:val="32"/>
          <w:highlight w:val="none"/>
          <w:shd w:val="clear" w:fill="FFFFFF"/>
        </w:rPr>
        <w:t>决算公开信息反馈和联系方式：</w:t>
      </w:r>
    </w:p>
    <w:p w14:paraId="56DAC878">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Times New Roman" w:hAnsi="Times New Roman" w:cs="方正仿宋_GBK"/>
          <w:color w:val="auto"/>
          <w:sz w:val="32"/>
          <w:szCs w:val="32"/>
          <w:highlight w:val="none"/>
          <w:shd w:val="clear" w:color="auto" w:fill="auto"/>
          <w:lang w:val="en-US" w:eastAsia="zh-CN"/>
        </w:rPr>
      </w:pPr>
      <w:r>
        <w:rPr>
          <w:rFonts w:hint="eastAsia" w:ascii="Times New Roman" w:hAnsi="Times New Roman" w:cs="方正仿宋_GBK"/>
          <w:color w:val="auto"/>
          <w:sz w:val="32"/>
          <w:szCs w:val="32"/>
          <w:highlight w:val="none"/>
          <w:shd w:val="clear" w:color="auto" w:fill="auto"/>
          <w:lang w:val="en-US" w:eastAsia="zh-CN"/>
        </w:rPr>
        <w:t>联系人</w:t>
      </w:r>
      <w:r>
        <w:rPr>
          <w:rFonts w:hint="eastAsia" w:hAnsi="Times New Roman" w:cs="方正仿宋_GBK"/>
          <w:color w:val="auto"/>
          <w:sz w:val="32"/>
          <w:szCs w:val="32"/>
          <w:highlight w:val="none"/>
          <w:shd w:val="clear" w:color="auto" w:fill="auto"/>
          <w:lang w:val="en-US" w:eastAsia="zh-CN"/>
        </w:rPr>
        <w:t>：</w:t>
      </w:r>
      <w:r>
        <w:rPr>
          <w:rFonts w:hint="eastAsia" w:ascii="Times New Roman" w:hAnsi="Times New Roman" w:cs="方正仿宋_GBK"/>
          <w:color w:val="auto"/>
          <w:sz w:val="32"/>
          <w:szCs w:val="32"/>
          <w:highlight w:val="none"/>
          <w:shd w:val="clear" w:color="auto" w:fill="auto"/>
          <w:lang w:val="en-US" w:eastAsia="zh-CN"/>
        </w:rPr>
        <w:t>郑建朋 ；电话：</w:t>
      </w:r>
      <w:r>
        <w:rPr>
          <w:rFonts w:hint="eastAsia" w:ascii="Times New Roman" w:hAnsi="Times New Roman" w:eastAsia="方正仿宋_GBK" w:cs="方正仿宋_GBK"/>
          <w:b w:val="0"/>
          <w:bCs w:val="0"/>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1E2169A7">
      <w:pPr>
        <w:pStyle w:val="11"/>
        <w:autoSpaceDE w:val="0"/>
        <w:spacing w:line="596" w:lineRule="exact"/>
        <w:ind w:firstLine="640"/>
        <w:jc w:val="both"/>
        <w:rPr>
          <w:rStyle w:val="10"/>
          <w:rFonts w:ascii="Times New Roman" w:hAnsi="方正仿宋_GBK" w:eastAsia="方正仿宋_GBK" w:cs="方正仿宋_GBK"/>
          <w:b w:val="0"/>
          <w:bCs w:val="0"/>
          <w:color w:val="auto"/>
          <w:sz w:val="32"/>
          <w:szCs w:val="32"/>
          <w:highlight w:val="none"/>
          <w:shd w:val="clear" w:color="auto" w:fill="FFFF00"/>
        </w:rPr>
      </w:pPr>
    </w:p>
    <w:p w14:paraId="78E937CA">
      <w:pPr>
        <w:pStyle w:val="11"/>
        <w:autoSpaceDE w:val="0"/>
        <w:spacing w:line="596" w:lineRule="exact"/>
        <w:ind w:firstLine="640"/>
        <w:jc w:val="both"/>
        <w:rPr>
          <w:rStyle w:val="10"/>
          <w:rFonts w:ascii="Times New Roman" w:hAnsi="方正仿宋_GBK" w:eastAsia="方正仿宋_GBK" w:cs="方正仿宋_GBK"/>
          <w:b w:val="0"/>
          <w:bCs w:val="0"/>
          <w:color w:val="auto"/>
          <w:sz w:val="32"/>
          <w:szCs w:val="32"/>
          <w:highlight w:val="none"/>
          <w:shd w:val="clear" w:color="auto" w:fill="FFFF00"/>
        </w:rPr>
        <w:sectPr>
          <w:headerReference r:id="rId3" w:type="default"/>
          <w:footerReference r:id="rId4" w:type="default"/>
          <w:pgSz w:w="11905" w:h="16840"/>
          <w:pgMar w:top="2098" w:right="1474" w:bottom="1984" w:left="1587" w:header="851" w:footer="1049" w:gutter="0"/>
          <w:pgNumType w:fmt="numberInDash"/>
          <w:cols w:space="720" w:num="1"/>
          <w:docGrid w:type="linesAndChars" w:linePitch="579" w:charSpace="1229"/>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0C011D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3C8162B">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收入支出决算总表</w:t>
            </w:r>
          </w:p>
        </w:tc>
      </w:tr>
      <w:tr w14:paraId="01EB34B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BCF4FAB">
            <w:pPr>
              <w:spacing w:line="200" w:lineRule="exact"/>
              <w:rPr>
                <w:rFonts w:hint="default" w:ascii="Times New Roman" w:hAnsi="Arial" w:cs="Arial"/>
                <w:color w:val="auto"/>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AB694A3">
            <w:pPr>
              <w:spacing w:line="200" w:lineRule="exact"/>
              <w:jc w:val="right"/>
              <w:rPr>
                <w:rFonts w:hint="default" w:ascii="Times New Roman" w:hAnsi="Arial" w:cs="Arial"/>
                <w:color w:val="auto"/>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6539A5A">
            <w:pPr>
              <w:spacing w:line="200" w:lineRule="exact"/>
              <w:rPr>
                <w:rFonts w:hint="default" w:ascii="Times New Roman" w:hAnsi="Arial" w:cs="Arial"/>
                <w:color w:val="auto"/>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0AF3D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01</w:t>
            </w:r>
            <w:r>
              <w:rPr>
                <w:rFonts w:ascii="Times New Roman" w:cs="宋体"/>
                <w:color w:val="auto"/>
                <w:sz w:val="20"/>
                <w:szCs w:val="20"/>
                <w:highlight w:val="none"/>
              </w:rPr>
              <w:t>表</w:t>
            </w:r>
          </w:p>
        </w:tc>
      </w:tr>
      <w:tr w14:paraId="1DE63F2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EA682B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Arial" w:cs="Arial"/>
                <w:color w:val="auto"/>
                <w:sz w:val="22"/>
                <w:szCs w:val="22"/>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丰都县发展和改革委员会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72B1A7C">
            <w:pPr>
              <w:spacing w:line="200" w:lineRule="exact"/>
              <w:rPr>
                <w:rFonts w:hint="default" w:ascii="Times New Roman" w:hAnsi="Arial" w:cs="Arial"/>
                <w:color w:val="auto"/>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6A52C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5DE05F3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AE09">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457E36">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支出</w:t>
            </w:r>
          </w:p>
        </w:tc>
      </w:tr>
      <w:tr w14:paraId="7A0F2C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0130">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6EA9">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0DB6">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2582">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r>
      <w:tr w14:paraId="03FD13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644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C07B">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2,360.44</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96BC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A03C">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1,797.36</w:t>
            </w:r>
            <w:r>
              <w:rPr>
                <w:rFonts w:ascii="Times New Roman" w:hAnsi="Times New Roman"/>
                <w:color w:val="auto"/>
                <w:sz w:val="20"/>
                <w:highlight w:val="none"/>
                <w:u w:color="auto"/>
              </w:rPr>
              <w:t xml:space="preserve"> </w:t>
            </w:r>
          </w:p>
        </w:tc>
      </w:tr>
      <w:tr w14:paraId="7769DE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BAE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532A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6D2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E1D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EBE61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855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8C3B">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D6F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430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CD907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1CF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E89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A845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367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83596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A8B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BB61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07C7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9B3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40016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44D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B54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1777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544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ACDDC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CE9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C766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BE3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4A1F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BFDEB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E79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133DA9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CB9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DADA1">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263.93</w:t>
            </w:r>
            <w:r>
              <w:rPr>
                <w:rFonts w:ascii="Times New Roman" w:hAnsi="Times New Roman"/>
                <w:color w:val="auto"/>
                <w:sz w:val="20"/>
                <w:highlight w:val="none"/>
                <w:u w:color="auto"/>
              </w:rPr>
              <w:t xml:space="preserve"> </w:t>
            </w:r>
          </w:p>
        </w:tc>
      </w:tr>
      <w:tr w14:paraId="115F65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231D">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1A64E">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1C6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3431">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62.58</w:t>
            </w:r>
            <w:r>
              <w:rPr>
                <w:rFonts w:ascii="Times New Roman" w:hAnsi="Times New Roman"/>
                <w:color w:val="auto"/>
                <w:sz w:val="20"/>
                <w:highlight w:val="none"/>
                <w:u w:color="auto"/>
              </w:rPr>
              <w:t xml:space="preserve"> </w:t>
            </w:r>
          </w:p>
        </w:tc>
      </w:tr>
      <w:tr w14:paraId="463539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A434">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3BB7B">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A24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43A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AD4F5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BA96">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9FF5B">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72E2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4EABC">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154.96</w:t>
            </w:r>
            <w:r>
              <w:rPr>
                <w:rFonts w:ascii="Times New Roman" w:hAnsi="Times New Roman"/>
                <w:color w:val="auto"/>
                <w:sz w:val="20"/>
                <w:highlight w:val="none"/>
                <w:u w:color="auto"/>
              </w:rPr>
              <w:t xml:space="preserve"> </w:t>
            </w:r>
          </w:p>
        </w:tc>
      </w:tr>
      <w:tr w14:paraId="146433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CE36">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71CB3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076D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D12F3">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7D8D5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3325">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9E0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144E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BF19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7EC44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AFBD">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3D6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E9D0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20B3">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21A20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134C">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D75B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FBF4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E13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010B8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A7BF">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4700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9BA8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4059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4007B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197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765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AE1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749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E55547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8579">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038D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BC7F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3480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24499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7C75">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5AD9B">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07BF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6E57B">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61.92</w:t>
            </w:r>
            <w:r>
              <w:rPr>
                <w:rFonts w:ascii="Times New Roman" w:hAnsi="Times New Roman"/>
                <w:color w:val="auto"/>
                <w:sz w:val="20"/>
                <w:highlight w:val="none"/>
                <w:u w:color="auto"/>
              </w:rPr>
              <w:t xml:space="preserve"> </w:t>
            </w:r>
          </w:p>
        </w:tc>
      </w:tr>
      <w:tr w14:paraId="40A7E8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22F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6A9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E36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057E0">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r>
      <w:tr w14:paraId="4E6BF9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3D4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2AE02">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26D4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E225D">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47347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8E8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DFA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051B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8CB8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565CF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95FD">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9FD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32A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0F5A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13ADA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A1C5">
            <w:pPr>
              <w:spacing w:line="240" w:lineRule="exact"/>
              <w:jc w:val="center"/>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DD30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376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6C9D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1BD53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F29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134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4BD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0D8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4F664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9F26">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DEF2">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E784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EB5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3D704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73D3">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BC856">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2,360.44</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184F">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DE05A">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2,379.24</w:t>
            </w:r>
            <w:r>
              <w:rPr>
                <w:rFonts w:ascii="Times New Roman" w:hAnsi="Times New Roman"/>
                <w:color w:val="auto"/>
                <w:sz w:val="20"/>
                <w:highlight w:val="none"/>
                <w:u w:color="auto"/>
              </w:rPr>
              <w:t xml:space="preserve"> </w:t>
            </w:r>
          </w:p>
        </w:tc>
      </w:tr>
      <w:tr w14:paraId="753E00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649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4F4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BA18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B995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8621D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73D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17A15">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18.80</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9160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DEDA4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35E741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4277">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CB57">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2,379.24</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005EFBB">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93EB9">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2,379.24</w:t>
            </w:r>
            <w:r>
              <w:rPr>
                <w:rFonts w:ascii="Times New Roman" w:hAnsi="Times New Roman"/>
                <w:color w:val="auto"/>
                <w:sz w:val="20"/>
                <w:highlight w:val="none"/>
                <w:u w:color="auto"/>
              </w:rPr>
              <w:t xml:space="preserve"> </w:t>
            </w:r>
          </w:p>
        </w:tc>
      </w:tr>
    </w:tbl>
    <w:p w14:paraId="156B4990">
      <w:pPr>
        <w:rPr>
          <w:rFonts w:hint="default" w:ascii="Times New Roman" w:cs="宋体"/>
          <w:color w:val="auto"/>
          <w:sz w:val="21"/>
          <w:szCs w:val="21"/>
          <w:highlight w:val="none"/>
        </w:rPr>
      </w:pPr>
    </w:p>
    <w:p w14:paraId="130CA93C">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备注：1.本表反映部门本年度的总收支和年末结转结余情况。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620FEAF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C0BE0A6">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收入决算表</w:t>
            </w:r>
          </w:p>
        </w:tc>
      </w:tr>
      <w:tr w14:paraId="15793433">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EFF051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丰都县发展和改革委员会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353100A6">
            <w:pPr>
              <w:rPr>
                <w:rFonts w:hint="default" w:ascii="Times New Roman" w:cs="宋体"/>
                <w:color w:val="auto"/>
                <w:sz w:val="20"/>
                <w:szCs w:val="20"/>
                <w:highlight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A4EE9BF">
            <w:pPr>
              <w:rPr>
                <w:rFonts w:hint="default" w:ascii="Times New Roman" w:cs="宋体"/>
                <w:color w:val="auto"/>
                <w:sz w:val="20"/>
                <w:szCs w:val="20"/>
                <w:highlight w:val="none"/>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C381EBB">
            <w:pPr>
              <w:rPr>
                <w:rFonts w:hint="default" w:ascii="Times New Roman" w:cs="宋体"/>
                <w:color w:val="auto"/>
                <w:sz w:val="20"/>
                <w:szCs w:val="20"/>
                <w:highlight w:val="none"/>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9E1015C">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433137D">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763069B">
            <w:pPr>
              <w:rPr>
                <w:rFonts w:hint="default" w:ascii="Times New Roman" w:cs="宋体"/>
                <w:color w:val="auto"/>
                <w:sz w:val="20"/>
                <w:szCs w:val="20"/>
                <w:highlight w:val="none"/>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536BCE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02</w:t>
            </w:r>
            <w:r>
              <w:rPr>
                <w:rFonts w:ascii="Times New Roman" w:cs="宋体"/>
                <w:color w:val="auto"/>
                <w:sz w:val="20"/>
                <w:szCs w:val="20"/>
                <w:highlight w:val="none"/>
              </w:rPr>
              <w:t>表</w:t>
            </w:r>
          </w:p>
        </w:tc>
      </w:tr>
      <w:tr w14:paraId="59731056">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2537FE5E">
            <w:pPr>
              <w:rPr>
                <w:rFonts w:hint="default" w:ascii="Times New Roman" w:cs="宋体"/>
                <w:color w:val="auto"/>
                <w:sz w:val="20"/>
                <w:szCs w:val="20"/>
                <w:highlight w:val="none"/>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24583A8A">
            <w:pPr>
              <w:rPr>
                <w:rFonts w:hint="default" w:ascii="Times New Roman" w:cs="宋体"/>
                <w:color w:val="auto"/>
                <w:sz w:val="20"/>
                <w:szCs w:val="20"/>
                <w:highlight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0F4200B7">
            <w:pPr>
              <w:rPr>
                <w:rFonts w:hint="default" w:ascii="Times New Roman" w:cs="宋体"/>
                <w:color w:val="auto"/>
                <w:sz w:val="20"/>
                <w:szCs w:val="20"/>
                <w:highlight w:val="none"/>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EF76ED2">
            <w:pPr>
              <w:rPr>
                <w:rFonts w:hint="default" w:ascii="Times New Roman" w:cs="宋体"/>
                <w:color w:val="auto"/>
                <w:sz w:val="20"/>
                <w:szCs w:val="20"/>
                <w:highlight w:val="none"/>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787E3976">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347584F">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D047BC3">
            <w:pPr>
              <w:rPr>
                <w:rFonts w:hint="default" w:ascii="Times New Roman" w:cs="宋体"/>
                <w:color w:val="auto"/>
                <w:sz w:val="20"/>
                <w:szCs w:val="20"/>
                <w:highlight w:val="none"/>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AC3AB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F026924">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7130696">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AC4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A8C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EFF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96237">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8AE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D03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465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其他收入</w:t>
            </w:r>
          </w:p>
        </w:tc>
      </w:tr>
      <w:tr w14:paraId="5F9A9891">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D90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1A8FAE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A393">
            <w:pPr>
              <w:jc w:val="center"/>
              <w:rPr>
                <w:rFonts w:hint="default" w:ascii="Times New Roman" w:cs="宋体"/>
                <w:b/>
                <w:color w:val="auto"/>
                <w:sz w:val="20"/>
                <w:szCs w:val="20"/>
                <w:highlight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19993">
            <w:pPr>
              <w:jc w:val="center"/>
              <w:rPr>
                <w:rFonts w:hint="default" w:ascii="Times New Roman"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F9F2">
            <w:pPr>
              <w:jc w:val="center"/>
              <w:rPr>
                <w:rFonts w:hint="default" w:ascii="Times New Roman" w:cs="宋体"/>
                <w:b/>
                <w:color w:val="auto"/>
                <w:sz w:val="20"/>
                <w:szCs w:val="20"/>
                <w:highlight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E6F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C822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372D7">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EC4B">
            <w:pPr>
              <w:jc w:val="center"/>
              <w:rPr>
                <w:rFonts w:hint="default" w:ascii="Times New Roman" w:cs="宋体"/>
                <w:b/>
                <w:color w:val="auto"/>
                <w:sz w:val="20"/>
                <w:szCs w:val="20"/>
                <w:highlight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CE30">
            <w:pPr>
              <w:jc w:val="center"/>
              <w:rPr>
                <w:rFonts w:hint="default" w:ascii="Times New Roman" w:cs="宋体"/>
                <w:b/>
                <w:color w:val="auto"/>
                <w:sz w:val="20"/>
                <w:szCs w:val="20"/>
                <w:highlight w:val="none"/>
              </w:rPr>
            </w:pPr>
          </w:p>
        </w:tc>
      </w:tr>
      <w:tr w14:paraId="025626AC">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2F65">
            <w:pPr>
              <w:jc w:val="center"/>
              <w:rPr>
                <w:rFonts w:hint="default" w:ascii="Times New Roman" w:cs="宋体"/>
                <w:b/>
                <w:color w:val="auto"/>
                <w:sz w:val="20"/>
                <w:szCs w:val="20"/>
                <w:highlight w:val="none"/>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7E64F0">
            <w:pPr>
              <w:jc w:val="center"/>
              <w:rPr>
                <w:rFonts w:hint="default" w:ascii="Times New Roman"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2F42">
            <w:pPr>
              <w:jc w:val="center"/>
              <w:rPr>
                <w:rFonts w:hint="default" w:ascii="Times New Roman" w:cs="宋体"/>
                <w:b/>
                <w:color w:val="auto"/>
                <w:sz w:val="20"/>
                <w:szCs w:val="20"/>
                <w:highlight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9B15">
            <w:pPr>
              <w:jc w:val="center"/>
              <w:rPr>
                <w:rFonts w:hint="default" w:ascii="Times New Roman"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EACE">
            <w:pPr>
              <w:jc w:val="center"/>
              <w:rPr>
                <w:rFonts w:hint="default" w:ascii="Times New Roman" w:cs="宋体"/>
                <w:b/>
                <w:color w:val="auto"/>
                <w:sz w:val="20"/>
                <w:szCs w:val="20"/>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AC73">
            <w:pPr>
              <w:jc w:val="center"/>
              <w:rPr>
                <w:rFonts w:hint="default" w:ascii="Times New Roman" w:cs="宋体"/>
                <w:b/>
                <w:color w:val="auto"/>
                <w:sz w:val="20"/>
                <w:szCs w:val="20"/>
                <w:highlight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3C2D">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1248">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65D2">
            <w:pPr>
              <w:jc w:val="center"/>
              <w:rPr>
                <w:rFonts w:hint="default" w:ascii="Times New Roman" w:cs="宋体"/>
                <w:b/>
                <w:color w:val="auto"/>
                <w:sz w:val="20"/>
                <w:szCs w:val="20"/>
                <w:highlight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7A803">
            <w:pPr>
              <w:jc w:val="center"/>
              <w:rPr>
                <w:rFonts w:hint="default" w:ascii="Times New Roman" w:cs="宋体"/>
                <w:b/>
                <w:color w:val="auto"/>
                <w:sz w:val="20"/>
                <w:szCs w:val="20"/>
                <w:highlight w:val="none"/>
              </w:rPr>
            </w:pPr>
          </w:p>
        </w:tc>
      </w:tr>
      <w:tr w14:paraId="7AE35212">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82A3">
            <w:pPr>
              <w:jc w:val="center"/>
              <w:rPr>
                <w:rFonts w:hint="default" w:ascii="Times New Roman" w:cs="宋体"/>
                <w:b/>
                <w:color w:val="auto"/>
                <w:sz w:val="20"/>
                <w:szCs w:val="20"/>
                <w:highlight w:val="none"/>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17BB6B">
            <w:pPr>
              <w:jc w:val="center"/>
              <w:rPr>
                <w:rFonts w:hint="default" w:ascii="Times New Roman"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C58A">
            <w:pPr>
              <w:jc w:val="center"/>
              <w:rPr>
                <w:rFonts w:hint="default" w:ascii="Times New Roman" w:cs="宋体"/>
                <w:b/>
                <w:color w:val="auto"/>
                <w:sz w:val="20"/>
                <w:szCs w:val="20"/>
                <w:highlight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CB47">
            <w:pPr>
              <w:jc w:val="center"/>
              <w:rPr>
                <w:rFonts w:hint="default" w:ascii="Times New Roman"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E75B7">
            <w:pPr>
              <w:jc w:val="center"/>
              <w:rPr>
                <w:rFonts w:hint="default" w:ascii="Times New Roman" w:cs="宋体"/>
                <w:b/>
                <w:color w:val="auto"/>
                <w:sz w:val="20"/>
                <w:szCs w:val="20"/>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5BEA">
            <w:pPr>
              <w:jc w:val="center"/>
              <w:rPr>
                <w:rFonts w:hint="default" w:ascii="Times New Roman" w:cs="宋体"/>
                <w:b/>
                <w:color w:val="auto"/>
                <w:sz w:val="20"/>
                <w:szCs w:val="20"/>
                <w:highlight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9B2F">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3D85">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1F13">
            <w:pPr>
              <w:jc w:val="center"/>
              <w:rPr>
                <w:rFonts w:hint="default" w:ascii="Times New Roman" w:cs="宋体"/>
                <w:b/>
                <w:color w:val="auto"/>
                <w:sz w:val="20"/>
                <w:szCs w:val="20"/>
                <w:highlight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B248">
            <w:pPr>
              <w:jc w:val="center"/>
              <w:rPr>
                <w:rFonts w:hint="default" w:ascii="Times New Roman" w:cs="宋体"/>
                <w:b/>
                <w:color w:val="auto"/>
                <w:sz w:val="20"/>
                <w:szCs w:val="20"/>
                <w:highlight w:val="none"/>
              </w:rPr>
            </w:pPr>
          </w:p>
        </w:tc>
      </w:tr>
      <w:tr w14:paraId="48C4BB1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70B5">
            <w:pPr>
              <w:jc w:val="center"/>
              <w:rPr>
                <w:rFonts w:hint="default" w:ascii="Times New Roman" w:cs="宋体"/>
                <w:b/>
                <w:color w:val="auto"/>
                <w:sz w:val="20"/>
                <w:szCs w:val="20"/>
                <w:highlight w:val="none"/>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4C68C7">
            <w:pPr>
              <w:jc w:val="center"/>
              <w:rPr>
                <w:rFonts w:hint="default" w:ascii="Times New Roman"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17C3">
            <w:pPr>
              <w:jc w:val="center"/>
              <w:rPr>
                <w:rFonts w:hint="default" w:ascii="Times New Roman" w:cs="宋体"/>
                <w:b/>
                <w:color w:val="auto"/>
                <w:sz w:val="20"/>
                <w:szCs w:val="20"/>
                <w:highlight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E0186">
            <w:pPr>
              <w:jc w:val="center"/>
              <w:rPr>
                <w:rFonts w:hint="default" w:ascii="Times New Roman"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67D4">
            <w:pPr>
              <w:jc w:val="center"/>
              <w:rPr>
                <w:rFonts w:hint="default" w:ascii="Times New Roman" w:cs="宋体"/>
                <w:b/>
                <w:color w:val="auto"/>
                <w:sz w:val="20"/>
                <w:szCs w:val="20"/>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3B55">
            <w:pPr>
              <w:jc w:val="center"/>
              <w:rPr>
                <w:rFonts w:hint="default" w:ascii="Times New Roman" w:cs="宋体"/>
                <w:b/>
                <w:color w:val="auto"/>
                <w:sz w:val="20"/>
                <w:szCs w:val="20"/>
                <w:highlight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1E2F">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BC4F">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48FB">
            <w:pPr>
              <w:jc w:val="center"/>
              <w:rPr>
                <w:rFonts w:hint="default" w:ascii="Times New Roman" w:cs="宋体"/>
                <w:b/>
                <w:color w:val="auto"/>
                <w:sz w:val="20"/>
                <w:szCs w:val="20"/>
                <w:highlight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C812">
            <w:pPr>
              <w:jc w:val="center"/>
              <w:rPr>
                <w:rFonts w:hint="default" w:ascii="Times New Roman" w:cs="宋体"/>
                <w:b/>
                <w:color w:val="auto"/>
                <w:sz w:val="20"/>
                <w:szCs w:val="20"/>
                <w:highlight w:val="none"/>
              </w:rPr>
            </w:pPr>
          </w:p>
        </w:tc>
      </w:tr>
      <w:tr w14:paraId="752B6425">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996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4C2D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2,360.44</w:t>
            </w:r>
            <w:r>
              <w:rPr>
                <w:rFonts w:ascii="Times New Roman" w:hAnsi="Times New Roman"/>
                <w:b/>
                <w:color w:val="auto"/>
                <w:sz w:val="20"/>
                <w:highlight w:val="none"/>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C7B7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2,360.44</w:t>
            </w:r>
            <w:r>
              <w:rPr>
                <w:rFonts w:ascii="Times New Roman" w:hAnsi="Times New Roman"/>
                <w:b/>
                <w:color w:val="auto"/>
                <w:sz w:val="20"/>
                <w:highlight w:val="none"/>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3B0C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A7B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BE2D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E77A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299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C3CA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308735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F38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30E9">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BDC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1,792.82</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F2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1,792.82</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1C9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957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F52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A1B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982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C3B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F490F2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957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EBF19">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E8F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1,771.42</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65C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1,771.42</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9F3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985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2CC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E13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0CA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283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CD20F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A520">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2D890">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933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D10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2D8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5E1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DC5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C59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15F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A0A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57D126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A4E3">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D44B2">
            <w:pPr>
              <w:textAlignment w:val="center"/>
              <w:rPr>
                <w:rFonts w:hint="default" w:ascii="Times New Roman" w:cs="宋体"/>
                <w:color w:val="auto"/>
                <w:sz w:val="20"/>
                <w:szCs w:val="20"/>
                <w:highlight w:val="none"/>
              </w:rPr>
            </w:pPr>
            <w:r>
              <w:rPr>
                <w:rFonts w:ascii="Times New Roman" w:cs="宋体"/>
                <w:color w:val="auto"/>
                <w:sz w:val="20"/>
                <w:szCs w:val="20"/>
                <w:highlight w:val="none"/>
              </w:rPr>
              <w:t>社会事业发展规划</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7BE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013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F06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828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B24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92B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7DB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EBB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82F004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DDC2">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5665">
            <w:pPr>
              <w:textAlignment w:val="center"/>
              <w:rPr>
                <w:rFonts w:hint="default" w:ascii="Times New Roman" w:cs="宋体"/>
                <w:color w:val="auto"/>
                <w:sz w:val="20"/>
                <w:szCs w:val="20"/>
                <w:highlight w:val="none"/>
              </w:rPr>
            </w:pPr>
            <w:r>
              <w:rPr>
                <w:rFonts w:ascii="Times New Roman" w:cs="宋体"/>
                <w:color w:val="auto"/>
                <w:sz w:val="20"/>
                <w:szCs w:val="20"/>
                <w:highlight w:val="none"/>
              </w:rPr>
              <w:t>物价管理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B34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3EF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5E8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AEB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AA4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37F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5E4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9A8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AE6C82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5DBA">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2C6A4">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A16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1EC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B3E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6C1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02D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842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B45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031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064BD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2CB0">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A0B0">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其他发展与改革事务支出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2CE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936.87</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B19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936.87</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AB2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25A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F2A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83A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6B4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46C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8D7F1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E17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E1B1">
            <w:pPr>
              <w:textAlignment w:val="center"/>
              <w:rPr>
                <w:rFonts w:hint="default" w:ascii="Times New Roman" w:cs="宋体"/>
                <w:color w:val="auto"/>
                <w:sz w:val="20"/>
                <w:szCs w:val="20"/>
                <w:highlight w:val="none"/>
              </w:rPr>
            </w:pPr>
            <w:r>
              <w:rPr>
                <w:rFonts w:ascii="Times New Roman" w:cs="宋体"/>
                <w:b/>
                <w:color w:val="auto"/>
                <w:sz w:val="20"/>
                <w:szCs w:val="20"/>
                <w:highlight w:val="none"/>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25E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90E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D4C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D4B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09D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FFB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900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B71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E83DD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99E9">
            <w:pPr>
              <w:textAlignment w:val="center"/>
              <w:rPr>
                <w:rFonts w:hint="default" w:ascii="Times New Roman" w:cs="宋体"/>
                <w:color w:val="auto"/>
                <w:sz w:val="20"/>
                <w:szCs w:val="20"/>
                <w:highlight w:val="none"/>
              </w:rPr>
            </w:pPr>
            <w:r>
              <w:rPr>
                <w:rFonts w:ascii="Times New Roman" w:cs="宋体"/>
                <w:color w:val="auto"/>
                <w:sz w:val="20"/>
                <w:szCs w:val="20"/>
                <w:highlight w:val="none"/>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FF29B">
            <w:pPr>
              <w:textAlignment w:val="center"/>
              <w:rPr>
                <w:rFonts w:hint="default" w:ascii="Times New Roman" w:cs="宋体"/>
                <w:color w:val="auto"/>
                <w:sz w:val="20"/>
                <w:szCs w:val="20"/>
                <w:highlight w:val="none"/>
              </w:rPr>
            </w:pPr>
            <w:r>
              <w:rPr>
                <w:rFonts w:ascii="Times New Roman" w:cs="宋体"/>
                <w:color w:val="auto"/>
                <w:sz w:val="20"/>
                <w:szCs w:val="20"/>
                <w:highlight w:val="none"/>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E0D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DC0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EBC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4D0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0FA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68B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4B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727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4A186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9E0B">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103B">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106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596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654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77C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EE7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8EC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71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A4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C1140E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E83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66D5D">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310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9F4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ED6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958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A02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FAF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88C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D54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46CD4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53D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93742">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896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AD2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7D6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53C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36E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5E6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79E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A82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014F9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07B8">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D8D0B">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C0B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94.09</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116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94.09</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960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D26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C13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697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D2E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ECE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72763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DE71">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135A3">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673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58.58</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B5F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58.58</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168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D23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EC4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38C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A1A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6AE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23058F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F20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025A4">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6A0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BBD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49B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1E4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46B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117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35B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4B1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2BAA44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714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91D20">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979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4DA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87E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BC2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22E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64E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5C0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E7A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196BA0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FF9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A2C1">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84F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55C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361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8E2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CAC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96F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18E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993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EB5E8C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79B4">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F303">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78F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A64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9CB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334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2AB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212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F32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F45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896E63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45B3">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65EB">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DBE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15.90</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F40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15.90</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61F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B8F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F48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BC6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D77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ED8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439625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1493">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8D39">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0BA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22.21</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88B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22.21</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DF2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9F3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8D7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CE2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DE4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B6B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85798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308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73BBE">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C2D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140.70</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B9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140.70</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3CF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871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B8D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748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40A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C39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C56F7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73D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1DF32">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46C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140.70</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FED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140.70</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EB3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7B8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07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B4B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3B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F03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B5EFC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5B3F">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4A6A7">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48B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140.70</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78B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140.70</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C15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4CB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E8D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D88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5C2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87B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86534A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1FC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C39BA">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D44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47B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180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4B8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F6F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FE9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F5C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46F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BA38B6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7C8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11FBD">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5FF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AB8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7D4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C04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1E2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154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CEE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946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3E7C6E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4544">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5945C">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69C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61.92</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D6B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61.92</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AAE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107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399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904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06D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CD6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85EA65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B04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D4036">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粮油物资储备支出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34B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F3C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2F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C7D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C66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ED9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228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72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AF096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27E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A7064">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粮油储备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26B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EE2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BF7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95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DF8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ADB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2E1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4AE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380E5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61C0">
            <w:pPr>
              <w:textAlignment w:val="center"/>
              <w:rPr>
                <w:rFonts w:hint="default" w:ascii="Times New Roman" w:cs="宋体"/>
                <w:color w:val="auto"/>
                <w:sz w:val="20"/>
                <w:szCs w:val="20"/>
                <w:highlight w:val="none"/>
              </w:rPr>
            </w:pPr>
            <w:r>
              <w:rPr>
                <w:rFonts w:ascii="Times New Roman" w:cs="宋体"/>
                <w:color w:val="auto"/>
                <w:sz w:val="20"/>
                <w:szCs w:val="20"/>
                <w:highlight w:val="none"/>
              </w:rPr>
              <w:t>2220401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A0F7">
            <w:pPr>
              <w:textAlignment w:val="center"/>
              <w:rPr>
                <w:rFonts w:hint="default" w:ascii="Times New Roman" w:cs="宋体"/>
                <w:color w:val="auto"/>
                <w:sz w:val="20"/>
                <w:szCs w:val="20"/>
                <w:highlight w:val="none"/>
              </w:rPr>
            </w:pPr>
            <w:r>
              <w:rPr>
                <w:rFonts w:ascii="Times New Roman" w:cs="宋体"/>
                <w:color w:val="auto"/>
                <w:sz w:val="20"/>
                <w:szCs w:val="20"/>
                <w:highlight w:val="none"/>
              </w:rPr>
              <w:t>储备粮油补贴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7C5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AC2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80D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90D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6DE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DBA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D62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C67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5023749C">
      <w:pPr>
        <w:ind w:left="600" w:hanging="600" w:hangingChars="300"/>
        <w:rPr>
          <w:rFonts w:hint="default" w:ascii="Times New Roman" w:cs="宋体"/>
          <w:color w:val="auto"/>
          <w:sz w:val="20"/>
          <w:szCs w:val="20"/>
          <w:highlight w:val="none"/>
        </w:rPr>
      </w:pPr>
      <w:r>
        <w:rPr>
          <w:rFonts w:ascii="Times New Roman" w:cs="宋体"/>
          <w:color w:val="auto"/>
          <w:sz w:val="20"/>
          <w:szCs w:val="20"/>
          <w:highlight w:val="none"/>
        </w:rPr>
        <w:t>备注：1.本表反映部门本年度取得的各项收入情况。</w:t>
      </w:r>
      <w:r>
        <w:rPr>
          <w:rFonts w:ascii="Times New Roman" w:cs="宋体"/>
          <w:color w:val="auto"/>
          <w:sz w:val="20"/>
          <w:szCs w:val="20"/>
          <w:highlight w:val="none"/>
        </w:rPr>
        <w:br w:type="textWrapping"/>
      </w:r>
      <w:r>
        <w:rPr>
          <w:rFonts w:ascii="Times New Roman" w:cs="宋体"/>
          <w:color w:val="auto"/>
          <w:sz w:val="20"/>
          <w:szCs w:val="20"/>
          <w:highlight w:val="none"/>
        </w:rPr>
        <w:t>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5EEE24D8">
      <w:pPr>
        <w:rPr>
          <w:rFonts w:hint="default" w:ascii="Times New Roman" w:cs="宋体"/>
          <w:color w:val="auto"/>
          <w:sz w:val="20"/>
          <w:szCs w:val="20"/>
          <w:highlight w:val="none"/>
        </w:rPr>
      </w:pPr>
      <w:r>
        <w:rPr>
          <w:rFonts w:ascii="Times New Roman" w:cs="宋体"/>
          <w:color w:val="auto"/>
          <w:sz w:val="20"/>
          <w:szCs w:val="20"/>
          <w:highlight w:val="none"/>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FD5A6D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4FB8B1E">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支出决算表</w:t>
            </w:r>
          </w:p>
        </w:tc>
      </w:tr>
      <w:tr w14:paraId="000F2069">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7399801A">
            <w:pPr>
              <w:rPr>
                <w:rFonts w:hint="default" w:ascii="Times New Roman" w:cs="宋体"/>
                <w:color w:val="auto"/>
                <w:sz w:val="20"/>
                <w:szCs w:val="20"/>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 xml:space="preserve">丰都县发展和改革委员会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30481171">
            <w:pPr>
              <w:rPr>
                <w:rFonts w:hint="default" w:ascii="Times New Roman" w:cs="宋体"/>
                <w:color w:val="auto"/>
                <w:sz w:val="20"/>
                <w:szCs w:val="20"/>
                <w:highlight w:val="none"/>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50BE358">
            <w:pPr>
              <w:rPr>
                <w:rFonts w:hint="default" w:ascii="Times New Roman" w:cs="宋体"/>
                <w:color w:val="auto"/>
                <w:sz w:val="20"/>
                <w:szCs w:val="20"/>
                <w:highlight w:val="none"/>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9E2CFDB">
            <w:pPr>
              <w:rPr>
                <w:rFonts w:hint="default" w:ascii="Times New Roman" w:cs="宋体"/>
                <w:color w:val="auto"/>
                <w:sz w:val="20"/>
                <w:szCs w:val="20"/>
                <w:highlight w:val="none"/>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0DB7C6D">
            <w:pPr>
              <w:rPr>
                <w:rFonts w:hint="default" w:ascii="Times New Roman" w:cs="宋体"/>
                <w:color w:val="auto"/>
                <w:sz w:val="20"/>
                <w:szCs w:val="20"/>
                <w:highlight w:val="none"/>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BFBEDA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03</w:t>
            </w:r>
            <w:r>
              <w:rPr>
                <w:rFonts w:ascii="Times New Roman" w:cs="宋体"/>
                <w:color w:val="auto"/>
                <w:sz w:val="20"/>
                <w:szCs w:val="20"/>
                <w:highlight w:val="none"/>
              </w:rPr>
              <w:t>表</w:t>
            </w:r>
          </w:p>
        </w:tc>
      </w:tr>
      <w:tr w14:paraId="15DD6857">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6AB8E639">
            <w:pPr>
              <w:rPr>
                <w:rFonts w:hint="default" w:ascii="Times New Roman" w:cs="宋体"/>
                <w:color w:val="auto"/>
                <w:sz w:val="20"/>
                <w:szCs w:val="20"/>
                <w:highlight w:val="none"/>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6C57E94D">
            <w:pPr>
              <w:rPr>
                <w:rFonts w:hint="default" w:ascii="Times New Roman" w:cs="宋体"/>
                <w:color w:val="auto"/>
                <w:sz w:val="20"/>
                <w:szCs w:val="20"/>
                <w:highlight w:val="none"/>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15411B0">
            <w:pPr>
              <w:rPr>
                <w:rFonts w:hint="default" w:ascii="Times New Roman" w:cs="宋体"/>
                <w:color w:val="auto"/>
                <w:sz w:val="20"/>
                <w:szCs w:val="20"/>
                <w:highlight w:val="none"/>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2553643">
            <w:pPr>
              <w:rPr>
                <w:rFonts w:hint="default" w:ascii="Times New Roman" w:cs="宋体"/>
                <w:color w:val="auto"/>
                <w:sz w:val="20"/>
                <w:szCs w:val="20"/>
                <w:highlight w:val="none"/>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C6CE5EE">
            <w:pPr>
              <w:rPr>
                <w:rFonts w:hint="default" w:ascii="Times New Roman" w:cs="宋体"/>
                <w:color w:val="auto"/>
                <w:sz w:val="20"/>
                <w:szCs w:val="20"/>
                <w:highlight w:val="none"/>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3790FB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25AF5195">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5A043">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695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06C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5E98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6C3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EFD9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51A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对附属单位补助支出</w:t>
            </w:r>
          </w:p>
        </w:tc>
      </w:tr>
      <w:tr w14:paraId="0F8F233A">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7A9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8743DC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C54D">
            <w:pPr>
              <w:jc w:val="center"/>
              <w:rPr>
                <w:rFonts w:hint="default" w:ascii="Times New Roman" w:cs="宋体"/>
                <w:b/>
                <w:color w:val="auto"/>
                <w:sz w:val="20"/>
                <w:szCs w:val="20"/>
                <w:highlight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F5464">
            <w:pPr>
              <w:jc w:val="center"/>
              <w:rPr>
                <w:rFonts w:hint="default" w:ascii="Times New Roman" w:cs="宋体"/>
                <w:b/>
                <w:color w:val="auto"/>
                <w:sz w:val="20"/>
                <w:szCs w:val="20"/>
                <w:highlight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4822">
            <w:pPr>
              <w:jc w:val="center"/>
              <w:rPr>
                <w:rFonts w:hint="default" w:ascii="Times New Roman" w:cs="宋体"/>
                <w:b/>
                <w:color w:val="auto"/>
                <w:sz w:val="20"/>
                <w:szCs w:val="20"/>
                <w:highlight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5ED5">
            <w:pPr>
              <w:jc w:val="center"/>
              <w:rPr>
                <w:rFonts w:hint="default" w:ascii="Times New Roman" w:cs="宋体"/>
                <w:b/>
                <w:color w:val="auto"/>
                <w:sz w:val="20"/>
                <w:szCs w:val="20"/>
                <w:highlight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AD2C">
            <w:pPr>
              <w:jc w:val="center"/>
              <w:rPr>
                <w:rFonts w:hint="default" w:ascii="Times New Roman" w:cs="宋体"/>
                <w:b/>
                <w:color w:val="auto"/>
                <w:sz w:val="20"/>
                <w:szCs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D06F">
            <w:pPr>
              <w:jc w:val="center"/>
              <w:rPr>
                <w:rFonts w:hint="default" w:ascii="Times New Roman" w:cs="宋体"/>
                <w:b/>
                <w:color w:val="auto"/>
                <w:sz w:val="20"/>
                <w:szCs w:val="20"/>
                <w:highlight w:val="none"/>
              </w:rPr>
            </w:pPr>
          </w:p>
        </w:tc>
      </w:tr>
      <w:tr w14:paraId="630E9048">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C73E">
            <w:pPr>
              <w:jc w:val="center"/>
              <w:rPr>
                <w:rFonts w:hint="default" w:ascii="Times New Roman" w:cs="宋体"/>
                <w:b/>
                <w:color w:val="auto"/>
                <w:sz w:val="20"/>
                <w:szCs w:val="20"/>
                <w:highlight w:val="none"/>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592705">
            <w:pPr>
              <w:jc w:val="center"/>
              <w:rPr>
                <w:rFonts w:hint="default" w:ascii="Times New Roman" w:cs="宋体"/>
                <w:b/>
                <w:color w:val="auto"/>
                <w:sz w:val="20"/>
                <w:szCs w:val="20"/>
                <w:highlight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4D28C">
            <w:pPr>
              <w:jc w:val="center"/>
              <w:rPr>
                <w:rFonts w:hint="default" w:ascii="Times New Roman" w:cs="宋体"/>
                <w:b/>
                <w:color w:val="auto"/>
                <w:sz w:val="20"/>
                <w:szCs w:val="20"/>
                <w:highlight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CEE8">
            <w:pPr>
              <w:jc w:val="center"/>
              <w:rPr>
                <w:rFonts w:hint="default" w:ascii="Times New Roman" w:cs="宋体"/>
                <w:b/>
                <w:color w:val="auto"/>
                <w:sz w:val="20"/>
                <w:szCs w:val="20"/>
                <w:highlight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6C8F4">
            <w:pPr>
              <w:jc w:val="center"/>
              <w:rPr>
                <w:rFonts w:hint="default" w:ascii="Times New Roman" w:cs="宋体"/>
                <w:b/>
                <w:color w:val="auto"/>
                <w:sz w:val="20"/>
                <w:szCs w:val="20"/>
                <w:highlight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706C">
            <w:pPr>
              <w:jc w:val="center"/>
              <w:rPr>
                <w:rFonts w:hint="default" w:ascii="Times New Roman" w:cs="宋体"/>
                <w:b/>
                <w:color w:val="auto"/>
                <w:sz w:val="20"/>
                <w:szCs w:val="20"/>
                <w:highlight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0C39">
            <w:pPr>
              <w:jc w:val="center"/>
              <w:rPr>
                <w:rFonts w:hint="default" w:ascii="Times New Roman" w:cs="宋体"/>
                <w:b/>
                <w:color w:val="auto"/>
                <w:sz w:val="20"/>
                <w:szCs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742B4">
            <w:pPr>
              <w:jc w:val="center"/>
              <w:rPr>
                <w:rFonts w:hint="default" w:ascii="Times New Roman" w:cs="宋体"/>
                <w:b/>
                <w:color w:val="auto"/>
                <w:sz w:val="20"/>
                <w:szCs w:val="20"/>
                <w:highlight w:val="none"/>
              </w:rPr>
            </w:pPr>
          </w:p>
        </w:tc>
      </w:tr>
      <w:tr w14:paraId="2654B9C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B5EA">
            <w:pPr>
              <w:jc w:val="center"/>
              <w:rPr>
                <w:rFonts w:hint="default" w:ascii="Times New Roman" w:cs="宋体"/>
                <w:b/>
                <w:color w:val="auto"/>
                <w:sz w:val="20"/>
                <w:szCs w:val="20"/>
                <w:highlight w:val="none"/>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4DAA6D">
            <w:pPr>
              <w:jc w:val="center"/>
              <w:rPr>
                <w:rFonts w:hint="default" w:ascii="Times New Roman" w:cs="宋体"/>
                <w:b/>
                <w:color w:val="auto"/>
                <w:sz w:val="20"/>
                <w:szCs w:val="20"/>
                <w:highlight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C0B0">
            <w:pPr>
              <w:jc w:val="center"/>
              <w:rPr>
                <w:rFonts w:hint="default" w:ascii="Times New Roman" w:cs="宋体"/>
                <w:b/>
                <w:color w:val="auto"/>
                <w:sz w:val="20"/>
                <w:szCs w:val="20"/>
                <w:highlight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230C">
            <w:pPr>
              <w:jc w:val="center"/>
              <w:rPr>
                <w:rFonts w:hint="default" w:ascii="Times New Roman" w:cs="宋体"/>
                <w:b/>
                <w:color w:val="auto"/>
                <w:sz w:val="20"/>
                <w:szCs w:val="20"/>
                <w:highlight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031F">
            <w:pPr>
              <w:jc w:val="center"/>
              <w:rPr>
                <w:rFonts w:hint="default" w:ascii="Times New Roman" w:cs="宋体"/>
                <w:b/>
                <w:color w:val="auto"/>
                <w:sz w:val="20"/>
                <w:szCs w:val="20"/>
                <w:highlight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BC56">
            <w:pPr>
              <w:jc w:val="center"/>
              <w:rPr>
                <w:rFonts w:hint="default" w:ascii="Times New Roman" w:cs="宋体"/>
                <w:b/>
                <w:color w:val="auto"/>
                <w:sz w:val="20"/>
                <w:szCs w:val="20"/>
                <w:highlight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9AAB">
            <w:pPr>
              <w:jc w:val="center"/>
              <w:rPr>
                <w:rFonts w:hint="default" w:ascii="Times New Roman" w:cs="宋体"/>
                <w:b/>
                <w:color w:val="auto"/>
                <w:sz w:val="20"/>
                <w:szCs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B430">
            <w:pPr>
              <w:jc w:val="center"/>
              <w:rPr>
                <w:rFonts w:hint="default" w:ascii="Times New Roman" w:cs="宋体"/>
                <w:b/>
                <w:color w:val="auto"/>
                <w:sz w:val="20"/>
                <w:szCs w:val="20"/>
                <w:highlight w:val="none"/>
              </w:rPr>
            </w:pPr>
          </w:p>
        </w:tc>
      </w:tr>
      <w:tr w14:paraId="19AD39D8">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2D6D">
            <w:pPr>
              <w:jc w:val="center"/>
              <w:rPr>
                <w:rFonts w:hint="default" w:ascii="Times New Roman" w:cs="宋体"/>
                <w:b/>
                <w:color w:val="auto"/>
                <w:sz w:val="20"/>
                <w:szCs w:val="20"/>
                <w:highlight w:val="none"/>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EC8D48">
            <w:pPr>
              <w:jc w:val="center"/>
              <w:rPr>
                <w:rFonts w:hint="default" w:ascii="Times New Roman" w:cs="宋体"/>
                <w:b/>
                <w:color w:val="auto"/>
                <w:sz w:val="20"/>
                <w:szCs w:val="20"/>
                <w:highlight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DC6C">
            <w:pPr>
              <w:jc w:val="center"/>
              <w:rPr>
                <w:rFonts w:hint="default" w:ascii="Times New Roman" w:cs="宋体"/>
                <w:b/>
                <w:color w:val="auto"/>
                <w:sz w:val="20"/>
                <w:szCs w:val="20"/>
                <w:highlight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0B4D">
            <w:pPr>
              <w:jc w:val="center"/>
              <w:rPr>
                <w:rFonts w:hint="default" w:ascii="Times New Roman" w:cs="宋体"/>
                <w:b/>
                <w:color w:val="auto"/>
                <w:sz w:val="20"/>
                <w:szCs w:val="20"/>
                <w:highlight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F848">
            <w:pPr>
              <w:jc w:val="center"/>
              <w:rPr>
                <w:rFonts w:hint="default" w:ascii="Times New Roman" w:cs="宋体"/>
                <w:b/>
                <w:color w:val="auto"/>
                <w:sz w:val="20"/>
                <w:szCs w:val="20"/>
                <w:highlight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6847">
            <w:pPr>
              <w:jc w:val="center"/>
              <w:rPr>
                <w:rFonts w:hint="default" w:ascii="Times New Roman" w:cs="宋体"/>
                <w:b/>
                <w:color w:val="auto"/>
                <w:sz w:val="20"/>
                <w:szCs w:val="20"/>
                <w:highlight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AB20">
            <w:pPr>
              <w:jc w:val="center"/>
              <w:rPr>
                <w:rFonts w:hint="default" w:ascii="Times New Roman" w:cs="宋体"/>
                <w:b/>
                <w:color w:val="auto"/>
                <w:sz w:val="20"/>
                <w:szCs w:val="20"/>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2C8A">
            <w:pPr>
              <w:jc w:val="center"/>
              <w:rPr>
                <w:rFonts w:hint="default" w:ascii="Times New Roman" w:cs="宋体"/>
                <w:b/>
                <w:color w:val="auto"/>
                <w:sz w:val="20"/>
                <w:szCs w:val="20"/>
                <w:highlight w:val="none"/>
              </w:rPr>
            </w:pPr>
          </w:p>
        </w:tc>
      </w:tr>
      <w:tr w14:paraId="714F5084">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52D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E433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2,379.24</w:t>
            </w:r>
            <w:r>
              <w:rPr>
                <w:rFonts w:ascii="Times New Roman" w:hAnsi="Times New Roman"/>
                <w:b/>
                <w:color w:val="auto"/>
                <w:sz w:val="20"/>
                <w:highlight w:val="none"/>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A33E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1,255.81</w:t>
            </w:r>
            <w:r>
              <w:rPr>
                <w:rFonts w:ascii="Times New Roman" w:hAnsi="Times New Roman"/>
                <w:b/>
                <w:color w:val="auto"/>
                <w:sz w:val="20"/>
                <w:highlight w:val="none"/>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36F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1,123.43</w:t>
            </w:r>
            <w:r>
              <w:rPr>
                <w:rFonts w:ascii="Times New Roman" w:hAnsi="Times New Roman"/>
                <w:b/>
                <w:color w:val="auto"/>
                <w:sz w:val="20"/>
                <w:highlight w:val="none"/>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15B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2BB0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6080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62C08A7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ED4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1B5AE">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377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1,797.36</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33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800.47</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867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996.89</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7BC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BC5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A20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0B5E2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836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3975">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369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1,775.96</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CB4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800.47</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2E4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975.49</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8D8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3C5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890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4D01B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31C7">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44EB7">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E04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E72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690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EBA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B5A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3D2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23A82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3D06">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1018">
            <w:pPr>
              <w:textAlignment w:val="center"/>
              <w:rPr>
                <w:rFonts w:hint="default" w:ascii="Times New Roman" w:cs="宋体"/>
                <w:color w:val="auto"/>
                <w:sz w:val="20"/>
                <w:szCs w:val="20"/>
                <w:highlight w:val="none"/>
              </w:rPr>
            </w:pPr>
            <w:r>
              <w:rPr>
                <w:rFonts w:ascii="Times New Roman" w:cs="宋体"/>
                <w:color w:val="auto"/>
                <w:sz w:val="20"/>
                <w:szCs w:val="20"/>
                <w:highlight w:val="none"/>
              </w:rPr>
              <w:t>社会事业发展规划</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01D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C30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4FB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D1E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D0A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456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173D7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ED41">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481A">
            <w:pPr>
              <w:textAlignment w:val="center"/>
              <w:rPr>
                <w:rFonts w:hint="default" w:ascii="Times New Roman" w:cs="宋体"/>
                <w:color w:val="auto"/>
                <w:sz w:val="20"/>
                <w:szCs w:val="20"/>
                <w:highlight w:val="none"/>
              </w:rPr>
            </w:pPr>
            <w:r>
              <w:rPr>
                <w:rFonts w:ascii="Times New Roman" w:cs="宋体"/>
                <w:color w:val="auto"/>
                <w:sz w:val="20"/>
                <w:szCs w:val="20"/>
                <w:highlight w:val="none"/>
              </w:rPr>
              <w:t>物价管理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78B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16A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A53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FFA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DEB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E93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2E9AE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499A">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B92AA">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1F1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411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AC3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A1C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C29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282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F8AF33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30B7">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1B669">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其他发展与改革事务支出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109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113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855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A23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D6D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796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F67B5B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EAE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7C37">
            <w:pPr>
              <w:textAlignment w:val="center"/>
              <w:rPr>
                <w:rFonts w:hint="default" w:ascii="Times New Roman" w:cs="宋体"/>
                <w:color w:val="auto"/>
                <w:sz w:val="20"/>
                <w:szCs w:val="20"/>
                <w:highlight w:val="none"/>
              </w:rPr>
            </w:pPr>
            <w:r>
              <w:rPr>
                <w:rFonts w:ascii="Times New Roman" w:cs="宋体"/>
                <w:b/>
                <w:color w:val="auto"/>
                <w:sz w:val="20"/>
                <w:szCs w:val="20"/>
                <w:highlight w:val="none"/>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BF2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936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B2F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0C8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2EF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E15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C436A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C9AC">
            <w:pPr>
              <w:textAlignment w:val="center"/>
              <w:rPr>
                <w:rFonts w:hint="default" w:ascii="Times New Roman" w:cs="宋体"/>
                <w:color w:val="auto"/>
                <w:sz w:val="20"/>
                <w:szCs w:val="20"/>
                <w:highlight w:val="none"/>
              </w:rPr>
            </w:pPr>
            <w:r>
              <w:rPr>
                <w:rFonts w:ascii="Times New Roman" w:cs="宋体"/>
                <w:color w:val="auto"/>
                <w:sz w:val="20"/>
                <w:szCs w:val="20"/>
                <w:highlight w:val="none"/>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3330">
            <w:pPr>
              <w:textAlignment w:val="center"/>
              <w:rPr>
                <w:rFonts w:hint="default" w:ascii="Times New Roman" w:cs="宋体"/>
                <w:color w:val="auto"/>
                <w:sz w:val="20"/>
                <w:szCs w:val="20"/>
                <w:highlight w:val="none"/>
              </w:rPr>
            </w:pPr>
            <w:r>
              <w:rPr>
                <w:rFonts w:ascii="Times New Roman" w:cs="宋体"/>
                <w:color w:val="auto"/>
                <w:sz w:val="20"/>
                <w:szCs w:val="20"/>
                <w:highlight w:val="none"/>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E3A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524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36D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8EC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B01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350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8E2599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7FD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1D5C">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56B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59D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E86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E9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7BD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96F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1347CF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44B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9C1DF">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5F8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1E3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867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747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0F2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0EC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A353AB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971B">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B793">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267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47B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315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87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4B5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BC6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1A8855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98A4">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2DDEE">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AE9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94.09</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8AF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94.09</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A67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1EB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E18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1A0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47628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501F">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A89E">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93F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58.58</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71F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58.58</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BF6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B59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6A7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4F1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27354F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F170">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F82F8">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D92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015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680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410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B2E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7B4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9B2A7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439F">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7419F">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031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A3C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713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BCD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79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918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4E583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258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7C52">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727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74D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263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EB3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07D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C18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9BF11E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B0BE">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FE2D3">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D5B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462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3C7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34C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E3E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6C0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2E810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53DD">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60703">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F5B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15.90</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744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15.90</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023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C18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218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3AB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4E6511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1570">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63C82">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1ED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22.21</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D3B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22.21</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9B7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02C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D71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E27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1BC094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849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3BFC4">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73F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154.96</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302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5BB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88.04</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159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501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AFA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345059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2835">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BCC3">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0D9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154.96</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780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9BA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88.04</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228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531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EE3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4B30CF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2879">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86EA">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1A5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154.96</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4BA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66.91</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45A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88.04</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34A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5F6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8A9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FFDEF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5E0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096AB">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F05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D7C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140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ABA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672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712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8371A9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D37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82A69">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5C4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874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114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4FE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9FC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AD1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02306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A2A5">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6C5FD">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A0F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61.92</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A0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61.92</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D0E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B30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9B1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BDF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7FDAC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0EF5">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4D0C">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粮油物资储备支出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B39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ACA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45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C67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129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505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EB21EA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15D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3810">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粮油储备</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D36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B84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28A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A01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66A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130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62B374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528D">
            <w:pPr>
              <w:textAlignment w:val="center"/>
              <w:rPr>
                <w:rFonts w:hint="default" w:ascii="Times New Roman" w:cs="宋体"/>
                <w:color w:val="auto"/>
                <w:sz w:val="20"/>
                <w:szCs w:val="20"/>
                <w:highlight w:val="none"/>
              </w:rPr>
            </w:pPr>
            <w:r>
              <w:rPr>
                <w:rFonts w:ascii="Times New Roman" w:cs="宋体"/>
                <w:color w:val="auto"/>
                <w:sz w:val="20"/>
                <w:szCs w:val="20"/>
                <w:highlight w:val="none"/>
              </w:rPr>
              <w:t>2220401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557D5">
            <w:pPr>
              <w:textAlignment w:val="center"/>
              <w:rPr>
                <w:rFonts w:hint="default" w:ascii="Times New Roman" w:cs="宋体"/>
                <w:color w:val="auto"/>
                <w:sz w:val="20"/>
                <w:szCs w:val="20"/>
                <w:highlight w:val="none"/>
              </w:rPr>
            </w:pPr>
            <w:r>
              <w:rPr>
                <w:rFonts w:ascii="Times New Roman" w:cs="宋体"/>
                <w:color w:val="auto"/>
                <w:sz w:val="20"/>
                <w:szCs w:val="20"/>
                <w:highlight w:val="none"/>
              </w:rPr>
              <w:t>储备粮油补贴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FBF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0FF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304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0E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682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03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3C05B9D6">
      <w:pPr>
        <w:rPr>
          <w:rFonts w:hint="default" w:ascii="Times New Roman" w:cs="宋体"/>
          <w:color w:val="auto"/>
          <w:sz w:val="20"/>
          <w:szCs w:val="20"/>
          <w:highlight w:val="none"/>
        </w:rPr>
      </w:pPr>
      <w:r>
        <w:rPr>
          <w:rFonts w:ascii="Times New Roman" w:cs="宋体"/>
          <w:color w:val="auto"/>
          <w:sz w:val="20"/>
          <w:szCs w:val="20"/>
          <w:highlight w:val="none"/>
        </w:rPr>
        <w:t>备注：1.本表反映部门本年度各项支出情况。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376F8899">
      <w:pPr>
        <w:rPr>
          <w:rFonts w:hint="default" w:ascii="Times New Roman" w:cs="宋体"/>
          <w:color w:val="auto"/>
          <w:sz w:val="21"/>
          <w:szCs w:val="21"/>
          <w:highlight w:val="none"/>
        </w:rPr>
      </w:pPr>
      <w:r>
        <w:rPr>
          <w:rFonts w:ascii="Times New Roman" w:cs="宋体"/>
          <w:color w:val="auto"/>
          <w:sz w:val="21"/>
          <w:szCs w:val="21"/>
          <w:highlight w:val="none"/>
        </w:rPr>
        <w:br w:type="page"/>
      </w:r>
    </w:p>
    <w:p w14:paraId="50CEB2E0">
      <w:pPr>
        <w:rPr>
          <w:rFonts w:hint="default" w:ascii="Times New Roman" w:cs="宋体"/>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8812F0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BA994E">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财政拨款收入支出决算总表</w:t>
            </w:r>
          </w:p>
        </w:tc>
      </w:tr>
      <w:tr w14:paraId="0927A75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CDD66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丰都县发展和改革委员会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4ED76172">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75F016">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3F5B5E">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749B8B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04</w:t>
            </w:r>
            <w:r>
              <w:rPr>
                <w:rFonts w:ascii="Times New Roman" w:cs="宋体"/>
                <w:color w:val="auto"/>
                <w:sz w:val="20"/>
                <w:szCs w:val="20"/>
                <w:highlight w:val="none"/>
              </w:rPr>
              <w:t>表</w:t>
            </w:r>
          </w:p>
        </w:tc>
      </w:tr>
      <w:tr w14:paraId="7784CC9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03DD5D3">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0F00CE">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E2B35C">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A1ABCC">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BC0AE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45E3D93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9908">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BDB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支     出</w:t>
            </w:r>
          </w:p>
        </w:tc>
      </w:tr>
      <w:tr w14:paraId="1422D41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60C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95D4">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DBB4F">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F4D67">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r>
      <w:tr w14:paraId="2ABF5BA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A9DFD">
            <w:pPr>
              <w:spacing w:line="200" w:lineRule="exact"/>
              <w:jc w:val="center"/>
              <w:rPr>
                <w:rFonts w:hint="default" w:ascii="Times New Roman"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5DC6">
            <w:pPr>
              <w:spacing w:line="200" w:lineRule="exact"/>
              <w:jc w:val="center"/>
              <w:rPr>
                <w:rFonts w:hint="default" w:ascii="Times New Roman"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C502A">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49D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C2A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A0F8">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DEAF1">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国有资本经营预算财政拨款</w:t>
            </w:r>
          </w:p>
        </w:tc>
      </w:tr>
      <w:tr w14:paraId="272AC7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AE7F">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276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2,360.44</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F53F">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8E18">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1,797.36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B6FE">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1,797.36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A86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43D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7BC41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41C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187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D25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0DE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27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0D6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5FC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EAAA4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2BA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A6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FF7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B95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BE4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4B9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05D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B6F9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848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1AFDB9">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1D6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680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892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837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0C4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02E3D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B30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F4AC8">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6C8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8DD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245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36C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398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7035A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6CE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BA5FA">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0F5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C15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5BB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5A9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969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5DC2D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6F47">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BFEA29">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9F5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427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78B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F3D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938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40F40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2B0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28215B">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053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8B8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263.93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933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263.93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7B5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A5D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B8FE0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464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865AB">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CB6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667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62.58</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01B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62.58</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F27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91F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AAA4F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183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552D">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F8E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53A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7C0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E19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CA6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794E0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66E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88FA">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FF6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1B4A">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154.96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7291">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154.96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344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A81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1106E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E1B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6BA4">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A39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CE9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9BF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BEB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BB9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62520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46D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4473">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5CF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113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4AF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04C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B51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43E9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27C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D737">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A3D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6D5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35A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348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C58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2148B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F5C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3B8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BC9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D65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EEC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940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54A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C1915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D16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3860">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E7B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B2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1A1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FE1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9EF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4B0FE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1BF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2A4A">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676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925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A5D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CE1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37F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6F82A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EBA8">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85F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590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19D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501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7BF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5D5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18269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C28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147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6B5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38C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61.92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A5EE">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61.92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1B8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4F9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55D8B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CB1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39EA">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306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C10F">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38.50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968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38.50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235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B1F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54619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E78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351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0E3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7CC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23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0DA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2EE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F946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39C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52FB">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D22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361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2AA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684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02F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23FE6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BF69">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652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7A3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210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7F6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2AD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71D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A0FAE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E726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75E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1F4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ABE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14F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109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D3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254AD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22BE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318C">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08F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D55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F0E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65D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05F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4CBAB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C288A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D387">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8FE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7E9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58D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27F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715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623F8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493F">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762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2,360.44</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0746">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850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2,379.24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9FB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2,379.24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089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149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44920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7C6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59A5">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18.80</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BCB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787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A4C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548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34E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8D9A6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DFC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FA3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18.80</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DA5B5">
            <w:pPr>
              <w:spacing w:line="200" w:lineRule="exact"/>
              <w:rPr>
                <w:rFonts w:hint="default" w:ascii="Times New Roman"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44D3D4">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7BDC3">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50F448">
            <w:pPr>
              <w:spacing w:line="200" w:lineRule="exac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91437B">
            <w:pPr>
              <w:spacing w:line="200" w:lineRule="exact"/>
              <w:rPr>
                <w:rFonts w:hint="default" w:ascii="Times New Roman" w:hAnsi="Times New Roman"/>
                <w:color w:val="auto"/>
                <w:sz w:val="18"/>
                <w:szCs w:val="18"/>
                <w:highlight w:val="none"/>
              </w:rPr>
            </w:pPr>
          </w:p>
        </w:tc>
      </w:tr>
      <w:tr w14:paraId="74D5EB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0AD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B5A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3A0B">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340F">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4C5D">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60EA">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2C6E">
            <w:pPr>
              <w:spacing w:line="200" w:lineRule="exact"/>
              <w:jc w:val="right"/>
              <w:rPr>
                <w:rFonts w:hint="default" w:ascii="Times New Roman" w:hAnsi="Times New Roman"/>
                <w:color w:val="auto"/>
                <w:sz w:val="18"/>
                <w:szCs w:val="18"/>
                <w:highlight w:val="none"/>
              </w:rPr>
            </w:pPr>
          </w:p>
        </w:tc>
      </w:tr>
      <w:tr w14:paraId="2BAD4C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5F5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590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E390">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6E90">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C42A">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4B0C">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9EC6">
            <w:pPr>
              <w:spacing w:line="200" w:lineRule="exact"/>
              <w:jc w:val="right"/>
              <w:rPr>
                <w:rFonts w:hint="default" w:ascii="Times New Roman" w:hAnsi="Times New Roman"/>
                <w:color w:val="auto"/>
                <w:sz w:val="18"/>
                <w:szCs w:val="18"/>
                <w:highlight w:val="none"/>
              </w:rPr>
            </w:pPr>
          </w:p>
        </w:tc>
      </w:tr>
      <w:tr w14:paraId="57DC30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B4E9">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BD6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2,379.24</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BFED">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5F5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2,379.24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261F">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2,379.24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58C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49C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bl>
    <w:p w14:paraId="795856BB">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备注：1.本表反映部门本年度一般公共预算财政拨款、政府性基金预算财政拨款及国有资本经营预算财政拨款的总收支和年末结转结余情况。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77E30D1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8C56F6E">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一般公共预算财政拨款支出决算表</w:t>
            </w:r>
          </w:p>
        </w:tc>
      </w:tr>
      <w:tr w14:paraId="6571FA1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AE96A9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丰都县发展和改革委员会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DE3762B">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45A1DA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05</w:t>
            </w:r>
            <w:r>
              <w:rPr>
                <w:rFonts w:ascii="Times New Roman" w:cs="宋体"/>
                <w:color w:val="auto"/>
                <w:sz w:val="20"/>
                <w:szCs w:val="20"/>
                <w:highlight w:val="none"/>
              </w:rPr>
              <w:t>表</w:t>
            </w:r>
          </w:p>
        </w:tc>
      </w:tr>
      <w:tr w14:paraId="19F61B4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3BE4C6B">
            <w:pPr>
              <w:rPr>
                <w:rFonts w:hint="default" w:ascii="Times New Roman" w:cs="宋体"/>
                <w:color w:val="auto"/>
                <w:sz w:val="20"/>
                <w:szCs w:val="20"/>
                <w:highlight w:val="none"/>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87E00C7">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E2F12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DAEE669">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501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3769C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1947F59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D26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56FE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8B34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5BA9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AF44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02C2210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C5764">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010AC">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28A98">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2CDE2">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D3A9C">
            <w:pPr>
              <w:jc w:val="center"/>
              <w:rPr>
                <w:rFonts w:hint="default" w:ascii="Times New Roman" w:cs="宋体"/>
                <w:b/>
                <w:color w:val="auto"/>
                <w:sz w:val="20"/>
                <w:szCs w:val="20"/>
                <w:highlight w:val="none"/>
              </w:rPr>
            </w:pPr>
          </w:p>
        </w:tc>
      </w:tr>
      <w:tr w14:paraId="4F557F6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14AA">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7C192">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12D4D">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5CA6B">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4B5ED">
            <w:pPr>
              <w:jc w:val="center"/>
              <w:rPr>
                <w:rFonts w:hint="default" w:ascii="Times New Roman" w:cs="宋体"/>
                <w:b/>
                <w:color w:val="auto"/>
                <w:sz w:val="20"/>
                <w:szCs w:val="20"/>
                <w:highlight w:val="none"/>
              </w:rPr>
            </w:pPr>
          </w:p>
        </w:tc>
      </w:tr>
      <w:tr w14:paraId="10C908F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ECA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8512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2,379.24</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94A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1,255.81</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EF1A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1,123.43</w:t>
            </w:r>
            <w:r>
              <w:rPr>
                <w:rFonts w:ascii="Times New Roman" w:hAnsi="Times New Roman"/>
                <w:b/>
                <w:color w:val="auto"/>
                <w:sz w:val="20"/>
                <w:highlight w:val="none"/>
                <w:u w:color="auto"/>
              </w:rPr>
              <w:t xml:space="preserve"> </w:t>
            </w:r>
          </w:p>
        </w:tc>
      </w:tr>
      <w:tr w14:paraId="37B16F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86B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A56D3">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93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1,797.36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EA2B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800.47</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B328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996.89</w:t>
            </w:r>
            <w:r>
              <w:rPr>
                <w:rFonts w:ascii="Times New Roman" w:hAnsi="Times New Roman"/>
                <w:b/>
                <w:color w:val="auto"/>
                <w:sz w:val="20"/>
                <w:highlight w:val="none"/>
                <w:u w:color="auto"/>
              </w:rPr>
              <w:t xml:space="preserve"> </w:t>
            </w:r>
          </w:p>
        </w:tc>
      </w:tr>
      <w:tr w14:paraId="29CE9A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AD7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87D65">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603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1,775.96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25B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800.47</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6777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975.49</w:t>
            </w:r>
            <w:r>
              <w:rPr>
                <w:rFonts w:ascii="Times New Roman" w:hAnsi="Times New Roman"/>
                <w:b/>
                <w:color w:val="auto"/>
                <w:sz w:val="20"/>
                <w:highlight w:val="none"/>
                <w:u w:color="auto"/>
              </w:rPr>
              <w:t xml:space="preserve"> </w:t>
            </w:r>
          </w:p>
        </w:tc>
      </w:tr>
      <w:tr w14:paraId="6F2971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BC3B">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B8446">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E9F9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0BF1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183D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4D389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2892">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F065">
            <w:pPr>
              <w:textAlignment w:val="center"/>
              <w:rPr>
                <w:rFonts w:hint="default" w:ascii="Times New Roman" w:cs="宋体"/>
                <w:color w:val="auto"/>
                <w:sz w:val="20"/>
                <w:szCs w:val="20"/>
                <w:highlight w:val="none"/>
              </w:rPr>
            </w:pPr>
            <w:r>
              <w:rPr>
                <w:rFonts w:ascii="Times New Roman" w:cs="宋体"/>
                <w:color w:val="auto"/>
                <w:sz w:val="20"/>
                <w:szCs w:val="20"/>
                <w:highlight w:val="none"/>
              </w:rPr>
              <w:t>社会事业发展规划</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691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07C4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0C70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r>
      <w:tr w14:paraId="54296F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7388">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38A5">
            <w:pPr>
              <w:textAlignment w:val="center"/>
              <w:rPr>
                <w:rFonts w:hint="default" w:ascii="Times New Roman" w:cs="宋体"/>
                <w:color w:val="auto"/>
                <w:sz w:val="20"/>
                <w:szCs w:val="20"/>
                <w:highlight w:val="none"/>
              </w:rPr>
            </w:pPr>
            <w:r>
              <w:rPr>
                <w:rFonts w:ascii="Times New Roman" w:cs="宋体"/>
                <w:color w:val="auto"/>
                <w:sz w:val="20"/>
                <w:szCs w:val="20"/>
                <w:highlight w:val="none"/>
              </w:rPr>
              <w:t>物价管理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8EA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1D5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E837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r>
      <w:tr w14:paraId="206498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0A0C">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82F17">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1F1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575C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B47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33450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2D07">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0E08A">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其他发展与改革事务支出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9DFA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ED6E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6CE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r>
      <w:tr w14:paraId="5A2DBB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F60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23DE">
            <w:pPr>
              <w:textAlignment w:val="center"/>
              <w:rPr>
                <w:rFonts w:hint="default" w:ascii="Times New Roman" w:cs="宋体"/>
                <w:color w:val="auto"/>
                <w:sz w:val="20"/>
                <w:szCs w:val="20"/>
                <w:highlight w:val="none"/>
              </w:rPr>
            </w:pPr>
            <w:r>
              <w:rPr>
                <w:rFonts w:ascii="Times New Roman" w:cs="宋体"/>
                <w:b/>
                <w:color w:val="auto"/>
                <w:sz w:val="20"/>
                <w:szCs w:val="20"/>
                <w:highlight w:val="none"/>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350A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E91A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313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r>
      <w:tr w14:paraId="2986EB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32FB">
            <w:pPr>
              <w:textAlignment w:val="center"/>
              <w:rPr>
                <w:rFonts w:hint="default" w:ascii="Times New Roman" w:cs="宋体"/>
                <w:color w:val="auto"/>
                <w:sz w:val="20"/>
                <w:szCs w:val="20"/>
                <w:highlight w:val="none"/>
              </w:rPr>
            </w:pPr>
            <w:r>
              <w:rPr>
                <w:rFonts w:ascii="Times New Roman" w:cs="宋体"/>
                <w:color w:val="auto"/>
                <w:sz w:val="20"/>
                <w:szCs w:val="20"/>
                <w:highlight w:val="none"/>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0636">
            <w:pPr>
              <w:textAlignment w:val="center"/>
              <w:rPr>
                <w:rFonts w:hint="default" w:ascii="Times New Roman" w:cs="宋体"/>
                <w:color w:val="auto"/>
                <w:sz w:val="20"/>
                <w:szCs w:val="20"/>
                <w:highlight w:val="none"/>
              </w:rPr>
            </w:pPr>
            <w:r>
              <w:rPr>
                <w:rFonts w:ascii="Times New Roman" w:cs="宋体"/>
                <w:color w:val="auto"/>
                <w:sz w:val="20"/>
                <w:szCs w:val="20"/>
                <w:highlight w:val="none"/>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3112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A1C2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BF7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r>
      <w:tr w14:paraId="329AE3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67C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D95C">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C3F4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F6BA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1E3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FFD0E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9D0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F770F">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7C10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19F4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263.93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E6C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9DB3E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8913">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B509">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DAAF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88E2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D825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78932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E8B7">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7F4D0">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B83F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94.09</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8E7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94.09</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197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A3239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2396">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899C">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A56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58.58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A632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58.58</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3B2D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4F7F5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1DD8">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1C8C">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AB7F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1FF4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AF16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1E7F8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8C7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68D3">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9B6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3612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2E1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4CC9B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686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6D3BE">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ADC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CC3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62.58</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6109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4E265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2353">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570F">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DD61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E0CB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3420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DDE3F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B1FA">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B604">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94D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15.90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D20F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15.90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AF6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E1750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E525">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45044">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077F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22.21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891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22.21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6E5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0B74C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B7A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DBF54">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DD8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154.96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35F1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EE48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88.04</w:t>
            </w:r>
            <w:r>
              <w:rPr>
                <w:rFonts w:ascii="Times New Roman" w:hAnsi="Times New Roman"/>
                <w:b/>
                <w:color w:val="auto"/>
                <w:sz w:val="20"/>
                <w:highlight w:val="none"/>
                <w:u w:color="auto"/>
              </w:rPr>
              <w:t xml:space="preserve"> </w:t>
            </w:r>
          </w:p>
        </w:tc>
      </w:tr>
      <w:tr w14:paraId="5FD6DF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98A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82AA">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E041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154.96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CCE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66.91</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020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88.04</w:t>
            </w:r>
            <w:r>
              <w:rPr>
                <w:rFonts w:ascii="Times New Roman" w:hAnsi="Times New Roman"/>
                <w:b/>
                <w:color w:val="auto"/>
                <w:sz w:val="20"/>
                <w:highlight w:val="none"/>
                <w:u w:color="auto"/>
              </w:rPr>
              <w:t xml:space="preserve"> </w:t>
            </w:r>
          </w:p>
        </w:tc>
      </w:tr>
      <w:tr w14:paraId="070CCB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D43D">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651B">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459D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154.96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1CF3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66.91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F600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88.04</w:t>
            </w:r>
            <w:r>
              <w:rPr>
                <w:rFonts w:ascii="Times New Roman" w:hAnsi="Times New Roman"/>
                <w:color w:val="auto"/>
                <w:sz w:val="20"/>
                <w:highlight w:val="none"/>
                <w:u w:color="auto"/>
              </w:rPr>
              <w:t xml:space="preserve"> </w:t>
            </w:r>
          </w:p>
        </w:tc>
      </w:tr>
      <w:tr w14:paraId="5DA7F5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DE7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488EF">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E35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FD2C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F43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0C3A7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F17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A79C1">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3335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227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61.92</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BCB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A8654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4F8D">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2702F">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7F53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61.92</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7905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61.92</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9BD8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7C191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102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05F67">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粮油物资储备支出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EEB7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14DC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9BE4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r>
      <w:tr w14:paraId="645BE9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6DF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984C4">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粮油储备</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7A06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45A3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999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r>
      <w:tr w14:paraId="796969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EE73">
            <w:pPr>
              <w:textAlignment w:val="center"/>
              <w:rPr>
                <w:rFonts w:hint="default" w:ascii="Times New Roman" w:cs="宋体"/>
                <w:color w:val="auto"/>
                <w:sz w:val="20"/>
                <w:szCs w:val="20"/>
                <w:highlight w:val="none"/>
              </w:rPr>
            </w:pPr>
            <w:r>
              <w:rPr>
                <w:rFonts w:ascii="Times New Roman" w:cs="宋体"/>
                <w:color w:val="auto"/>
                <w:sz w:val="20"/>
                <w:szCs w:val="20"/>
                <w:highlight w:val="none"/>
              </w:rPr>
              <w:t>2220401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72ADE">
            <w:pPr>
              <w:textAlignment w:val="center"/>
              <w:rPr>
                <w:rFonts w:hint="default" w:ascii="Times New Roman" w:cs="宋体"/>
                <w:color w:val="auto"/>
                <w:sz w:val="20"/>
                <w:szCs w:val="20"/>
                <w:highlight w:val="none"/>
              </w:rPr>
            </w:pPr>
            <w:r>
              <w:rPr>
                <w:rFonts w:ascii="Times New Roman" w:cs="宋体"/>
                <w:color w:val="auto"/>
                <w:sz w:val="20"/>
                <w:szCs w:val="20"/>
                <w:highlight w:val="none"/>
              </w:rPr>
              <w:t>储备粮油补贴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1C3D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4FD7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72D2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r>
    </w:tbl>
    <w:p w14:paraId="675D38FC">
      <w:pPr>
        <w:rPr>
          <w:rFonts w:hint="default" w:ascii="Times New Roman" w:cs="宋体"/>
          <w:color w:val="auto"/>
          <w:sz w:val="21"/>
          <w:szCs w:val="21"/>
          <w:highlight w:val="none"/>
        </w:rPr>
      </w:pPr>
      <w:r>
        <w:rPr>
          <w:rFonts w:ascii="Times New Roman" w:cs="宋体"/>
          <w:color w:val="auto"/>
          <w:sz w:val="20"/>
          <w:szCs w:val="20"/>
          <w:highlight w:val="none"/>
        </w:rPr>
        <w:t>备注：1.本表反映部门本年度一般公共预算财政拨款支出情况。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1F10523E">
      <w:pPr>
        <w:ind w:firstLine="630" w:firstLineChars="3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7"/>
        <w:tblW w:w="4994" w:type="pct"/>
        <w:tblInd w:w="0" w:type="dxa"/>
        <w:tblLayout w:type="autofit"/>
        <w:tblCellMar>
          <w:top w:w="0" w:type="dxa"/>
          <w:left w:w="0" w:type="dxa"/>
          <w:bottom w:w="0" w:type="dxa"/>
          <w:right w:w="0" w:type="dxa"/>
        </w:tblCellMar>
      </w:tblPr>
      <w:tblGrid>
        <w:gridCol w:w="785"/>
        <w:gridCol w:w="2821"/>
        <w:gridCol w:w="1523"/>
        <w:gridCol w:w="856"/>
        <w:gridCol w:w="2016"/>
        <w:gridCol w:w="1401"/>
        <w:gridCol w:w="856"/>
        <w:gridCol w:w="3565"/>
        <w:gridCol w:w="1481"/>
      </w:tblGrid>
      <w:tr w14:paraId="14FCEFC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A96526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一般公共预算财政拨款基本支出决算表</w:t>
            </w:r>
          </w:p>
        </w:tc>
      </w:tr>
      <w:tr w14:paraId="1DBDE5E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22207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丰都县发展和改革委员会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44F01E07">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12DA8A2">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A8768E0">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66BC02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06</w:t>
            </w:r>
            <w:r>
              <w:rPr>
                <w:rFonts w:ascii="Times New Roman" w:cs="宋体"/>
                <w:color w:val="auto"/>
                <w:sz w:val="20"/>
                <w:szCs w:val="20"/>
                <w:highlight w:val="none"/>
              </w:rPr>
              <w:t>表</w:t>
            </w:r>
          </w:p>
        </w:tc>
      </w:tr>
      <w:tr w14:paraId="29D4D77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F4DF6A5">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E5313C">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57F2EE0">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3E53642">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FD79D6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2F0ABD3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AAF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BE66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w:t>
            </w:r>
          </w:p>
        </w:tc>
      </w:tr>
      <w:tr w14:paraId="79DDE3D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3F4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0CE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822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ACF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AC98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855D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B3D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DEBC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35D8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r>
      <w:tr w14:paraId="40807AC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B3E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856E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3B5B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69A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89D3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ED42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975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FA2F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D8B3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r>
      <w:tr w14:paraId="67B37D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02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82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47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974.41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5C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33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7C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163.15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6A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13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A6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1.71</w:t>
            </w:r>
            <w:r>
              <w:rPr>
                <w:rFonts w:ascii="Times New Roman" w:hAnsi="Times New Roman"/>
                <w:color w:val="auto"/>
                <w:sz w:val="18"/>
                <w:highlight w:val="none"/>
                <w:u w:color="auto"/>
              </w:rPr>
              <w:t xml:space="preserve"> </w:t>
            </w:r>
          </w:p>
        </w:tc>
      </w:tr>
      <w:tr w14:paraId="30CCA0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D1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2F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69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249.61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53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16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B2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25.84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26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1F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BA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12CF8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39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77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5E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75.22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F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5F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FD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0.61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C4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26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42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1.71</w:t>
            </w:r>
            <w:r>
              <w:rPr>
                <w:rFonts w:ascii="Times New Roman" w:hAnsi="Times New Roman"/>
                <w:color w:val="auto"/>
                <w:sz w:val="18"/>
                <w:highlight w:val="none"/>
                <w:u w:color="auto"/>
              </w:rPr>
              <w:t xml:space="preserve"> </w:t>
            </w:r>
          </w:p>
        </w:tc>
      </w:tr>
      <w:tr w14:paraId="797330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85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43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38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142.99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54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A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C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F6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45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E3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7E757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4B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2E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41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04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3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C8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0.03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1C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D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03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DF3DE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C6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BB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A6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224.41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0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5A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7C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7B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45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94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67CBA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6F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07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87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94.09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C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DB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AC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5.30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8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9A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C6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7ED4C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6C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6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10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58.58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3F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D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3F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15.36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A0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8E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1B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FCBD3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0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DE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5F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40.37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C0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E8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4F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DF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97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C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C8965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2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39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7F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8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A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A5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1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0A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81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E583F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E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F1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5F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7.17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1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59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AC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11.69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92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68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34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D4DAD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99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22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F4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61.92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0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F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CF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B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76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C5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239AE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18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3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B9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20.04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8F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E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D1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0.25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FA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F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53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37964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48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E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39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DC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1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CF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D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4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EE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82FB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DD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C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69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116.55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AC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2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6F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F1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2A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63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27D11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B2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3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E8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3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C3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4C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22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8A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6E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0E7CF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E0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2A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30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C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5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F7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3.75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30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11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D9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61D77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25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8A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1B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2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5E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8B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F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F8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BF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E7644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32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62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00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21.60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E2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97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83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28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A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07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C7756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3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44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3A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91.05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3F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9A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0C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10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24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40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BA2EC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0F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EC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B9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8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1F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F8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8.48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DC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67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E7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D17DB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17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D6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48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3.90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4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48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28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0.61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2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40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64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840C4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19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89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78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7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8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95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37.82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1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DE1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cs="宋体"/>
                <w:color w:val="auto"/>
                <w:sz w:val="18"/>
                <w:szCs w:val="18"/>
                <w:highlight w:val="none"/>
              </w:rPr>
            </w:pPr>
            <w:r>
              <w:rPr>
                <w:rFonts w:ascii="Times New Roman" w:cs="宋体"/>
                <w:color w:val="auto"/>
                <w:sz w:val="18"/>
                <w:szCs w:val="18"/>
                <w:highlight w:val="none"/>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75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57300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9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99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14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7E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1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CF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3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53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88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8C5C2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05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F5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7F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E5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63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16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5.31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5E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63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FB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857A5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F8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07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F8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69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23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2B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19.03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F3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A6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83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68759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1F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7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37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D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3F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62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1D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E9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75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96566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486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CC3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0BDAF">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11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1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97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24.74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0A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3C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47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0295E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A310">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13C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E0D0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15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7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FD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BD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6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34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59696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167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611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6C0240">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BD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C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D5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E9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3A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69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4D872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F3A8">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49D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7214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ED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D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91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860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BC26">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34F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343528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FE80">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BABF">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4CFE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7E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97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F1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442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B36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342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73752AC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A81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E6DF">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112F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D3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03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0E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AC0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0B2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CBA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13EB3AE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B2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85403">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1,090.96</w:t>
            </w:r>
            <w:r>
              <w:rPr>
                <w:rFonts w:ascii="Times New Roman" w:hAnsi="Times New Roman"/>
                <w:color w:val="auto"/>
                <w:sz w:val="18"/>
                <w:highlight w:val="none"/>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12B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0E4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164.85</w:t>
            </w:r>
            <w:r>
              <w:rPr>
                <w:rFonts w:ascii="Times New Roman" w:hAnsi="Times New Roman"/>
                <w:color w:val="auto"/>
                <w:sz w:val="18"/>
                <w:highlight w:val="none"/>
                <w:u w:color="auto"/>
              </w:rPr>
              <w:t xml:space="preserve"> </w:t>
            </w:r>
          </w:p>
        </w:tc>
      </w:tr>
    </w:tbl>
    <w:p w14:paraId="3CFC5D0C">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20"/>
          <w:szCs w:val="20"/>
          <w:highlight w:val="none"/>
        </w:rPr>
      </w:pPr>
      <w:r>
        <w:rPr>
          <w:rFonts w:ascii="Times New Roman" w:cs="宋体"/>
          <w:color w:val="auto"/>
          <w:sz w:val="20"/>
          <w:szCs w:val="20"/>
          <w:highlight w:val="none"/>
        </w:rPr>
        <w:t>备注：1.本表反映部门本年度一般公共预算财政拨款基本支出明细情况。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6F28953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5E5651">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政府性基金预算财政拨款收入支出决算表</w:t>
            </w:r>
          </w:p>
        </w:tc>
      </w:tr>
      <w:tr w14:paraId="04980E2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7A4AED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丰都县发展和改革委员会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095085DC">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C03E75">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4BC100">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B31FCE9">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63FE2E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07</w:t>
            </w:r>
            <w:r>
              <w:rPr>
                <w:rFonts w:ascii="Times New Roman" w:cs="宋体"/>
                <w:color w:val="auto"/>
                <w:sz w:val="20"/>
                <w:szCs w:val="20"/>
                <w:highlight w:val="none"/>
              </w:rPr>
              <w:t>表</w:t>
            </w:r>
          </w:p>
        </w:tc>
      </w:tr>
      <w:tr w14:paraId="51DB7160">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3648765">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7CD5B8">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C273CF">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A6F623">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EFFD9F">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432A2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0B5BD95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AFA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AE17E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9E5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F2B2F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2A8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年末结转和结余</w:t>
            </w:r>
          </w:p>
        </w:tc>
      </w:tr>
      <w:tr w14:paraId="07FB9AB7">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156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4E0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1F2731">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6EB3">
            <w:pPr>
              <w:jc w:val="center"/>
              <w:rPr>
                <w:rFonts w:hint="default" w:ascii="Times New Roman"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9139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E4CC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4E3B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7F2A">
            <w:pPr>
              <w:jc w:val="center"/>
              <w:rPr>
                <w:rFonts w:hint="default" w:ascii="Times New Roman" w:cs="宋体"/>
                <w:b/>
                <w:color w:val="auto"/>
                <w:sz w:val="20"/>
                <w:szCs w:val="20"/>
                <w:highlight w:val="none"/>
              </w:rPr>
            </w:pPr>
          </w:p>
        </w:tc>
      </w:tr>
      <w:tr w14:paraId="5DCE6F14">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13AA">
            <w:pPr>
              <w:jc w:val="center"/>
              <w:rPr>
                <w:rFonts w:hint="default" w:ascii="Times New Roman" w:cs="宋体"/>
                <w:b/>
                <w:color w:val="auto"/>
                <w:sz w:val="20"/>
                <w:szCs w:val="20"/>
                <w:highlight w:val="none"/>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5BFD">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C53890">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88E6">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A47EA">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5EA6A">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842F9">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3CAD">
            <w:pPr>
              <w:jc w:val="center"/>
              <w:rPr>
                <w:rFonts w:hint="default" w:ascii="Times New Roman" w:cs="宋体"/>
                <w:b/>
                <w:color w:val="auto"/>
                <w:sz w:val="20"/>
                <w:szCs w:val="20"/>
                <w:highlight w:val="none"/>
              </w:rPr>
            </w:pPr>
          </w:p>
        </w:tc>
      </w:tr>
      <w:tr w14:paraId="5CDAB257">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2A83">
            <w:pPr>
              <w:jc w:val="center"/>
              <w:rPr>
                <w:rFonts w:hint="default" w:ascii="Times New Roman" w:cs="宋体"/>
                <w:b/>
                <w:color w:val="auto"/>
                <w:sz w:val="20"/>
                <w:szCs w:val="20"/>
                <w:highlight w:val="none"/>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C515">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B8DAD6">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83F4E">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C3747">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EE2F7">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3D81F">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16D2">
            <w:pPr>
              <w:jc w:val="center"/>
              <w:rPr>
                <w:rFonts w:hint="default" w:ascii="Times New Roman" w:cs="宋体"/>
                <w:b/>
                <w:color w:val="auto"/>
                <w:sz w:val="20"/>
                <w:szCs w:val="20"/>
                <w:highlight w:val="none"/>
              </w:rPr>
            </w:pPr>
          </w:p>
        </w:tc>
      </w:tr>
      <w:tr w14:paraId="77E933A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79BE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7612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C3E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B46E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FC52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0E3F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59E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58D0A0D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5C19">
            <w:pPr>
              <w:jc w:val="both"/>
              <w:textAlignment w:val="center"/>
              <w:rPr>
                <w:rFonts w:hint="default" w:ascii="Times New Roman" w:cs="宋体"/>
                <w:color w:val="auto"/>
                <w:sz w:val="20"/>
                <w:szCs w:val="20"/>
                <w:highlight w:val="none"/>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6AF32">
            <w:pPr>
              <w:jc w:val="both"/>
              <w:textAlignment w:val="center"/>
              <w:rPr>
                <w:rFonts w:hint="default" w:ascii="Times New Roman" w:cs="宋体"/>
                <w:color w:val="auto"/>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74DE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093F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4526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099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E0B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206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2F2B5243">
      <w:pPr>
        <w:rPr>
          <w:rFonts w:hint="default" w:ascii="Times New Roman" w:cs="宋体"/>
          <w:color w:val="auto"/>
          <w:sz w:val="21"/>
          <w:szCs w:val="21"/>
          <w:highlight w:val="none"/>
        </w:rPr>
      </w:pPr>
      <w:r>
        <w:rPr>
          <w:rFonts w:ascii="Times New Roman" w:cs="宋体"/>
          <w:color w:val="auto"/>
          <w:sz w:val="20"/>
          <w:szCs w:val="20"/>
          <w:highlight w:val="none"/>
        </w:rPr>
        <w:t>备注：本部门无政府性基金收支，故本表无数据。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59CDBD7">
      <w:pPr>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5D7A524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7650E34">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国有资本经营预算财政拨款支出决算表</w:t>
            </w:r>
          </w:p>
        </w:tc>
      </w:tr>
      <w:tr w14:paraId="3B213D4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825DD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hint="eastAsia" w:ascii="Times New Roman" w:cs="宋体"/>
                <w:color w:val="auto"/>
                <w:sz w:val="20"/>
                <w:szCs w:val="20"/>
                <w:highlight w:val="none"/>
                <w:lang w:eastAsia="zh-CN"/>
              </w:rPr>
              <w:t>部门</w:t>
            </w:r>
            <w:r>
              <w:rPr>
                <w:rFonts w:ascii="Times New Roman" w:cs="宋体"/>
                <w:color w:val="auto"/>
                <w:sz w:val="20"/>
                <w:szCs w:val="20"/>
                <w:highlight w:val="none"/>
              </w:rPr>
              <w:t>：</w:t>
            </w:r>
            <w:r>
              <w:rPr>
                <w:rFonts w:ascii="Times New Roman"/>
                <w:color w:val="auto"/>
                <w:sz w:val="20"/>
                <w:highlight w:val="none"/>
                <w:u w:color="auto"/>
              </w:rPr>
              <w:t>丰都县发展和改革委员会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A3F52F">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3FCBCD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08</w:t>
            </w:r>
            <w:r>
              <w:rPr>
                <w:rFonts w:ascii="Times New Roman" w:cs="宋体"/>
                <w:color w:val="auto"/>
                <w:sz w:val="20"/>
                <w:szCs w:val="20"/>
                <w:highlight w:val="none"/>
              </w:rPr>
              <w:t>表</w:t>
            </w:r>
          </w:p>
        </w:tc>
      </w:tr>
      <w:tr w14:paraId="4FC5757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7175B10">
            <w:pPr>
              <w:rPr>
                <w:rFonts w:hint="default" w:ascii="Times New Roman"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4EFBE8">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B4468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2BE17DB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691FB6">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45E2E">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3A31E575">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4FD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1D6E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A85E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39BB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06BC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3367E7E2">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4CD5E">
            <w:pPr>
              <w:jc w:val="center"/>
              <w:rPr>
                <w:rFonts w:hint="default" w:ascii="Times New Roman" w:cs="宋体"/>
                <w:b/>
                <w:color w:val="auto"/>
                <w:sz w:val="20"/>
                <w:szCs w:val="20"/>
                <w:highlight w:val="none"/>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647D3">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CB7C8">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79124">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977AF">
            <w:pPr>
              <w:jc w:val="center"/>
              <w:rPr>
                <w:rFonts w:hint="default" w:ascii="Times New Roman" w:cs="宋体"/>
                <w:b/>
                <w:color w:val="auto"/>
                <w:sz w:val="20"/>
                <w:szCs w:val="20"/>
                <w:highlight w:val="none"/>
              </w:rPr>
            </w:pPr>
          </w:p>
        </w:tc>
      </w:tr>
      <w:tr w14:paraId="11F3FEFC">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4DF7">
            <w:pPr>
              <w:jc w:val="center"/>
              <w:rPr>
                <w:rFonts w:hint="default" w:ascii="Times New Roman" w:cs="宋体"/>
                <w:b/>
                <w:color w:val="auto"/>
                <w:sz w:val="20"/>
                <w:szCs w:val="20"/>
                <w:highlight w:val="none"/>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9E9F9">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DB2D">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FE369">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A4F55">
            <w:pPr>
              <w:jc w:val="center"/>
              <w:rPr>
                <w:rFonts w:hint="default" w:ascii="Times New Roman" w:cs="宋体"/>
                <w:b/>
                <w:color w:val="auto"/>
                <w:sz w:val="20"/>
                <w:szCs w:val="20"/>
                <w:highlight w:val="none"/>
              </w:rPr>
            </w:pPr>
          </w:p>
        </w:tc>
      </w:tr>
      <w:tr w14:paraId="2C43600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E3B3">
            <w:pPr>
              <w:jc w:val="center"/>
              <w:rPr>
                <w:rFonts w:hint="default" w:ascii="Times New Roman" w:cs="宋体"/>
                <w:b/>
                <w:color w:val="auto"/>
                <w:sz w:val="20"/>
                <w:szCs w:val="20"/>
                <w:highlight w:val="none"/>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4B009">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0AFE2">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D9C6C">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321B7">
            <w:pPr>
              <w:jc w:val="center"/>
              <w:rPr>
                <w:rFonts w:hint="default" w:ascii="Times New Roman" w:cs="宋体"/>
                <w:b/>
                <w:color w:val="auto"/>
                <w:sz w:val="20"/>
                <w:szCs w:val="20"/>
                <w:highlight w:val="none"/>
              </w:rPr>
            </w:pPr>
          </w:p>
        </w:tc>
      </w:tr>
      <w:tr w14:paraId="061B2B0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DA10">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4621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A2167">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044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460B32A7">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53B6">
            <w:pPr>
              <w:textAlignment w:val="center"/>
              <w:rPr>
                <w:rFonts w:hint="default" w:ascii="Times New Roman" w:cs="宋体"/>
                <w:color w:val="auto"/>
                <w:sz w:val="20"/>
                <w:szCs w:val="20"/>
                <w:highlight w:val="none"/>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FB97A">
            <w:pPr>
              <w:textAlignment w:val="center"/>
              <w:rPr>
                <w:rFonts w:hint="default" w:ascii="Times New Roman" w:cs="宋体"/>
                <w:color w:val="auto"/>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B36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43388">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AD2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r>
    </w:tbl>
    <w:p w14:paraId="01306784">
      <w:pPr>
        <w:rPr>
          <w:rFonts w:hint="default" w:ascii="Times New Roman" w:cs="宋体"/>
          <w:color w:val="auto"/>
          <w:sz w:val="21"/>
          <w:szCs w:val="21"/>
          <w:highlight w:val="none"/>
        </w:rPr>
      </w:pPr>
      <w:r>
        <w:rPr>
          <w:rFonts w:ascii="Times New Roman" w:cs="宋体"/>
          <w:color w:val="auto"/>
          <w:sz w:val="20"/>
          <w:szCs w:val="20"/>
          <w:highlight w:val="none"/>
        </w:rPr>
        <w:t>备注：本部门无国有资本经营收支，故本表无数据。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6536A7F7">
      <w:pPr>
        <w:rPr>
          <w:rFonts w:hint="default" w:ascii="Times New Roman" w:cs="宋体"/>
          <w:color w:val="auto"/>
          <w:sz w:val="21"/>
          <w:szCs w:val="21"/>
          <w:highlight w:val="none"/>
        </w:rPr>
      </w:pPr>
      <w:r>
        <w:rPr>
          <w:rFonts w:hint="default" w:ascii="Times New Roman" w:cs="宋体"/>
          <w:color w:val="auto"/>
          <w:sz w:val="21"/>
          <w:szCs w:val="21"/>
          <w:highlight w:val="none"/>
        </w:rPr>
        <w:br w:type="page"/>
      </w:r>
    </w:p>
    <w:tbl>
      <w:tblPr>
        <w:tblStyle w:val="7"/>
        <w:tblW w:w="4611" w:type="pct"/>
        <w:tblInd w:w="0" w:type="dxa"/>
        <w:tblLayout w:type="autofit"/>
        <w:tblCellMar>
          <w:top w:w="0" w:type="dxa"/>
          <w:left w:w="170" w:type="dxa"/>
          <w:bottom w:w="0" w:type="dxa"/>
          <w:right w:w="170" w:type="dxa"/>
        </w:tblCellMar>
      </w:tblPr>
      <w:tblGrid>
        <w:gridCol w:w="3128"/>
        <w:gridCol w:w="2369"/>
        <w:gridCol w:w="2327"/>
        <w:gridCol w:w="3860"/>
        <w:gridCol w:w="2446"/>
      </w:tblGrid>
      <w:tr w14:paraId="64FA318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A257E3E">
            <w:pPr>
              <w:spacing w:line="400" w:lineRule="exact"/>
              <w:jc w:val="center"/>
              <w:textAlignment w:val="bottom"/>
              <w:rPr>
                <w:rFonts w:hint="default" w:ascii="Times New Roman" w:cs="宋体"/>
                <w:b/>
                <w:color w:val="auto"/>
                <w:kern w:val="2"/>
                <w:sz w:val="32"/>
                <w:szCs w:val="32"/>
                <w:highlight w:val="none"/>
              </w:rPr>
            </w:pPr>
            <w:r>
              <w:rPr>
                <w:rFonts w:ascii="Times New Roman" w:cs="宋体"/>
                <w:b/>
                <w:color w:val="auto"/>
                <w:kern w:val="2"/>
                <w:sz w:val="32"/>
                <w:szCs w:val="32"/>
                <w:highlight w:val="none"/>
              </w:rPr>
              <w:t>机构运行信息表</w:t>
            </w:r>
          </w:p>
        </w:tc>
      </w:tr>
      <w:tr w14:paraId="357CC61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216D684">
            <w:pPr>
              <w:spacing w:line="280" w:lineRule="exact"/>
              <w:rPr>
                <w:rFonts w:hint="default" w:ascii="Times New Roman" w:cs="宋体"/>
                <w:color w:val="auto"/>
                <w:kern w:val="2"/>
                <w:sz w:val="20"/>
                <w:szCs w:val="20"/>
                <w:highlight w:val="none"/>
              </w:rPr>
            </w:pPr>
          </w:p>
        </w:tc>
        <w:tc>
          <w:tcPr>
            <w:tcW w:w="854" w:type="pct"/>
            <w:shd w:val="clear" w:color="auto" w:fill="auto"/>
            <w:noWrap/>
            <w:tcMar>
              <w:top w:w="15" w:type="dxa"/>
              <w:left w:w="15" w:type="dxa"/>
              <w:right w:w="15" w:type="dxa"/>
            </w:tcMar>
            <w:vAlign w:val="bottom"/>
          </w:tcPr>
          <w:p w14:paraId="3D82FC96">
            <w:pPr>
              <w:spacing w:line="280" w:lineRule="exact"/>
              <w:jc w:val="center"/>
              <w:rPr>
                <w:rFonts w:hint="default" w:ascii="Times New Roman" w:cs="宋体"/>
                <w:color w:val="auto"/>
                <w:kern w:val="2"/>
                <w:sz w:val="20"/>
                <w:szCs w:val="20"/>
                <w:highlight w:val="none"/>
              </w:rPr>
            </w:pPr>
          </w:p>
        </w:tc>
        <w:tc>
          <w:tcPr>
            <w:tcW w:w="840" w:type="pct"/>
            <w:shd w:val="clear" w:color="auto" w:fill="auto"/>
            <w:noWrap/>
            <w:tcMar>
              <w:top w:w="15" w:type="dxa"/>
              <w:left w:w="15" w:type="dxa"/>
              <w:right w:w="15" w:type="dxa"/>
            </w:tcMar>
            <w:vAlign w:val="bottom"/>
          </w:tcPr>
          <w:p w14:paraId="1E58AA9E">
            <w:pPr>
              <w:spacing w:line="280" w:lineRule="exact"/>
              <w:jc w:val="right"/>
              <w:rPr>
                <w:rFonts w:hint="default" w:ascii="Times New Roman" w:cs="宋体"/>
                <w:color w:val="auto"/>
                <w:kern w:val="2"/>
                <w:sz w:val="20"/>
                <w:szCs w:val="20"/>
                <w:highlight w:val="none"/>
              </w:rPr>
            </w:pPr>
          </w:p>
        </w:tc>
        <w:tc>
          <w:tcPr>
            <w:tcW w:w="1299" w:type="pct"/>
            <w:shd w:val="clear" w:color="auto" w:fill="auto"/>
            <w:noWrap/>
            <w:tcMar>
              <w:top w:w="15" w:type="dxa"/>
              <w:left w:w="15" w:type="dxa"/>
              <w:right w:w="15" w:type="dxa"/>
            </w:tcMar>
            <w:vAlign w:val="bottom"/>
          </w:tcPr>
          <w:p w14:paraId="1D776859">
            <w:pPr>
              <w:spacing w:line="280" w:lineRule="exact"/>
              <w:rPr>
                <w:rFonts w:hint="default" w:ascii="Times New Roman" w:cs="宋体"/>
                <w:color w:val="auto"/>
                <w:kern w:val="2"/>
                <w:sz w:val="20"/>
                <w:szCs w:val="20"/>
                <w:highlight w:val="none"/>
              </w:rPr>
            </w:pPr>
          </w:p>
        </w:tc>
        <w:tc>
          <w:tcPr>
            <w:tcW w:w="879" w:type="pct"/>
            <w:shd w:val="clear" w:color="auto" w:fill="auto"/>
            <w:noWrap/>
            <w:tcMar>
              <w:top w:w="15" w:type="dxa"/>
              <w:left w:w="15" w:type="dxa"/>
              <w:right w:w="15" w:type="dxa"/>
            </w:tcMar>
            <w:vAlign w:val="bottom"/>
          </w:tcPr>
          <w:p w14:paraId="40979484">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公开</w:t>
            </w:r>
            <w:r>
              <w:rPr>
                <w:rFonts w:hint="default" w:ascii="Times New Roman" w:hAnsi="Times New Roman"/>
                <w:color w:val="auto"/>
                <w:kern w:val="2"/>
                <w:sz w:val="20"/>
                <w:szCs w:val="20"/>
                <w:highlight w:val="none"/>
              </w:rPr>
              <w:t>09</w:t>
            </w:r>
            <w:r>
              <w:rPr>
                <w:rFonts w:ascii="Times New Roman" w:cs="宋体"/>
                <w:color w:val="auto"/>
                <w:kern w:val="2"/>
                <w:sz w:val="20"/>
                <w:szCs w:val="20"/>
                <w:highlight w:val="none"/>
              </w:rPr>
              <w:t>表</w:t>
            </w:r>
          </w:p>
        </w:tc>
      </w:tr>
      <w:tr w14:paraId="23F850D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C69B24A">
            <w:pPr>
              <w:spacing w:line="280" w:lineRule="exact"/>
              <w:rPr>
                <w:rFonts w:hint="default" w:ascii="Times New Roman" w:cs="宋体"/>
                <w:color w:val="auto"/>
                <w:kern w:val="2"/>
                <w:sz w:val="20"/>
                <w:szCs w:val="20"/>
                <w:highlight w:val="none"/>
              </w:rPr>
            </w:pPr>
            <w:r>
              <w:rPr>
                <w:rFonts w:hint="eastAsia" w:ascii="Times New Roman" w:cs="宋体"/>
                <w:color w:val="auto"/>
                <w:sz w:val="20"/>
                <w:szCs w:val="20"/>
                <w:highlight w:val="none"/>
                <w:lang w:eastAsia="zh-CN"/>
              </w:rPr>
              <w:t>部门</w:t>
            </w:r>
            <w:r>
              <w:rPr>
                <w:rFonts w:ascii="Times New Roman" w:cs="宋体"/>
                <w:color w:val="auto"/>
                <w:kern w:val="2"/>
                <w:sz w:val="20"/>
                <w:szCs w:val="20"/>
                <w:highlight w:val="none"/>
              </w:rPr>
              <w:t>：</w:t>
            </w:r>
            <w:r>
              <w:rPr>
                <w:rFonts w:ascii="Times New Roman"/>
                <w:color w:val="auto"/>
                <w:sz w:val="20"/>
                <w:highlight w:val="none"/>
                <w:u w:color="auto"/>
              </w:rPr>
              <w:t>丰都县发展和改革委员会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DA7ADE3">
            <w:pPr>
              <w:spacing w:line="280" w:lineRule="exact"/>
              <w:jc w:val="right"/>
              <w:rPr>
                <w:rFonts w:hint="default" w:ascii="Times New Roman" w:cs="宋体"/>
                <w:color w:val="auto"/>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A9EC7A6">
            <w:pPr>
              <w:spacing w:line="280" w:lineRule="exact"/>
              <w:rPr>
                <w:rFonts w:hint="default" w:ascii="Times New Roman" w:cs="宋体"/>
                <w:color w:val="auto"/>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6021454">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单位：万元</w:t>
            </w:r>
          </w:p>
        </w:tc>
      </w:tr>
      <w:tr w14:paraId="25C1FA1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1C6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A45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DB3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AF3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312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r>
      <w:tr w14:paraId="011C118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998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CF8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246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4D7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9B2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98.51</w:t>
            </w:r>
            <w:r>
              <w:rPr>
                <w:rFonts w:ascii="Times New Roman" w:hAnsi="Times New Roman"/>
                <w:color w:val="auto"/>
                <w:sz w:val="18"/>
                <w:highlight w:val="none"/>
                <w:u w:color="auto"/>
              </w:rPr>
              <w:t xml:space="preserve"> </w:t>
            </w:r>
          </w:p>
        </w:tc>
      </w:tr>
      <w:tr w14:paraId="11D116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F2A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FD9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9.06</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9872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9.06</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B63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E80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98.51</w:t>
            </w:r>
            <w:r>
              <w:rPr>
                <w:rFonts w:ascii="Times New Roman" w:hAnsi="Times New Roman"/>
                <w:color w:val="auto"/>
                <w:sz w:val="18"/>
                <w:highlight w:val="none"/>
                <w:u w:color="auto"/>
              </w:rPr>
              <w:t xml:space="preserve"> </w:t>
            </w:r>
          </w:p>
        </w:tc>
      </w:tr>
      <w:tr w14:paraId="76F45B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1AC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CD5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3C29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16D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D35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F9F5B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E6E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A8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5.31</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8E8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5.31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D22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C2D9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711DD8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C18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187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E0B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240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756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w:t>
            </w:r>
            <w:r>
              <w:rPr>
                <w:rFonts w:ascii="Times New Roman" w:hAnsi="Times New Roman"/>
                <w:color w:val="auto"/>
                <w:sz w:val="18"/>
                <w:highlight w:val="none"/>
                <w:u w:color="auto"/>
              </w:rPr>
              <w:t xml:space="preserve"> </w:t>
            </w:r>
          </w:p>
        </w:tc>
      </w:tr>
      <w:tr w14:paraId="4148A7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34F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DB4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5.31</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88B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5.31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3BE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962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1438C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345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4F2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3.75</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A4E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3.75</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B63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20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7A9F3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B77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D4F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04C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3.75</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729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673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41916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B9A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63C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F27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DDF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06D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w:t>
            </w:r>
            <w:r>
              <w:rPr>
                <w:rFonts w:ascii="Times New Roman" w:hAnsi="Times New Roman"/>
                <w:color w:val="auto"/>
                <w:sz w:val="18"/>
                <w:highlight w:val="none"/>
                <w:u w:color="auto"/>
              </w:rPr>
              <w:t xml:space="preserve"> </w:t>
            </w:r>
          </w:p>
        </w:tc>
      </w:tr>
      <w:tr w14:paraId="266C41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706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2C0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27B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156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C45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92BCB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F88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CD2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3104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F16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A22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39DC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678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47D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F5A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639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80C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CCFEA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A5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5BD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A2A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3C9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835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26986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4C5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D45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EE7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DF2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3B1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84124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804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603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599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C67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1B52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15B228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E25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F24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B9E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61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072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412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118.00</w:t>
            </w:r>
            <w:r>
              <w:rPr>
                <w:rFonts w:ascii="Times New Roman" w:hAnsi="Times New Roman"/>
                <w:color w:val="auto"/>
                <w:sz w:val="18"/>
                <w:highlight w:val="none"/>
                <w:u w:color="auto"/>
              </w:rPr>
              <w:t xml:space="preserve"> </w:t>
            </w:r>
          </w:p>
        </w:tc>
      </w:tr>
      <w:tr w14:paraId="123078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138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745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2C3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74D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B1D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F3722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05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4C7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CF7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430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BB4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3CA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1B531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16F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2D3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D89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AE8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D12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118.00</w:t>
            </w:r>
            <w:r>
              <w:rPr>
                <w:rFonts w:ascii="Times New Roman" w:hAnsi="Times New Roman"/>
                <w:color w:val="auto"/>
                <w:sz w:val="18"/>
                <w:highlight w:val="none"/>
                <w:u w:color="auto"/>
              </w:rPr>
              <w:t xml:space="preserve"> </w:t>
            </w:r>
          </w:p>
        </w:tc>
      </w:tr>
      <w:tr w14:paraId="144079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A09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159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B64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7CA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A4C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118.00</w:t>
            </w:r>
            <w:r>
              <w:rPr>
                <w:rFonts w:ascii="Times New Roman" w:hAnsi="Times New Roman"/>
                <w:color w:val="auto"/>
                <w:sz w:val="18"/>
                <w:highlight w:val="none"/>
                <w:u w:color="auto"/>
              </w:rPr>
              <w:t xml:space="preserve"> </w:t>
            </w:r>
          </w:p>
        </w:tc>
      </w:tr>
      <w:tr w14:paraId="79C3AF3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F34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CF9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02B5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00C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6C5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9AA374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0DF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4DF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9D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1.48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B4F55">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E6BFC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0C227E5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31E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5DB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676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1.45</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3597B">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A7D6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085F862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069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sz w:val="16"/>
                <w:szCs w:val="16"/>
                <w:highlight w:val="none"/>
              </w:rPr>
            </w:pPr>
            <w:r>
              <w:rPr>
                <w:rFonts w:ascii="Times New Roman" w:cs="宋体"/>
                <w:b/>
                <w:bCs/>
                <w:color w:val="auto"/>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B81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BA2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25.64</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CE9EA">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AF3E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sz w:val="16"/>
                <w:szCs w:val="16"/>
                <w:highlight w:val="none"/>
              </w:rPr>
            </w:pPr>
          </w:p>
        </w:tc>
      </w:tr>
    </w:tbl>
    <w:p w14:paraId="1944BE7C">
      <w:pPr>
        <w:rPr>
          <w:rFonts w:hint="default" w:ascii="Times New Roman" w:cs="宋体"/>
          <w:color w:val="auto"/>
          <w:sz w:val="18"/>
          <w:szCs w:val="18"/>
          <w:highlight w:val="none"/>
        </w:rPr>
      </w:pPr>
      <w:r>
        <w:rPr>
          <w:rFonts w:ascii="Times New Roman" w:cs="宋体"/>
          <w:color w:val="auto"/>
          <w:sz w:val="18"/>
          <w:szCs w:val="18"/>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cs="宋体"/>
          <w:color w:val="auto"/>
          <w:sz w:val="18"/>
          <w:szCs w:val="18"/>
          <w:highlight w:val="none"/>
        </w:rPr>
        <w:br w:type="textWrapping"/>
      </w:r>
      <w:r>
        <w:rPr>
          <w:rFonts w:ascii="Times New Roman" w:cs="宋体"/>
          <w:color w:val="auto"/>
          <w:sz w:val="18"/>
          <w:szCs w:val="18"/>
          <w:highlight w:val="none"/>
        </w:rPr>
        <w:t xml:space="preserve">      2.本套报表金额单位转换时可能存在尾数误差。</w:t>
      </w:r>
      <w:r>
        <w:rPr>
          <w:rFonts w:ascii="Times New Roman" w:cs="宋体"/>
          <w:color w:val="auto"/>
          <w:sz w:val="18"/>
          <w:szCs w:val="18"/>
          <w:highlight w:val="none"/>
        </w:rPr>
        <w:br w:type="textWrapping"/>
      </w:r>
      <w:r>
        <w:rPr>
          <w:rFonts w:ascii="Times New Roman" w:cs="宋体"/>
          <w:color w:val="auto"/>
          <w:sz w:val="18"/>
          <w:szCs w:val="18"/>
          <w:highlight w:val="none"/>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360FD06-2962-4B72-94A1-8838ED2D516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3FF66A86-0556-4EB5-98FE-4248E0B3DA98}"/>
  </w:font>
  <w:font w:name="方正黑体_GBK">
    <w:panose1 w:val="03000509000000000000"/>
    <w:charset w:val="86"/>
    <w:family w:val="auto"/>
    <w:pitch w:val="default"/>
    <w:sig w:usb0="00000001" w:usb1="080E0000" w:usb2="00000000" w:usb3="00000000" w:csb0="00040000" w:csb1="00000000"/>
    <w:embedRegular r:id="rId3" w:fontKey="{4F4305D0-13AF-40A2-BF79-0433B3A527A4}"/>
  </w:font>
  <w:font w:name="方正仿宋_GBK">
    <w:panose1 w:val="03000509000000000000"/>
    <w:charset w:val="86"/>
    <w:family w:val="script"/>
    <w:pitch w:val="default"/>
    <w:sig w:usb0="00000001" w:usb1="080E0000" w:usb2="00000000" w:usb3="00000000" w:csb0="00040000" w:csb1="00000000"/>
    <w:embedRegular r:id="rId4" w:fontKey="{E3FD5225-AFEE-4CBC-A95E-4A31A133AF96}"/>
  </w:font>
  <w:font w:name="方正楷体_GBK">
    <w:panose1 w:val="03000509000000000000"/>
    <w:charset w:val="86"/>
    <w:family w:val="auto"/>
    <w:pitch w:val="default"/>
    <w:sig w:usb0="00000001" w:usb1="080E0000" w:usb2="00000000" w:usb3="00000000" w:csb0="00040000" w:csb1="00000000"/>
    <w:embedRegular r:id="rId5" w:fontKey="{1861A8A2-484D-41CF-B982-326E747259BC}"/>
  </w:font>
  <w:font w:name="微软雅黑">
    <w:panose1 w:val="020B0503020204020204"/>
    <w:charset w:val="86"/>
    <w:family w:val="auto"/>
    <w:pitch w:val="default"/>
    <w:sig w:usb0="80000287" w:usb1="280F3C52" w:usb2="00000016" w:usb3="00000000" w:csb0="0004001F" w:csb1="00000000"/>
    <w:embedRegular r:id="rId6" w:fontKey="{06F35214-2642-43EB-B55F-DD1FFC5143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80ECB">
    <w:pPr>
      <w:pStyle w:val="3"/>
      <w:spacing w:line="471" w:lineRule="auto"/>
      <w:rPr>
        <w:rFonts w:hint="default" w:ascii="Times New Roman"/>
        <w:sz w:val="28"/>
      </w:rPr>
    </w:pPr>
    <w:r>
      <w:rPr>
        <w:rFonts w:hint="default" w:ascii="Times New Roman"/>
        <w:sz w:val="28"/>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CC3FA11">
                <w:pPr>
                  <w:pStyle w:val="3"/>
                  <w:rPr>
                    <w:rFonts w:hint="default" w:ascii="宋体" w:hAnsi="宋体" w:eastAsia="宋体" w:cs="宋体"/>
                    <w:b w:val="0"/>
                    <w:bCs w:val="0"/>
                  </w:rPr>
                </w:pPr>
                <w:r>
                  <w:rPr>
                    <w:rFonts w:ascii="宋体" w:hAnsi="宋体" w:eastAsia="宋体" w:cs="宋体"/>
                    <w:b w:val="0"/>
                    <w:bCs w:val="0"/>
                  </w:rPr>
                  <w:fldChar w:fldCharType="begin"/>
                </w:r>
                <w:r>
                  <w:rPr>
                    <w:rFonts w:ascii="宋体" w:hAnsi="宋体" w:eastAsia="宋体" w:cs="宋体"/>
                    <w:b w:val="0"/>
                    <w:bCs w:val="0"/>
                  </w:rPr>
                  <w:instrText xml:space="preserve"> PAGE  \* MERGEFORMAT </w:instrText>
                </w:r>
                <w:r>
                  <w:rPr>
                    <w:rFonts w:ascii="宋体" w:hAnsi="宋体" w:eastAsia="宋体" w:cs="宋体"/>
                    <w:b w:val="0"/>
                    <w:bCs w:val="0"/>
                  </w:rPr>
                  <w:fldChar w:fldCharType="separate"/>
                </w:r>
                <w:r>
                  <w:rPr>
                    <w:rFonts w:hint="default" w:ascii="宋体" w:hAnsi="宋体" w:eastAsia="宋体" w:cs="宋体"/>
                    <w:b w:val="0"/>
                    <w:bCs w:val="0"/>
                  </w:rPr>
                  <w:t>- 21 -</w:t>
                </w:r>
                <w:r>
                  <w:rPr>
                    <w:rFonts w:ascii="宋体" w:hAnsi="宋体" w:eastAsia="宋体" w:cs="宋体"/>
                    <w:b w:val="0"/>
                    <w:bCs w:val="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D3D4">
    <w:pPr>
      <w:pStyle w:val="3"/>
      <w:jc w:val="both"/>
      <w:rPr>
        <w:rFonts w:hint="default" w:ascii="Times New Roman"/>
      </w:rPr>
    </w:pPr>
    <w:r>
      <w:rPr>
        <w:rFonts w:hint="default" w:ascii="Times New Roman"/>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14107A6">
                <w:pPr>
                  <w:pStyle w:val="3"/>
                  <w:rPr>
                    <w:rFonts w:hint="default" w:ascii="宋体" w:hAnsi="宋体" w:eastAsia="宋体" w:cs="宋体"/>
                    <w:b w:val="0"/>
                    <w:bCs w:val="0"/>
                  </w:rPr>
                </w:pPr>
                <w:r>
                  <w:rPr>
                    <w:rFonts w:ascii="宋体" w:hAnsi="宋体" w:eastAsia="宋体" w:cs="宋体"/>
                    <w:b w:val="0"/>
                    <w:bCs w:val="0"/>
                  </w:rPr>
                  <w:t xml:space="preserve"> </w:t>
                </w:r>
                <w:r>
                  <w:rPr>
                    <w:rFonts w:ascii="宋体" w:hAnsi="宋体" w:eastAsia="宋体" w:cs="宋体"/>
                    <w:b w:val="0"/>
                    <w:bCs w:val="0"/>
                  </w:rPr>
                  <w:fldChar w:fldCharType="begin"/>
                </w:r>
                <w:r>
                  <w:rPr>
                    <w:rFonts w:ascii="宋体" w:hAnsi="宋体" w:eastAsia="宋体" w:cs="宋体"/>
                    <w:b w:val="0"/>
                    <w:bCs w:val="0"/>
                  </w:rPr>
                  <w:instrText xml:space="preserve">PAGE   \* MERGEFORMAT</w:instrText>
                </w:r>
                <w:r>
                  <w:rPr>
                    <w:rFonts w:ascii="宋体" w:hAnsi="宋体" w:eastAsia="宋体" w:cs="宋体"/>
                    <w:b w:val="0"/>
                    <w:bCs w:val="0"/>
                  </w:rPr>
                  <w:fldChar w:fldCharType="separate"/>
                </w:r>
                <w:r>
                  <w:rPr>
                    <w:rFonts w:hint="default" w:ascii="宋体" w:hAnsi="宋体" w:eastAsia="宋体" w:cs="宋体"/>
                    <w:b w:val="0"/>
                    <w:bCs w:val="0"/>
                    <w:lang w:val="zh-CN"/>
                  </w:rPr>
                  <w:t>-</w:t>
                </w:r>
                <w:r>
                  <w:rPr>
                    <w:rFonts w:hint="default" w:ascii="宋体" w:hAnsi="宋体" w:eastAsia="宋体" w:cs="宋体"/>
                    <w:b w:val="0"/>
                    <w:bCs w:val="0"/>
                  </w:rPr>
                  <w:t xml:space="preserve"> 30 -</w:t>
                </w:r>
                <w:r>
                  <w:rPr>
                    <w:rFonts w:ascii="宋体" w:hAnsi="宋体" w:eastAsia="宋体" w:cs="宋体"/>
                    <w:b w:val="0"/>
                    <w:bCs w:val="0"/>
                  </w:rPr>
                  <w:fldChar w:fldCharType="end"/>
                </w:r>
                <w:r>
                  <w:rPr>
                    <w:rFonts w:ascii="宋体" w:hAnsi="宋体" w:eastAsia="宋体" w:cs="宋体"/>
                    <w:b w:val="0"/>
                    <w:bCs w:val="0"/>
                  </w:rPr>
                  <w:t xml:space="preserve"> </w:t>
                </w:r>
              </w:p>
            </w:txbxContent>
          </v:textbox>
        </v:shape>
      </w:pict>
    </w:r>
    <w:r>
      <w:rPr>
        <w:rFonts w:hint="default" w:ascii="Times New Roman"/>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54082B3">
                <w:pPr>
                  <w:pStyle w:val="3"/>
                  <w:jc w:val="both"/>
                  <w:rPr>
                    <w:rFonts w:hint="default" w:ascii="Times New Roman" w:cs="宋体"/>
                  </w:rPr>
                </w:pPr>
                <w:r>
                  <w:rPr>
                    <w:rFonts w:ascii="Times New Roman"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7F08">
    <w:pPr>
      <w:pStyle w:val="4"/>
      <w:rPr>
        <w:rFonts w:asci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D3CA">
    <w:pPr>
      <w:pStyle w:val="4"/>
      <w:tabs>
        <w:tab w:val="left" w:pos="1758"/>
        <w:tab w:val="clear" w:pos="4153"/>
        <w:tab w:val="clear" w:pos="8306"/>
      </w:tabs>
      <w:rPr>
        <w:rFonts w:hint="default"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41"/>
  <w:drawingGridVerticalSpacing w:val="290"/>
  <w:displayHorizontalDrawingGridEvery w:val="1"/>
  <w:displayVerticalDrawingGridEvery w:val="2"/>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OGM2OGU5MWMyY2NhOGM2ODZlOGI4ZWVlZTkzNWQ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393CBF"/>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417A2D"/>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A8D"/>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811DDB"/>
    <w:rsid w:val="1EA33588"/>
    <w:rsid w:val="1EB57761"/>
    <w:rsid w:val="1ECF0A66"/>
    <w:rsid w:val="1EF67CA4"/>
    <w:rsid w:val="1F020D3A"/>
    <w:rsid w:val="1F2C5189"/>
    <w:rsid w:val="1F4B0B02"/>
    <w:rsid w:val="1FBB35CD"/>
    <w:rsid w:val="1FCD26AF"/>
    <w:rsid w:val="20642787"/>
    <w:rsid w:val="20F4064E"/>
    <w:rsid w:val="21556F04"/>
    <w:rsid w:val="22403BD3"/>
    <w:rsid w:val="230001E7"/>
    <w:rsid w:val="23DA37D9"/>
    <w:rsid w:val="24B92327"/>
    <w:rsid w:val="24C14514"/>
    <w:rsid w:val="2533755C"/>
    <w:rsid w:val="25791755"/>
    <w:rsid w:val="26396DF4"/>
    <w:rsid w:val="267C5255"/>
    <w:rsid w:val="27167136"/>
    <w:rsid w:val="27B23302"/>
    <w:rsid w:val="29310A5F"/>
    <w:rsid w:val="2964062C"/>
    <w:rsid w:val="29C37A35"/>
    <w:rsid w:val="2A076083"/>
    <w:rsid w:val="2A73162E"/>
    <w:rsid w:val="2A751F0B"/>
    <w:rsid w:val="2ADF11A3"/>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5D036E9"/>
    <w:rsid w:val="36C9128A"/>
    <w:rsid w:val="372E3953"/>
    <w:rsid w:val="37841E99"/>
    <w:rsid w:val="37BF1123"/>
    <w:rsid w:val="383C3F15"/>
    <w:rsid w:val="38BE4696"/>
    <w:rsid w:val="39136E9F"/>
    <w:rsid w:val="3939115E"/>
    <w:rsid w:val="39B82A39"/>
    <w:rsid w:val="39C42CA8"/>
    <w:rsid w:val="39DC4FD6"/>
    <w:rsid w:val="39F03D7A"/>
    <w:rsid w:val="39F33306"/>
    <w:rsid w:val="3A2C1C67"/>
    <w:rsid w:val="3B1705E5"/>
    <w:rsid w:val="3B18334B"/>
    <w:rsid w:val="3B36794F"/>
    <w:rsid w:val="3C566AD6"/>
    <w:rsid w:val="3C6A5B02"/>
    <w:rsid w:val="3CD7052E"/>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9477A4"/>
    <w:rsid w:val="45CB699A"/>
    <w:rsid w:val="465B470D"/>
    <w:rsid w:val="469D6AD4"/>
    <w:rsid w:val="471E6C84"/>
    <w:rsid w:val="4748792B"/>
    <w:rsid w:val="475D719D"/>
    <w:rsid w:val="47674801"/>
    <w:rsid w:val="48225EF7"/>
    <w:rsid w:val="488F422B"/>
    <w:rsid w:val="48E36915"/>
    <w:rsid w:val="495C4A24"/>
    <w:rsid w:val="495F27BF"/>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430DEA"/>
    <w:rsid w:val="506D6427"/>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BE11020"/>
    <w:rsid w:val="5C0F7EC4"/>
    <w:rsid w:val="5C263CE4"/>
    <w:rsid w:val="5C5D2777"/>
    <w:rsid w:val="5CF66BF3"/>
    <w:rsid w:val="5D290C69"/>
    <w:rsid w:val="5F2D4A41"/>
    <w:rsid w:val="5F382F4C"/>
    <w:rsid w:val="60C74F6C"/>
    <w:rsid w:val="61025A59"/>
    <w:rsid w:val="613D5BBC"/>
    <w:rsid w:val="61536C39"/>
    <w:rsid w:val="61E64F4A"/>
    <w:rsid w:val="61ED7C8D"/>
    <w:rsid w:val="623E0993"/>
    <w:rsid w:val="62944DD7"/>
    <w:rsid w:val="6319381F"/>
    <w:rsid w:val="63236436"/>
    <w:rsid w:val="63C25DC5"/>
    <w:rsid w:val="63C62057"/>
    <w:rsid w:val="64571EF5"/>
    <w:rsid w:val="64CB0157"/>
    <w:rsid w:val="64FB113D"/>
    <w:rsid w:val="65036946"/>
    <w:rsid w:val="650C1294"/>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C6962C3"/>
    <w:rsid w:val="6C6E055A"/>
    <w:rsid w:val="6D903FF5"/>
    <w:rsid w:val="6DA955B8"/>
    <w:rsid w:val="6DE346AB"/>
    <w:rsid w:val="6DE5391A"/>
    <w:rsid w:val="6EFD1324"/>
    <w:rsid w:val="6F5A53AC"/>
    <w:rsid w:val="6FAC003D"/>
    <w:rsid w:val="6FE55E12"/>
    <w:rsid w:val="6FFB2E76"/>
    <w:rsid w:val="708F6F7F"/>
    <w:rsid w:val="70D94BD3"/>
    <w:rsid w:val="71C34D91"/>
    <w:rsid w:val="724179B2"/>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085777"/>
    <w:rsid w:val="7B24540B"/>
    <w:rsid w:val="7B420052"/>
    <w:rsid w:val="7B861484"/>
    <w:rsid w:val="7BD06A28"/>
    <w:rsid w:val="7C3A7C0B"/>
    <w:rsid w:val="7C5248E4"/>
    <w:rsid w:val="7C566698"/>
    <w:rsid w:val="7C5866A3"/>
    <w:rsid w:val="7CBE2F89"/>
    <w:rsid w:val="7D7406BB"/>
    <w:rsid w:val="7DE94331"/>
    <w:rsid w:val="7E021156"/>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Times New Roman" w:hAnsi="宋体" w:eastAsia="宋体" w:cs="Times New Roman"/>
      <w:sz w:val="24"/>
      <w:szCs w:val="24"/>
      <w:lang w:val="en-US" w:eastAsia="zh-CN" w:bidi="ar-SA"/>
    </w:rPr>
  </w:style>
  <w:style w:type="character" w:default="1" w:styleId="9">
    <w:name w:val="Default Paragraph Font"/>
    <w:semiHidden/>
    <w:unhideWhenUsed/>
    <w:qFormat/>
    <w:uiPriority w:val="1"/>
    <w:rPr>
      <w:rFonts w:ascii="Times New Roman"/>
    </w:rPr>
  </w:style>
  <w:style w:type="table" w:default="1" w:styleId="7">
    <w:name w:val="Normal Table"/>
    <w:semiHidden/>
    <w:unhideWhenUsed/>
    <w:qFormat/>
    <w:uiPriority w:val="99"/>
    <w:rPr>
      <w:rFonts w:ascii="Times New Roman"/>
    </w:rPr>
    <w:tblPr>
      <w:tblCellMar>
        <w:top w:w="0" w:type="dxa"/>
        <w:left w:w="108" w:type="dxa"/>
        <w:bottom w:w="0" w:type="dxa"/>
        <w:right w:w="108" w:type="dxa"/>
      </w:tblCellMar>
    </w:tblPr>
  </w:style>
  <w:style w:type="paragraph" w:styleId="2">
    <w:name w:val="Balloon Text"/>
    <w:basedOn w:val="1"/>
    <w:link w:val="15"/>
    <w:qFormat/>
    <w:uiPriority w:val="0"/>
    <w:rPr>
      <w:rFonts w:ascii="Times New Roman"/>
      <w:sz w:val="18"/>
      <w:szCs w:val="18"/>
    </w:rPr>
  </w:style>
  <w:style w:type="paragraph" w:styleId="3">
    <w:name w:val="footer"/>
    <w:basedOn w:val="1"/>
    <w:qFormat/>
    <w:uiPriority w:val="0"/>
    <w:pPr>
      <w:tabs>
        <w:tab w:val="center" w:pos="4153"/>
        <w:tab w:val="right" w:pos="8306"/>
      </w:tabs>
      <w:snapToGrid w:val="0"/>
    </w:pPr>
    <w:rPr>
      <w:rFonts w:ascii="Times New Roman"/>
      <w:sz w:val="18"/>
      <w:szCs w:val="18"/>
    </w:rPr>
  </w:style>
  <w:style w:type="paragraph" w:styleId="4">
    <w:name w:val="header"/>
    <w:basedOn w:val="1"/>
    <w:qFormat/>
    <w:uiPriority w:val="0"/>
    <w:pPr>
      <w:tabs>
        <w:tab w:val="center" w:pos="4153"/>
        <w:tab w:val="right" w:pos="8306"/>
      </w:tabs>
      <w:snapToGrid w:val="0"/>
      <w:jc w:val="center"/>
    </w:pPr>
    <w:rPr>
      <w:rFonts w:ascii="Times New Roman"/>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rPr>
  </w:style>
  <w:style w:type="paragraph" w:styleId="6">
    <w:name w:val="Normal (Web)"/>
    <w:basedOn w:val="1"/>
    <w:unhideWhenUsed/>
    <w:qFormat/>
    <w:uiPriority w:val="0"/>
    <w:pPr>
      <w:spacing w:before="100" w:beforeAutospacing="1" w:after="100" w:afterAutospacing="1"/>
    </w:pPr>
    <w:rPr>
      <w:rFonts w:ascii="Times New Roman"/>
    </w:rPr>
  </w:style>
  <w:style w:type="table" w:styleId="8">
    <w:name w:val="Table Grid"/>
    <w:basedOn w:val="7"/>
    <w:qFormat/>
    <w:uiPriority w:val="0"/>
    <w:pPr>
      <w:widowControl w:val="0"/>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ascii="Times New Roman"/>
    </w:rPr>
  </w:style>
  <w:style w:type="paragraph" w:customStyle="1" w:styleId="12">
    <w:name w:val="普通(网站) Char"/>
    <w:qFormat/>
    <w:uiPriority w:val="0"/>
    <w:pPr>
      <w:spacing w:before="100" w:beforeAutospacing="1" w:after="100" w:afterAutospacing="1"/>
    </w:pPr>
    <w:rPr>
      <w:rFonts w:ascii="Times New Roman" w:hAnsi="宋体" w:eastAsia="宋体" w:cs="Times New Roman"/>
      <w:sz w:val="24"/>
      <w:szCs w:val="24"/>
      <w:lang w:val="en-US" w:eastAsia="zh-CN" w:bidi="ar-SA"/>
    </w:rPr>
  </w:style>
  <w:style w:type="character" w:customStyle="1" w:styleId="13">
    <w:name w:val="21"/>
    <w:qFormat/>
    <w:uiPriority w:val="0"/>
    <w:rPr>
      <w:rFonts w:hint="default" w:ascii="Times New Roman" w:hAnsi="Wingdings" w:cs="Wingdings"/>
      <w:b/>
      <w:bCs/>
    </w:rPr>
  </w:style>
  <w:style w:type="paragraph" w:customStyle="1" w:styleId="14">
    <w:name w:val="列出段落2"/>
    <w:qFormat/>
    <w:uiPriority w:val="99"/>
    <w:pPr>
      <w:ind w:firstLine="420" w:firstLineChars="200"/>
    </w:pPr>
    <w:rPr>
      <w:rFonts w:ascii="Times New Roman" w:hAnsi="宋体" w:eastAsia="宋体" w:cs="Times New Roman"/>
      <w:sz w:val="24"/>
      <w:szCs w:val="24"/>
      <w:lang w:val="en-US" w:eastAsia="zh-CN" w:bidi="ar-SA"/>
    </w:rPr>
  </w:style>
  <w:style w:type="character" w:customStyle="1" w:styleId="15">
    <w:name w:val="批注框文本 Char"/>
    <w:basedOn w:val="9"/>
    <w:link w:val="2"/>
    <w:qFormat/>
    <w:uiPriority w:val="0"/>
    <w:rPr>
      <w:rFonts w:ascii="Times New Roman"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Times New Roman"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4958</Words>
  <Characters>5642</Characters>
  <Lines>186</Lines>
  <Paragraphs>52</Paragraphs>
  <TotalTime>10</TotalTime>
  <ScaleCrop>false</ScaleCrop>
  <LinksUpToDate>false</LinksUpToDate>
  <CharactersWithSpaces>5643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Dou</cp:lastModifiedBy>
  <dcterms:modified xsi:type="dcterms:W3CDTF">2025-09-17T09:14:29Z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eyJoZGlkIjoiZGZiN2JhZjBiZDVmYTE2Y2FlMDk3MzY3YTI4NjAzYTMiLCJ1c2VySWQiOiI1MTA1ODU5OTIifQ==</vt:lpwstr>
  </property>
</Properties>
</file>