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auto"/>
          <w:sz w:val="40"/>
          <w:szCs w:val="40"/>
          <w:highlight w:val="none"/>
        </w:rPr>
      </w:pPr>
      <w:r>
        <w:rPr>
          <w:rFonts w:hint="eastAsia" w:ascii="Times New Roman" w:hAnsi="Times New Roman" w:eastAsia="黑体" w:cs="Times New Roman"/>
          <w:color w:val="auto"/>
          <w:sz w:val="40"/>
          <w:szCs w:val="40"/>
          <w:highlight w:val="none"/>
          <w:lang w:val="zh-CN" w:eastAsia="zh-CN"/>
        </w:rPr>
        <w:t>丰都县包鸾镇亭子垭村花鹿池制灰用灰岩矿采矿权</w:t>
      </w:r>
      <w:r>
        <w:rPr>
          <w:rFonts w:ascii="Times New Roman" w:hAnsi="Times New Roman" w:eastAsia="黑体" w:cs="Times New Roman"/>
          <w:color w:val="auto"/>
          <w:sz w:val="40"/>
          <w:szCs w:val="40"/>
          <w:highlight w:val="none"/>
        </w:rPr>
        <w:t>拍卖出让公告</w:t>
      </w:r>
    </w:p>
    <w:p>
      <w:pPr>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渝矿采出字</w:t>
      </w:r>
      <w:r>
        <w:rPr>
          <w:rFonts w:hint="eastAsia" w:ascii="Times New Roman" w:hAnsi="Times New Roman" w:eastAsia="黑体" w:cs="Times New Roman"/>
          <w:color w:val="auto"/>
          <w:sz w:val="30"/>
          <w:szCs w:val="30"/>
          <w:highlight w:val="none"/>
        </w:rPr>
        <w:t>〔2024〕</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丰都</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lang w:val="en-US" w:eastAsia="zh-CN"/>
        </w:rPr>
        <w:t xml:space="preserve">8 </w:t>
      </w:r>
      <w:r>
        <w:rPr>
          <w:rFonts w:ascii="Times New Roman" w:hAnsi="Times New Roman" w:eastAsia="黑体" w:cs="Times New Roman"/>
          <w:color w:val="auto"/>
          <w:sz w:val="30"/>
          <w:szCs w:val="30"/>
          <w:highlight w:val="none"/>
        </w:rPr>
        <w:t>号</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根据国家和重庆市的相关规定，</w:t>
      </w:r>
      <w:r>
        <w:rPr>
          <w:rFonts w:hint="eastAsia" w:ascii="Times New Roman" w:hAnsi="Times New Roman" w:cs="Times New Roman"/>
          <w:color w:val="auto"/>
          <w:sz w:val="24"/>
          <w:szCs w:val="24"/>
          <w:highlight w:val="none"/>
        </w:rPr>
        <w:t>丰都县</w:t>
      </w:r>
      <w:r>
        <w:rPr>
          <w:rFonts w:ascii="Times New Roman" w:hAnsi="Times New Roman" w:cs="Times New Roman"/>
          <w:color w:val="auto"/>
          <w:sz w:val="24"/>
          <w:szCs w:val="24"/>
          <w:highlight w:val="none"/>
        </w:rPr>
        <w:t>规划和自然资源局决定公开拍卖出让以下采矿权，并委托</w:t>
      </w:r>
      <w:r>
        <w:rPr>
          <w:rFonts w:hint="eastAsia" w:ascii="Times New Roman" w:hAnsi="Times New Roman" w:cs="Times New Roman"/>
          <w:color w:val="auto"/>
          <w:sz w:val="24"/>
          <w:szCs w:val="24"/>
          <w:highlight w:val="none"/>
          <w:lang w:eastAsia="zh-CN"/>
        </w:rPr>
        <w:t>重庆市公共资源交易中心</w:t>
      </w:r>
      <w:r>
        <w:rPr>
          <w:rFonts w:ascii="Times New Roman" w:hAnsi="Times New Roman" w:cs="Times New Roman"/>
          <w:color w:val="auto"/>
          <w:sz w:val="24"/>
          <w:szCs w:val="24"/>
          <w:highlight w:val="none"/>
        </w:rPr>
        <w:t>负责公开出让交易环节的组织实施。现将有关事项公告如下：</w:t>
      </w:r>
    </w:p>
    <w:p>
      <w:pPr>
        <w:spacing w:line="360" w:lineRule="exact"/>
        <w:ind w:firstLine="480" w:firstLineChars="200"/>
        <w:rPr>
          <w:rFonts w:ascii="Times New Roman" w:hAnsi="Times New Roman" w:cs="Times New Roman"/>
          <w:b/>
          <w:color w:val="auto"/>
          <w:sz w:val="24"/>
          <w:szCs w:val="24"/>
          <w:highlight w:val="none"/>
        </w:rPr>
      </w:pPr>
      <w:r>
        <w:rPr>
          <w:rFonts w:ascii="Times New Roman" w:hAnsi="Times New Roman" w:cs="Times New Roman"/>
          <w:color w:val="auto"/>
          <w:sz w:val="24"/>
          <w:szCs w:val="24"/>
          <w:highlight w:val="none"/>
        </w:rPr>
        <w:t>本次公告同步发布的网站：中华人民共和国自然资源部（https://www.mnr.gov.cn/）、重庆市规划和自然资源局（http://ghzrzyj.cq.gov.cn）、</w:t>
      </w:r>
      <w:r>
        <w:rPr>
          <w:rFonts w:hint="eastAsia" w:ascii="Times New Roman" w:hAnsi="Times New Roman" w:cs="Times New Roman"/>
          <w:color w:val="auto"/>
          <w:sz w:val="24"/>
          <w:szCs w:val="24"/>
          <w:highlight w:val="none"/>
        </w:rPr>
        <w:t xml:space="preserve">重庆市公共资源交易网 </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https://www.cqggzy.com</w:t>
      </w:r>
      <w:r>
        <w:rPr>
          <w:rFonts w:hint="eastAsia" w:ascii="Times New Roman" w:hAnsi="Times New Roman" w:cs="Times New Roman"/>
          <w:color w:val="auto"/>
          <w:sz w:val="24"/>
          <w:szCs w:val="24"/>
          <w:highlight w:val="none"/>
          <w:lang w:eastAsia="zh-CN"/>
        </w:rPr>
        <w:t>）</w:t>
      </w:r>
      <w:r>
        <w:rPr>
          <w:rFonts w:ascii="Times New Roman" w:hAnsi="Times New Roman" w:cs="Times New Roman"/>
          <w:i/>
          <w:color w:val="auto"/>
          <w:sz w:val="24"/>
          <w:szCs w:val="24"/>
          <w:highlight w:val="none"/>
        </w:rPr>
        <w:t>。</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一、基本情况</w:t>
      </w:r>
    </w:p>
    <w:tbl>
      <w:tblPr>
        <w:tblStyle w:val="6"/>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10"/>
        <w:gridCol w:w="1103"/>
        <w:gridCol w:w="1080"/>
        <w:gridCol w:w="1490"/>
        <w:gridCol w:w="1146"/>
        <w:gridCol w:w="1223"/>
        <w:gridCol w:w="1045"/>
        <w:gridCol w:w="1061"/>
        <w:gridCol w:w="851"/>
        <w:gridCol w:w="113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7"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序号</w:t>
            </w:r>
          </w:p>
        </w:tc>
        <w:tc>
          <w:tcPr>
            <w:tcW w:w="151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采矿权名称</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（暂定名）</w:t>
            </w:r>
          </w:p>
        </w:tc>
        <w:tc>
          <w:tcPr>
            <w:tcW w:w="1103"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地理位置</w:t>
            </w:r>
          </w:p>
        </w:tc>
        <w:tc>
          <w:tcPr>
            <w:tcW w:w="108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矿种</w:t>
            </w:r>
          </w:p>
        </w:tc>
        <w:tc>
          <w:tcPr>
            <w:tcW w:w="149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矿区范围</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拐点坐标</w:t>
            </w:r>
          </w:p>
        </w:tc>
        <w:tc>
          <w:tcPr>
            <w:tcW w:w="1146"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资源储量</w:t>
            </w:r>
          </w:p>
        </w:tc>
        <w:tc>
          <w:tcPr>
            <w:tcW w:w="1223"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矿区面积</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(平方公里)</w:t>
            </w:r>
          </w:p>
        </w:tc>
        <w:tc>
          <w:tcPr>
            <w:tcW w:w="1045"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开采</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标高</w:t>
            </w:r>
          </w:p>
        </w:tc>
        <w:tc>
          <w:tcPr>
            <w:tcW w:w="1061"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拟设</w:t>
            </w:r>
            <w:r>
              <w:rPr>
                <w:rFonts w:ascii="Times New Roman" w:hAnsi="Times New Roman" w:cs="Times New Roman"/>
                <w:color w:val="auto"/>
                <w:szCs w:val="21"/>
                <w:highlight w:val="none"/>
              </w:rPr>
              <w:t>生产</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规模</w:t>
            </w:r>
          </w:p>
        </w:tc>
        <w:tc>
          <w:tcPr>
            <w:tcW w:w="851"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出让年限(年)</w:t>
            </w:r>
          </w:p>
        </w:tc>
        <w:tc>
          <w:tcPr>
            <w:tcW w:w="1134"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出让收益起始价</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（万元）</w:t>
            </w:r>
          </w:p>
        </w:tc>
        <w:tc>
          <w:tcPr>
            <w:tcW w:w="923"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保证金金额</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37" w:type="dxa"/>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FDGC202408</w:t>
            </w:r>
            <w:r>
              <w:rPr>
                <w:rFonts w:hint="eastAsia" w:ascii="Times New Roman" w:hAnsi="Times New Roman" w:cs="Times New Roman"/>
                <w:b w:val="0"/>
                <w:bCs/>
                <w:color w:val="auto"/>
                <w:szCs w:val="21"/>
                <w:highlight w:val="none"/>
                <w:lang w:val="en-US" w:eastAsia="zh-CN"/>
              </w:rPr>
              <w:t xml:space="preserve">   </w:t>
            </w:r>
          </w:p>
        </w:tc>
        <w:tc>
          <w:tcPr>
            <w:tcW w:w="1510" w:type="dxa"/>
            <w:vAlign w:val="center"/>
          </w:tcPr>
          <w:p>
            <w:pPr>
              <w:jc w:val="center"/>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zh-CN" w:eastAsia="zh-CN"/>
              </w:rPr>
              <w:t>丰都县包鸾镇亭子垭村花鹿池制灰用灰岩矿</w:t>
            </w:r>
          </w:p>
        </w:tc>
        <w:tc>
          <w:tcPr>
            <w:tcW w:w="1103" w:type="dxa"/>
            <w:vAlign w:val="center"/>
          </w:tcPr>
          <w:p>
            <w:pPr>
              <w:jc w:val="center"/>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zh-CN" w:eastAsia="zh-CN"/>
              </w:rPr>
              <w:t>丰都县包鸾镇亭子垭村</w:t>
            </w:r>
          </w:p>
        </w:tc>
        <w:tc>
          <w:tcPr>
            <w:tcW w:w="1080" w:type="dxa"/>
            <w:vAlign w:val="center"/>
          </w:tcPr>
          <w:p>
            <w:pPr>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eastAsia="zh-CN"/>
              </w:rPr>
              <w:t>制灰用灰岩矿</w:t>
            </w:r>
          </w:p>
        </w:tc>
        <w:tc>
          <w:tcPr>
            <w:tcW w:w="149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详见《</w:t>
            </w:r>
            <w:r>
              <w:rPr>
                <w:rFonts w:hint="eastAsia" w:ascii="Times New Roman" w:hAnsi="Times New Roman" w:cs="Times New Roman"/>
                <w:color w:val="auto"/>
                <w:szCs w:val="21"/>
                <w:highlight w:val="none"/>
              </w:rPr>
              <w:t>出让文件</w:t>
            </w:r>
            <w:r>
              <w:rPr>
                <w:rFonts w:ascii="Times New Roman" w:hAnsi="Times New Roman" w:cs="Times New Roman"/>
                <w:color w:val="auto"/>
                <w:szCs w:val="21"/>
                <w:highlight w:val="none"/>
              </w:rPr>
              <w:t>》</w:t>
            </w:r>
          </w:p>
        </w:tc>
        <w:tc>
          <w:tcPr>
            <w:tcW w:w="1146"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1445.7</w:t>
            </w:r>
            <w:r>
              <w:rPr>
                <w:rFonts w:ascii="Times New Roman" w:hAnsi="Times New Roman" w:cs="Times New Roman"/>
                <w:color w:val="auto"/>
                <w:szCs w:val="21"/>
                <w:highlight w:val="none"/>
                <w:lang w:val="zh-CN"/>
              </w:rPr>
              <w:t>万</w:t>
            </w:r>
            <w:r>
              <w:rPr>
                <w:rFonts w:hint="eastAsia" w:ascii="Times New Roman" w:hAnsi="Times New Roman" w:cs="Times New Roman"/>
                <w:color w:val="auto"/>
                <w:szCs w:val="21"/>
                <w:highlight w:val="none"/>
              </w:rPr>
              <w:t>吨</w:t>
            </w:r>
          </w:p>
        </w:tc>
        <w:tc>
          <w:tcPr>
            <w:tcW w:w="1223"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rPr>
              <w:t>0.</w:t>
            </w:r>
            <w:r>
              <w:rPr>
                <w:rFonts w:hint="eastAsia" w:ascii="Times New Roman" w:hAnsi="Times New Roman" w:cs="Times New Roman"/>
                <w:color w:val="auto"/>
                <w:szCs w:val="21"/>
                <w:highlight w:val="none"/>
                <w:lang w:val="en-US" w:eastAsia="zh-CN"/>
              </w:rPr>
              <w:t>1990</w:t>
            </w:r>
          </w:p>
        </w:tc>
        <w:tc>
          <w:tcPr>
            <w:tcW w:w="1045"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32"/>
                <w:highlight w:val="none"/>
                <w:lang w:val="zh-CN"/>
              </w:rPr>
              <w:t>+1130</w:t>
            </w:r>
            <w:r>
              <w:rPr>
                <w:rFonts w:hint="eastAsia" w:ascii="Times New Roman" w:hAnsi="Times New Roman" w:cs="Times New Roman"/>
                <w:color w:val="auto"/>
                <w:szCs w:val="32"/>
                <w:highlight w:val="none"/>
                <w:lang w:val="zh-CN" w:eastAsia="zh-CN"/>
              </w:rPr>
              <w:t>米</w:t>
            </w:r>
            <w:r>
              <w:rPr>
                <w:rFonts w:hint="eastAsia" w:ascii="Times New Roman" w:hAnsi="Times New Roman" w:cs="Times New Roman"/>
                <w:color w:val="auto"/>
                <w:szCs w:val="32"/>
                <w:highlight w:val="none"/>
                <w:lang w:val="zh-CN"/>
              </w:rPr>
              <w:t>～+1045</w:t>
            </w:r>
            <w:r>
              <w:rPr>
                <w:rFonts w:hint="default" w:ascii="Times New Roman" w:hAnsi="Times New Roman" w:eastAsia="宋体" w:cs="Times New Roman"/>
                <w:color w:val="auto"/>
                <w:szCs w:val="21"/>
                <w:highlight w:val="none"/>
                <w:lang w:val="zh-CN" w:eastAsia="zh-CN"/>
              </w:rPr>
              <w:t>米</w:t>
            </w:r>
          </w:p>
        </w:tc>
        <w:tc>
          <w:tcPr>
            <w:tcW w:w="1061"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20</w:t>
            </w:r>
            <w:r>
              <w:rPr>
                <w:rFonts w:ascii="Times New Roman" w:hAnsi="Times New Roman" w:cs="Times New Roman"/>
                <w:color w:val="auto"/>
                <w:szCs w:val="21"/>
                <w:highlight w:val="none"/>
                <w:lang w:val="zh-CN"/>
              </w:rPr>
              <w:t>万</w:t>
            </w:r>
            <w:r>
              <w:rPr>
                <w:rFonts w:hint="eastAsia" w:ascii="Times New Roman" w:hAnsi="Times New Roman" w:cs="Times New Roman"/>
                <w:color w:val="auto"/>
                <w:szCs w:val="21"/>
                <w:highlight w:val="none"/>
              </w:rPr>
              <w:t>吨</w:t>
            </w:r>
            <w:r>
              <w:rPr>
                <w:rFonts w:ascii="Times New Roman" w:hAnsi="Times New Roman" w:cs="Times New Roman"/>
                <w:color w:val="auto"/>
                <w:szCs w:val="21"/>
                <w:highlight w:val="none"/>
                <w:lang w:val="zh-CN"/>
              </w:rPr>
              <w:t>/年</w:t>
            </w:r>
          </w:p>
        </w:tc>
        <w:tc>
          <w:tcPr>
            <w:tcW w:w="851"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10.2</w:t>
            </w:r>
          </w:p>
        </w:tc>
        <w:tc>
          <w:tcPr>
            <w:tcW w:w="1134" w:type="dxa"/>
            <w:vAlign w:val="center"/>
          </w:tcPr>
          <w:p>
            <w:pPr>
              <w:spacing w:line="260" w:lineRule="exact"/>
              <w:jc w:val="center"/>
              <w:rPr>
                <w:rFonts w:hint="default" w:asciiTheme="minorHAnsi" w:hAnsiTheme="minorHAnsi" w:eastAsiaTheme="minorEastAsia" w:cstheme="minorBidi"/>
                <w:color w:val="auto"/>
                <w:kern w:val="2"/>
                <w:sz w:val="24"/>
                <w:szCs w:val="24"/>
                <w:highlight w:val="none"/>
                <w:lang w:val="en-US" w:eastAsia="zh-CN" w:bidi="ar-SA"/>
              </w:rPr>
            </w:pPr>
            <w:r>
              <w:rPr>
                <w:rFonts w:hint="eastAsia"/>
                <w:color w:val="auto"/>
                <w:szCs w:val="32"/>
                <w:highlight w:val="none"/>
                <w:lang w:val="en-US" w:eastAsia="zh-CN"/>
              </w:rPr>
              <w:t>4293.73</w:t>
            </w:r>
          </w:p>
        </w:tc>
        <w:tc>
          <w:tcPr>
            <w:tcW w:w="923"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430</w:t>
            </w:r>
          </w:p>
        </w:tc>
      </w:tr>
    </w:tbl>
    <w:p>
      <w:pPr>
        <w:spacing w:line="360" w:lineRule="exact"/>
        <w:ind w:firstLine="482" w:firstLineChars="20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rPr>
        <w:t>二、出让人：</w:t>
      </w:r>
      <w:r>
        <w:rPr>
          <w:rFonts w:hint="eastAsia" w:ascii="Times New Roman" w:hAnsi="Times New Roman" w:cs="Times New Roman"/>
          <w:bCs/>
          <w:color w:val="auto"/>
          <w:sz w:val="24"/>
          <w:szCs w:val="24"/>
          <w:highlight w:val="none"/>
        </w:rPr>
        <w:t>丰都县规划和自然资源局</w:t>
      </w:r>
      <w:r>
        <w:rPr>
          <w:rFonts w:ascii="Times New Roman" w:hAnsi="Times New Roman" w:cs="Times New Roman"/>
          <w:color w:val="auto"/>
          <w:sz w:val="24"/>
          <w:szCs w:val="24"/>
          <w:highlight w:val="none"/>
        </w:rPr>
        <w:t>，地址：</w:t>
      </w:r>
      <w:r>
        <w:rPr>
          <w:rFonts w:hint="eastAsia" w:ascii="Times New Roman" w:hAnsi="Times New Roman" w:cs="Times New Roman"/>
          <w:color w:val="auto"/>
          <w:sz w:val="24"/>
          <w:szCs w:val="24"/>
          <w:highlight w:val="none"/>
        </w:rPr>
        <w:t>丰都县三合街道平都大道西段295号</w:t>
      </w:r>
      <w:r>
        <w:rPr>
          <w:rFonts w:ascii="Times New Roman" w:hAnsi="Times New Roman" w:cs="Times New Roman"/>
          <w:color w:val="auto"/>
          <w:sz w:val="24"/>
          <w:szCs w:val="24"/>
          <w:highlight w:val="none"/>
        </w:rPr>
        <w:t>，联系人：</w:t>
      </w:r>
      <w:r>
        <w:rPr>
          <w:rFonts w:hint="eastAsia" w:ascii="Times New Roman" w:hAnsi="Times New Roman" w:cs="Times New Roman"/>
          <w:color w:val="auto"/>
          <w:sz w:val="24"/>
          <w:szCs w:val="24"/>
          <w:highlight w:val="none"/>
        </w:rPr>
        <w:t>秦老师</w:t>
      </w:r>
      <w:r>
        <w:rPr>
          <w:rFonts w:ascii="Times New Roman" w:hAnsi="Times New Roman" w:cs="Times New Roman"/>
          <w:color w:val="auto"/>
          <w:sz w:val="24"/>
          <w:szCs w:val="24"/>
          <w:highlight w:val="none"/>
        </w:rPr>
        <w:t>，联系电话：</w:t>
      </w:r>
      <w:r>
        <w:rPr>
          <w:rFonts w:hint="eastAsia" w:ascii="Times New Roman" w:hAnsi="Times New Roman" w:cs="Times New Roman"/>
          <w:color w:val="auto"/>
          <w:sz w:val="24"/>
          <w:szCs w:val="24"/>
          <w:highlight w:val="none"/>
        </w:rPr>
        <w:t>023-70702538</w:t>
      </w:r>
      <w:r>
        <w:rPr>
          <w:rFonts w:ascii="Times New Roman" w:hAnsi="Times New Roman" w:cs="Times New Roman"/>
          <w:color w:val="auto"/>
          <w:sz w:val="24"/>
          <w:szCs w:val="24"/>
          <w:highlight w:val="none"/>
        </w:rPr>
        <w:t>。</w:t>
      </w:r>
    </w:p>
    <w:p>
      <w:pPr>
        <w:spacing w:line="360" w:lineRule="exact"/>
        <w:ind w:firstLine="482" w:firstLineChars="20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rPr>
        <w:t>三</w:t>
      </w:r>
      <w:r>
        <w:rPr>
          <w:rFonts w:hint="eastAsia" w:ascii="Times New Roman" w:hAnsi="Times New Roman" w:cs="Times New Roman"/>
          <w:b/>
          <w:color w:val="auto"/>
          <w:sz w:val="24"/>
          <w:szCs w:val="24"/>
          <w:highlight w:val="none"/>
        </w:rPr>
        <w:t>、</w:t>
      </w:r>
      <w:r>
        <w:rPr>
          <w:rFonts w:ascii="Times New Roman" w:hAnsi="Times New Roman" w:cs="Times New Roman"/>
          <w:b/>
          <w:color w:val="auto"/>
          <w:sz w:val="24"/>
          <w:szCs w:val="24"/>
          <w:highlight w:val="none"/>
        </w:rPr>
        <w:t>交易平台：</w:t>
      </w:r>
      <w:r>
        <w:rPr>
          <w:rFonts w:hint="eastAsia" w:ascii="Times New Roman" w:hAnsi="Times New Roman" w:cs="Times New Roman"/>
          <w:color w:val="auto"/>
          <w:sz w:val="24"/>
          <w:szCs w:val="24"/>
          <w:highlight w:val="none"/>
        </w:rPr>
        <w:t>重庆市公共资源交易中心</w:t>
      </w:r>
      <w:r>
        <w:rPr>
          <w:rFonts w:hint="eastAsia" w:ascii="Times New Roman" w:hAnsi="Times New Roman" w:cs="Times New Roman"/>
          <w:bCs/>
          <w:color w:val="auto"/>
          <w:sz w:val="24"/>
          <w:szCs w:val="24"/>
          <w:highlight w:val="none"/>
        </w:rPr>
        <w:t>，</w:t>
      </w:r>
      <w:r>
        <w:rPr>
          <w:rFonts w:hint="eastAsia" w:ascii="Times New Roman" w:hAnsi="Times New Roman" w:cs="Times New Roman"/>
          <w:color w:val="auto"/>
          <w:sz w:val="24"/>
          <w:szCs w:val="24"/>
          <w:highlight w:val="none"/>
        </w:rPr>
        <w:t>地址：重庆市渝北区青枫北路6号渝兴广场B9、B10栋，联系人：王老师，联系电话：023-63628117。</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四、竞买人的资质条件：</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（一）竞买申请人须为营利法人；</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（二）竞买申请人属于以下情形之一的不得参与竞买：</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1.在自然资源部矿业权人勘查开采信息公示系统的“矿业权人异常名录”“矿业权人严重违法名单”内；</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2.通过“信用中国”查询，在自然资源部联合惩戒备忘录或重庆市信用惩戒严重失信主体“黑名单”内限制禁止参与矿业权出让的；</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3.被吊销采矿许可证且自吊销之日起未满2年的。</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五、出让方式及交易的时间、地点</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出让方式：</w:t>
      </w:r>
      <w:r>
        <w:rPr>
          <w:rFonts w:hint="eastAsia" w:ascii="Times New Roman" w:hAnsi="Times New Roman" w:cs="Times New Roman"/>
          <w:color w:val="auto"/>
          <w:sz w:val="24"/>
          <w:szCs w:val="24"/>
          <w:highlight w:val="none"/>
        </w:rPr>
        <w:t>拍卖出让</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公告时间：</w:t>
      </w:r>
      <w:r>
        <w:rPr>
          <w:rFonts w:hint="eastAsia" w:ascii="Times New Roman" w:hAnsi="Times New Roman" w:cs="Times New Roman"/>
          <w:color w:val="auto"/>
          <w:sz w:val="24"/>
          <w:szCs w:val="24"/>
          <w:highlight w:val="none"/>
        </w:rPr>
        <w:t>2024年</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日</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2024年</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26</w:t>
      </w:r>
      <w:r>
        <w:rPr>
          <w:rFonts w:hint="eastAsia" w:ascii="Times New Roman" w:hAnsi="Times New Roman" w:cs="Times New Roman"/>
          <w:color w:val="auto"/>
          <w:sz w:val="24"/>
          <w:szCs w:val="24"/>
          <w:highlight w:val="none"/>
        </w:rPr>
        <w:t>日</w:t>
      </w:r>
    </w:p>
    <w:p>
      <w:pPr>
        <w:spacing w:before="0" w:after="0"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拍卖</w:t>
      </w:r>
      <w:r>
        <w:rPr>
          <w:rFonts w:ascii="Times New Roman" w:hAnsi="Times New Roman" w:cs="Times New Roman"/>
          <w:color w:val="auto"/>
          <w:sz w:val="24"/>
          <w:szCs w:val="24"/>
          <w:highlight w:val="none"/>
        </w:rPr>
        <w:t>时间：</w:t>
      </w:r>
      <w:r>
        <w:rPr>
          <w:rFonts w:hint="eastAsia" w:ascii="Times New Roman" w:hAnsi="Times New Roman" w:cs="Times New Roman"/>
          <w:color w:val="auto"/>
          <w:sz w:val="24"/>
          <w:szCs w:val="24"/>
          <w:highlight w:val="none"/>
        </w:rPr>
        <w:t>2024年</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日10:00时</w:t>
      </w:r>
    </w:p>
    <w:p>
      <w:pPr>
        <w:spacing w:before="0" w:after="0"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地点：</w:t>
      </w:r>
      <w:r>
        <w:rPr>
          <w:rFonts w:hint="eastAsia" w:ascii="Times New Roman" w:hAnsi="Times New Roman" w:cs="Times New Roman"/>
          <w:color w:val="auto"/>
          <w:sz w:val="24"/>
          <w:szCs w:val="24"/>
          <w:highlight w:val="none"/>
          <w:lang w:val="en-US" w:eastAsia="zh-CN"/>
        </w:rPr>
        <w:t>重庆市公共资源交易中心（网址：https://td.cqggzy.com/）。</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六、获取</w:t>
      </w:r>
      <w:r>
        <w:rPr>
          <w:rFonts w:hint="eastAsia" w:ascii="Times New Roman" w:hAnsi="Times New Roman" w:cs="Times New Roman"/>
          <w:b/>
          <w:color w:val="auto"/>
          <w:sz w:val="24"/>
          <w:szCs w:val="24"/>
          <w:highlight w:val="none"/>
        </w:rPr>
        <w:t>竞买</w:t>
      </w:r>
      <w:r>
        <w:rPr>
          <w:rFonts w:ascii="Times New Roman" w:hAnsi="Times New Roman" w:cs="Times New Roman"/>
          <w:b/>
          <w:color w:val="auto"/>
          <w:sz w:val="24"/>
          <w:szCs w:val="24"/>
          <w:highlight w:val="none"/>
        </w:rPr>
        <w:t>文件的途径和申请报名的起止时间及方式</w:t>
      </w:r>
    </w:p>
    <w:p>
      <w:pPr>
        <w:spacing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（一）申请人可进入重庆市国有建设用地使用权和矿业权网上交易系统（网址：https://td.cqggzy.com/），查阅、下载出让资料。</w:t>
      </w:r>
    </w:p>
    <w:p>
      <w:pPr>
        <w:spacing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（二）报名时限：2024年06月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日</w:t>
      </w:r>
      <w:r>
        <w:rPr>
          <w:rFonts w:hint="eastAsia" w:ascii="Times New Roman" w:hAnsi="Times New Roman" w:cs="Times New Roman"/>
          <w:color w:val="auto"/>
          <w:sz w:val="24"/>
          <w:szCs w:val="24"/>
          <w:highlight w:val="none"/>
          <w:lang w:val="en-US" w:eastAsia="zh-CN"/>
        </w:rPr>
        <w:t>12:00</w:t>
      </w:r>
      <w:r>
        <w:rPr>
          <w:rFonts w:hint="eastAsia" w:ascii="Times New Roman" w:hAnsi="Times New Roman" w:cs="Times New Roman"/>
          <w:color w:val="auto"/>
          <w:sz w:val="24"/>
          <w:szCs w:val="24"/>
          <w:highlight w:val="none"/>
        </w:rPr>
        <w:t>时－2024年07月</w:t>
      </w:r>
      <w:r>
        <w:rPr>
          <w:rFonts w:hint="eastAsia" w:ascii="Times New Roman" w:hAnsi="Times New Roman" w:cs="Times New Roman"/>
          <w:color w:val="auto"/>
          <w:sz w:val="24"/>
          <w:szCs w:val="24"/>
          <w:highlight w:val="none"/>
          <w:lang w:val="en-US" w:eastAsia="zh-CN"/>
        </w:rPr>
        <w:t>26</w:t>
      </w:r>
      <w:r>
        <w:rPr>
          <w:rFonts w:hint="eastAsia" w:ascii="Times New Roman" w:hAnsi="Times New Roman" w:cs="Times New Roman"/>
          <w:color w:val="auto"/>
          <w:sz w:val="24"/>
          <w:szCs w:val="24"/>
          <w:highlight w:val="none"/>
        </w:rPr>
        <w:t>日1</w:t>
      </w:r>
      <w:r>
        <w:rPr>
          <w:rFonts w:hint="eastAsia" w:ascii="Times New Roman" w:hAnsi="Times New Roman" w:cs="Times New Roman"/>
          <w:color w:val="auto"/>
          <w:sz w:val="24"/>
          <w:szCs w:val="24"/>
          <w:highlight w:val="none"/>
          <w:lang w:val="en-US" w:eastAsia="zh-CN"/>
        </w:rPr>
        <w:t>7:00</w:t>
      </w:r>
      <w:r>
        <w:rPr>
          <w:rFonts w:hint="eastAsia" w:ascii="Times New Roman" w:hAnsi="Times New Roman" w:cs="Times New Roman"/>
          <w:color w:val="auto"/>
          <w:sz w:val="24"/>
          <w:szCs w:val="24"/>
          <w:highlight w:val="none"/>
        </w:rPr>
        <w:t>时</w:t>
      </w:r>
    </w:p>
    <w:p>
      <w:pPr>
        <w:spacing w:line="360" w:lineRule="exact"/>
        <w:ind w:firstLine="480" w:firstLineChars="200"/>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color w:val="auto"/>
          <w:sz w:val="24"/>
          <w:szCs w:val="24"/>
          <w:highlight w:val="none"/>
        </w:rPr>
        <w:t>（三）报名方式和程序</w:t>
      </w:r>
      <w:r>
        <w:rPr>
          <w:rFonts w:hint="eastAsia" w:ascii="Times New Roman" w:hAnsi="Times New Roman" w:cs="Times New Roman"/>
          <w:color w:val="auto"/>
          <w:sz w:val="24"/>
          <w:szCs w:val="24"/>
          <w:highlight w:val="none"/>
          <w:lang w:eastAsia="zh-CN"/>
        </w:rPr>
        <w:t>。</w:t>
      </w:r>
    </w:p>
    <w:p>
      <w:pPr>
        <w:spacing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本次公开出让的</w:t>
      </w:r>
      <w:r>
        <w:rPr>
          <w:rFonts w:hint="eastAsia" w:ascii="Times New Roman" w:hAnsi="Times New Roman" w:cs="Times New Roman"/>
          <w:color w:val="auto"/>
          <w:sz w:val="24"/>
          <w:szCs w:val="24"/>
          <w:highlight w:val="none"/>
          <w:lang w:eastAsia="zh-CN"/>
        </w:rPr>
        <w:t>采</w:t>
      </w:r>
      <w:r>
        <w:rPr>
          <w:rFonts w:hint="eastAsia" w:ascii="Times New Roman" w:hAnsi="Times New Roman" w:cs="Times New Roman"/>
          <w:color w:val="auto"/>
          <w:sz w:val="24"/>
          <w:szCs w:val="24"/>
          <w:highlight w:val="none"/>
        </w:rPr>
        <w:t>矿权采取网上报名方式：</w:t>
      </w:r>
    </w:p>
    <w:p>
      <w:pPr>
        <w:spacing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网上报名：申请人可于报名期限内登录重庆市国有建设用地使用权和矿业权网上交易系统，按规定提交竞买申请，在报名期限内足额交纳竞买保证金，提交报名资料电子档。</w:t>
      </w:r>
    </w:p>
    <w:p>
      <w:pPr>
        <w:spacing w:line="360" w:lineRule="exact"/>
        <w:ind w:firstLine="480" w:firstLineChars="200"/>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color w:val="auto"/>
          <w:sz w:val="24"/>
          <w:szCs w:val="24"/>
          <w:highlight w:val="none"/>
        </w:rPr>
        <w:t>（四）保证金的交纳详见《出让文件》</w:t>
      </w:r>
      <w:r>
        <w:rPr>
          <w:rFonts w:hint="eastAsia" w:ascii="Times New Roman" w:hAnsi="Times New Roman" w:cs="Times New Roman"/>
          <w:color w:val="auto"/>
          <w:sz w:val="24"/>
          <w:szCs w:val="24"/>
          <w:highlight w:val="none"/>
          <w:lang w:eastAsia="zh-CN"/>
        </w:rPr>
        <w:t>。</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七、确定竞得人的标准和方法</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本次</w:t>
      </w:r>
      <w:r>
        <w:rPr>
          <w:rFonts w:hint="eastAsia" w:ascii="Times New Roman" w:hAnsi="Times New Roman" w:cs="Times New Roman"/>
          <w:color w:val="auto"/>
          <w:sz w:val="24"/>
          <w:szCs w:val="24"/>
          <w:highlight w:val="none"/>
        </w:rPr>
        <w:t>拍卖</w:t>
      </w:r>
      <w:r>
        <w:rPr>
          <w:rFonts w:ascii="Times New Roman" w:hAnsi="Times New Roman" w:cs="Times New Roman"/>
          <w:color w:val="auto"/>
          <w:sz w:val="24"/>
          <w:szCs w:val="24"/>
          <w:highlight w:val="none"/>
        </w:rPr>
        <w:t>出让为无底价</w:t>
      </w:r>
      <w:r>
        <w:rPr>
          <w:rFonts w:hint="eastAsia" w:ascii="Times New Roman" w:hAnsi="Times New Roman" w:cs="Times New Roman"/>
          <w:color w:val="auto"/>
          <w:sz w:val="24"/>
          <w:szCs w:val="24"/>
          <w:highlight w:val="none"/>
        </w:rPr>
        <w:t>，采用增价竞价的方式，按照价高者得原则确定竞得人。拍卖成交后的竞得人按规定即时签订《成交确认书》，成交结果在相关网站公示10个工作日。</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八、风险提示</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一）采矿权投资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出让文件已完全认可并自愿承担所有风险；</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（二）有关该宗采矿权的用地、用水、用电、公路、环保、基础设施等工作，由竞得人自行负责解决并依法完善相关手续；</w:t>
      </w:r>
    </w:p>
    <w:p>
      <w:pPr>
        <w:spacing w:line="360" w:lineRule="exact"/>
        <w:ind w:firstLine="480" w:firstLineChars="20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（三）若竞得人竞得该宗采矿权后，在办理采矿登记</w:t>
      </w:r>
      <w:r>
        <w:rPr>
          <w:rFonts w:hint="eastAsia" w:ascii="Times New Roman" w:hAnsi="Times New Roman" w:cs="Times New Roman"/>
          <w:color w:val="auto"/>
          <w:kern w:val="0"/>
          <w:sz w:val="24"/>
          <w:szCs w:val="24"/>
          <w:highlight w:val="none"/>
        </w:rPr>
        <w:t>前</w:t>
      </w:r>
      <w:r>
        <w:rPr>
          <w:rFonts w:ascii="Times New Roman" w:hAnsi="Times New Roman" w:cs="Times New Roman"/>
          <w:color w:val="auto"/>
          <w:kern w:val="0"/>
          <w:sz w:val="24"/>
          <w:szCs w:val="24"/>
          <w:highlight w:val="none"/>
        </w:rPr>
        <w:t>进行安全、环境评价等认定为不适宜开采的，该宗采矿权按不成交处理。</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九、对交易矿业权异议的处理方式</w:t>
      </w:r>
    </w:p>
    <w:p>
      <w:pPr>
        <w:spacing w:line="360" w:lineRule="exact"/>
        <w:ind w:firstLine="480" w:firstLineChars="200"/>
        <w:rPr>
          <w:rFonts w:hint="eastAsia"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对本次出让的采矿权存有异议</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投诉、举报</w:t>
      </w:r>
      <w:r>
        <w:rPr>
          <w:rFonts w:hint="default" w:ascii="Times New Roman" w:hAnsi="Times New Roman" w:cs="Times New Roman"/>
          <w:color w:val="auto"/>
          <w:sz w:val="24"/>
          <w:szCs w:val="24"/>
          <w:highlight w:val="none"/>
        </w:rPr>
        <w:t>的，应在公告期截止前以书面方式向</w:t>
      </w:r>
      <w:r>
        <w:rPr>
          <w:rFonts w:hint="default" w:ascii="Times New Roman" w:hAnsi="Times New Roman" w:cs="Times New Roman"/>
          <w:color w:val="auto"/>
          <w:sz w:val="24"/>
          <w:szCs w:val="24"/>
          <w:highlight w:val="none"/>
          <w:lang w:val="en-US" w:eastAsia="zh-CN"/>
        </w:rPr>
        <w:t>丰都县</w:t>
      </w:r>
      <w:r>
        <w:rPr>
          <w:rFonts w:hint="default" w:ascii="Times New Roman" w:hAnsi="Times New Roman" w:cs="Times New Roman"/>
          <w:color w:val="auto"/>
          <w:sz w:val="24"/>
          <w:szCs w:val="24"/>
          <w:highlight w:val="none"/>
        </w:rPr>
        <w:t>规划和自然资源局提出</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联系人：秦老师，联系电话：023-70702538</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；对出让交易程序存有异议</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投诉、举报</w:t>
      </w:r>
      <w:r>
        <w:rPr>
          <w:rFonts w:hint="default" w:ascii="Times New Roman" w:hAnsi="Times New Roman" w:cs="Times New Roman"/>
          <w:color w:val="auto"/>
          <w:sz w:val="24"/>
          <w:szCs w:val="24"/>
          <w:highlight w:val="none"/>
        </w:rPr>
        <w:t>的，应在结果公示期截止前以书面方式向</w:t>
      </w:r>
      <w:r>
        <w:rPr>
          <w:rFonts w:hint="eastAsia" w:ascii="Times New Roman" w:hAnsi="Times New Roman" w:cs="Times New Roman"/>
          <w:color w:val="auto"/>
          <w:sz w:val="24"/>
          <w:szCs w:val="24"/>
          <w:highlight w:val="none"/>
        </w:rPr>
        <w:t>重庆市公共资源交易中心</w:t>
      </w:r>
      <w:r>
        <w:rPr>
          <w:rFonts w:hint="default" w:ascii="Times New Roman" w:hAnsi="Times New Roman" w:cs="Times New Roman"/>
          <w:color w:val="auto"/>
          <w:sz w:val="24"/>
          <w:szCs w:val="24"/>
          <w:highlight w:val="none"/>
        </w:rPr>
        <w:t>提出</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联系人：王老师，联系电话：023-63628117</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。根据所提异议的具体情况，按照《矿业权出让交易规则》（自然资规〔2023〕1号）等相关规定进行妥善处置。</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十、违约责任、公共资源交易领域失信联合惩戒相关提示</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（二）</w:t>
      </w:r>
      <w:r>
        <w:rPr>
          <w:rFonts w:hint="eastAsia" w:ascii="Times New Roman" w:hAnsi="Times New Roman" w:cs="Times New Roman"/>
          <w:color w:val="auto"/>
          <w:sz w:val="24"/>
          <w:szCs w:val="24"/>
          <w:highlight w:val="none"/>
        </w:rPr>
        <w:t>有下列情形之一的，视为竞买人、竞得人违约，竞得结果无效，并将其列入失信联合惩戒名单并承担相当于竞买保证金的违约金，出让方有权不再签订出让合同或解除合同：</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1.竞买人之间串通报价，损害国家利益、社会公共利益或者他人合法权益的；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2.竞买人弄虚作假，骗取交易资格或竞得的；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3.采取行贿或其他不正当手段竞得的；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4.竞得人逾期不签订或者拒绝签订成交确认书的；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5.竞得人逾期不签订或者拒绝签订出让合同的；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6.其他依法应当认定为违约的情形。</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十一、其他重要提示</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一）该采矿权为新设矿山，本次出让采矿权矿种为制灰用灰岩矿。拟出让矿区范围与自然保护地、永久基本农田、生态保护红线等禁止限制性区域不重叠，符合“三区三线”设置要求，符合国土空间规划，无矿业权重叠，不存在采矿权纠纷。工业广场用地已预留用地指标，采矿权人须按照相关规定完善用地手续。</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（二）竞得人须自行或委托编制矿山地质环境恢复治理和土地复垦方案并通过审查，同时按照《矿山地质环境保护规定》等相关规定履行矿山地质环境保护相关义务。</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三）竞得人必须按绿色矿山标准要求进行矿山规划、设计、建设和运营管理，确保矿山环境面貌、开发利用方式、资源节约集约利用、现代化矿山建设、矿地和谐和企业文化等各方面达到绿色矿山建设标准，并在矿山投产时同步完成绿色矿山方案评审。</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四）本宗采矿权出让前期成本费用在出让收益外单列，由竞得人在取得成交确认书后5日内另行支付到丰都县规划和自然资源局指定账户内，若逾期不缴纳则视为竞得人自动放弃竞得资格，出让人不予退还竞买保证金并有权另行出让该宗采矿权。有关采矿权基本信息情况与出让工作成本由竞买申请人在申请报名前向出让人申请查询。另外土地租用已达成协议但未出资支付的相关费用，以及竞得人后期办理林地、安全施工、环境保护、水土保持、生态修复批复（含生态修复基金缴纳）等其它业务、手续所涉及费用，由竞得人按规定另行支付。</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五）竞买申请人须认真详读竞买须知，现场踏勘并详细了解出让范围及周边土地、山权、林权、道路、地下管线、水电供给、废渣占地堆放、地表附着物、社群关系等影响资源开采的外部条件以及其他权益补偿情况。提交竞买申请即视为竞买人对采矿权现状、公告须知、采矿权出让合同内容已完全认可并自愿承担所有风险。</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（六）竞得人在签订《成交确认书》之后按重庆市及市公共资源交易中心相关规定支付相关交易服务费。</w:t>
      </w:r>
    </w:p>
    <w:p>
      <w:pPr>
        <w:spacing w:line="360" w:lineRule="exact"/>
        <w:ind w:firstLine="480" w:firstLineChars="200"/>
        <w:jc w:val="right"/>
        <w:rPr>
          <w:rFonts w:hint="eastAsia" w:ascii="Times New Roman" w:hAnsi="Times New Roman" w:cs="Times New Roman"/>
          <w:color w:val="auto"/>
          <w:sz w:val="24"/>
          <w:szCs w:val="24"/>
          <w:highlight w:val="none"/>
          <w:lang w:val="en-US" w:eastAsia="zh-CN"/>
        </w:rPr>
      </w:pPr>
    </w:p>
    <w:p>
      <w:pPr>
        <w:spacing w:line="360" w:lineRule="exact"/>
        <w:ind w:firstLine="480" w:firstLineChars="200"/>
        <w:jc w:val="righ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丰都县规划和自然资源局</w:t>
      </w:r>
    </w:p>
    <w:p>
      <w:pPr>
        <w:spacing w:line="360" w:lineRule="exact"/>
        <w:ind w:firstLine="480" w:firstLineChars="200"/>
        <w:jc w:val="righ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2024年06月29日</w:t>
      </w:r>
    </w:p>
    <w:p>
      <w:pPr>
        <w:spacing w:line="360" w:lineRule="exact"/>
        <w:ind w:firstLine="480" w:firstLineChars="200"/>
        <w:rPr>
          <w:rFonts w:hint="eastAsia" w:ascii="Times New Roman" w:hAnsi="Times New Roman" w:cs="Times New Roman"/>
          <w:color w:val="auto"/>
          <w:sz w:val="24"/>
          <w:szCs w:val="24"/>
          <w:highlight w:val="none"/>
        </w:rPr>
      </w:pPr>
      <w:bookmarkStart w:id="0" w:name="_GoBack"/>
      <w:bookmarkEnd w:id="0"/>
    </w:p>
    <w:sectPr>
      <w:footerReference r:id="rId3" w:type="default"/>
      <w:pgSz w:w="16838" w:h="11906" w:orient="landscape"/>
      <w:pgMar w:top="1474" w:right="1701"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iN2E3OWI5NWZiYzk3YzljMzZlNzFmNGYzOWZlNjcifQ=="/>
    <w:docVar w:name="KSO_WPS_MARK_KEY" w:val="ac85b914-4374-49b1-961f-a256e256f1d8"/>
  </w:docVars>
  <w:rsids>
    <w:rsidRoot w:val="007935E6"/>
    <w:rsid w:val="00000348"/>
    <w:rsid w:val="000007F6"/>
    <w:rsid w:val="00006FBA"/>
    <w:rsid w:val="00007639"/>
    <w:rsid w:val="00007AED"/>
    <w:rsid w:val="00007B58"/>
    <w:rsid w:val="000111C4"/>
    <w:rsid w:val="0001167B"/>
    <w:rsid w:val="00016451"/>
    <w:rsid w:val="0002099C"/>
    <w:rsid w:val="00023A4B"/>
    <w:rsid w:val="0003690A"/>
    <w:rsid w:val="000369A1"/>
    <w:rsid w:val="00037565"/>
    <w:rsid w:val="00040CE4"/>
    <w:rsid w:val="00041C41"/>
    <w:rsid w:val="000445AD"/>
    <w:rsid w:val="0004781C"/>
    <w:rsid w:val="00050E4A"/>
    <w:rsid w:val="00054463"/>
    <w:rsid w:val="00054770"/>
    <w:rsid w:val="000561BF"/>
    <w:rsid w:val="0007278F"/>
    <w:rsid w:val="00072C08"/>
    <w:rsid w:val="000762CB"/>
    <w:rsid w:val="00080264"/>
    <w:rsid w:val="0008363E"/>
    <w:rsid w:val="000902DC"/>
    <w:rsid w:val="00090C4E"/>
    <w:rsid w:val="00092AEA"/>
    <w:rsid w:val="00092F78"/>
    <w:rsid w:val="000961A9"/>
    <w:rsid w:val="000A5136"/>
    <w:rsid w:val="000A6268"/>
    <w:rsid w:val="000B2203"/>
    <w:rsid w:val="000B6019"/>
    <w:rsid w:val="000C2269"/>
    <w:rsid w:val="000C2CEA"/>
    <w:rsid w:val="000C35EB"/>
    <w:rsid w:val="000C4CC1"/>
    <w:rsid w:val="000C6871"/>
    <w:rsid w:val="000D6CEF"/>
    <w:rsid w:val="000E0293"/>
    <w:rsid w:val="000E249F"/>
    <w:rsid w:val="000E3C8C"/>
    <w:rsid w:val="000E60E9"/>
    <w:rsid w:val="000F0468"/>
    <w:rsid w:val="000F1A41"/>
    <w:rsid w:val="000F2654"/>
    <w:rsid w:val="000F348F"/>
    <w:rsid w:val="000F6D2A"/>
    <w:rsid w:val="000F7F50"/>
    <w:rsid w:val="0010095F"/>
    <w:rsid w:val="00101AE9"/>
    <w:rsid w:val="001046AA"/>
    <w:rsid w:val="001057FA"/>
    <w:rsid w:val="00105E82"/>
    <w:rsid w:val="00106817"/>
    <w:rsid w:val="00107E16"/>
    <w:rsid w:val="00110958"/>
    <w:rsid w:val="00111535"/>
    <w:rsid w:val="00112660"/>
    <w:rsid w:val="00120BFE"/>
    <w:rsid w:val="0012287B"/>
    <w:rsid w:val="00126705"/>
    <w:rsid w:val="00135C8B"/>
    <w:rsid w:val="00137731"/>
    <w:rsid w:val="00145D44"/>
    <w:rsid w:val="001475BB"/>
    <w:rsid w:val="001507B0"/>
    <w:rsid w:val="00153C5C"/>
    <w:rsid w:val="00154DE2"/>
    <w:rsid w:val="001555F4"/>
    <w:rsid w:val="001558D4"/>
    <w:rsid w:val="001561AA"/>
    <w:rsid w:val="00166D36"/>
    <w:rsid w:val="001730F6"/>
    <w:rsid w:val="0017521F"/>
    <w:rsid w:val="00177097"/>
    <w:rsid w:val="001774BF"/>
    <w:rsid w:val="00184EEC"/>
    <w:rsid w:val="00186963"/>
    <w:rsid w:val="00191296"/>
    <w:rsid w:val="0019445F"/>
    <w:rsid w:val="001945B4"/>
    <w:rsid w:val="0019742B"/>
    <w:rsid w:val="00197D21"/>
    <w:rsid w:val="001A0D95"/>
    <w:rsid w:val="001A3109"/>
    <w:rsid w:val="001A3DE9"/>
    <w:rsid w:val="001A5BCD"/>
    <w:rsid w:val="001A5DD7"/>
    <w:rsid w:val="001A6219"/>
    <w:rsid w:val="001B74EF"/>
    <w:rsid w:val="001C2D84"/>
    <w:rsid w:val="001C2DCA"/>
    <w:rsid w:val="001C55A5"/>
    <w:rsid w:val="001C68FA"/>
    <w:rsid w:val="001C71A1"/>
    <w:rsid w:val="001C7C6E"/>
    <w:rsid w:val="001D2F8C"/>
    <w:rsid w:val="001E2F45"/>
    <w:rsid w:val="001E789A"/>
    <w:rsid w:val="001E7A57"/>
    <w:rsid w:val="001F7E98"/>
    <w:rsid w:val="00200529"/>
    <w:rsid w:val="00201664"/>
    <w:rsid w:val="00202E28"/>
    <w:rsid w:val="00204448"/>
    <w:rsid w:val="00205310"/>
    <w:rsid w:val="002154C8"/>
    <w:rsid w:val="002171C9"/>
    <w:rsid w:val="0022160B"/>
    <w:rsid w:val="00223B4F"/>
    <w:rsid w:val="002356C2"/>
    <w:rsid w:val="002419FC"/>
    <w:rsid w:val="00241D9A"/>
    <w:rsid w:val="00242A3C"/>
    <w:rsid w:val="002557EB"/>
    <w:rsid w:val="00267EBF"/>
    <w:rsid w:val="00272C11"/>
    <w:rsid w:val="00273E6C"/>
    <w:rsid w:val="002746B6"/>
    <w:rsid w:val="00276707"/>
    <w:rsid w:val="0027749C"/>
    <w:rsid w:val="00280F19"/>
    <w:rsid w:val="00281F95"/>
    <w:rsid w:val="00287FA1"/>
    <w:rsid w:val="00290C54"/>
    <w:rsid w:val="00293B83"/>
    <w:rsid w:val="00294C40"/>
    <w:rsid w:val="00295AF1"/>
    <w:rsid w:val="002A4343"/>
    <w:rsid w:val="002A6252"/>
    <w:rsid w:val="002A78B6"/>
    <w:rsid w:val="002B1302"/>
    <w:rsid w:val="002B35CD"/>
    <w:rsid w:val="002B5006"/>
    <w:rsid w:val="002B5499"/>
    <w:rsid w:val="002B7001"/>
    <w:rsid w:val="002B7C97"/>
    <w:rsid w:val="002B7CA7"/>
    <w:rsid w:val="002C0EBC"/>
    <w:rsid w:val="002C2542"/>
    <w:rsid w:val="002C386C"/>
    <w:rsid w:val="002C4940"/>
    <w:rsid w:val="002C5779"/>
    <w:rsid w:val="002D0530"/>
    <w:rsid w:val="002D5913"/>
    <w:rsid w:val="002D64E6"/>
    <w:rsid w:val="002E28D4"/>
    <w:rsid w:val="002F3854"/>
    <w:rsid w:val="002F38E3"/>
    <w:rsid w:val="002F481E"/>
    <w:rsid w:val="002F6BD5"/>
    <w:rsid w:val="00307B31"/>
    <w:rsid w:val="00337713"/>
    <w:rsid w:val="00337FDF"/>
    <w:rsid w:val="003401FA"/>
    <w:rsid w:val="003416AA"/>
    <w:rsid w:val="00343D51"/>
    <w:rsid w:val="003461D0"/>
    <w:rsid w:val="00347E8E"/>
    <w:rsid w:val="00353ABC"/>
    <w:rsid w:val="0036348A"/>
    <w:rsid w:val="0036670F"/>
    <w:rsid w:val="0036706E"/>
    <w:rsid w:val="00371629"/>
    <w:rsid w:val="003726FB"/>
    <w:rsid w:val="00373187"/>
    <w:rsid w:val="003772D2"/>
    <w:rsid w:val="003777A5"/>
    <w:rsid w:val="003849FF"/>
    <w:rsid w:val="00387EA2"/>
    <w:rsid w:val="00391B03"/>
    <w:rsid w:val="00396D5C"/>
    <w:rsid w:val="00397D12"/>
    <w:rsid w:val="003A041C"/>
    <w:rsid w:val="003A09CE"/>
    <w:rsid w:val="003A25E1"/>
    <w:rsid w:val="003A33BA"/>
    <w:rsid w:val="003A6F37"/>
    <w:rsid w:val="003B5677"/>
    <w:rsid w:val="003B5F24"/>
    <w:rsid w:val="003C05BB"/>
    <w:rsid w:val="003C2A4A"/>
    <w:rsid w:val="003D1986"/>
    <w:rsid w:val="003D484F"/>
    <w:rsid w:val="003D724B"/>
    <w:rsid w:val="003E02F4"/>
    <w:rsid w:val="003E5534"/>
    <w:rsid w:val="003F006B"/>
    <w:rsid w:val="003F195D"/>
    <w:rsid w:val="003F57CB"/>
    <w:rsid w:val="00403513"/>
    <w:rsid w:val="0040410E"/>
    <w:rsid w:val="00404DA2"/>
    <w:rsid w:val="00405A53"/>
    <w:rsid w:val="00410184"/>
    <w:rsid w:val="00410EA6"/>
    <w:rsid w:val="00412C2A"/>
    <w:rsid w:val="00413DBC"/>
    <w:rsid w:val="00415DAE"/>
    <w:rsid w:val="0041769F"/>
    <w:rsid w:val="0042321E"/>
    <w:rsid w:val="00423564"/>
    <w:rsid w:val="00430F62"/>
    <w:rsid w:val="00431B9E"/>
    <w:rsid w:val="00432DF1"/>
    <w:rsid w:val="00440152"/>
    <w:rsid w:val="00441C2B"/>
    <w:rsid w:val="00441FA7"/>
    <w:rsid w:val="00450CA2"/>
    <w:rsid w:val="00451182"/>
    <w:rsid w:val="00452C32"/>
    <w:rsid w:val="00455CF9"/>
    <w:rsid w:val="00456779"/>
    <w:rsid w:val="00457B5F"/>
    <w:rsid w:val="00464E95"/>
    <w:rsid w:val="00464F4A"/>
    <w:rsid w:val="0046665D"/>
    <w:rsid w:val="00474801"/>
    <w:rsid w:val="00491CF3"/>
    <w:rsid w:val="00496E8C"/>
    <w:rsid w:val="004A0C3B"/>
    <w:rsid w:val="004A6BAB"/>
    <w:rsid w:val="004B22B6"/>
    <w:rsid w:val="004B2E9F"/>
    <w:rsid w:val="004C23CA"/>
    <w:rsid w:val="004C3852"/>
    <w:rsid w:val="004C5257"/>
    <w:rsid w:val="004C719C"/>
    <w:rsid w:val="004C7738"/>
    <w:rsid w:val="004D09D1"/>
    <w:rsid w:val="004D3202"/>
    <w:rsid w:val="004D3FA2"/>
    <w:rsid w:val="004D4343"/>
    <w:rsid w:val="004D6E26"/>
    <w:rsid w:val="004D6FE6"/>
    <w:rsid w:val="004D71D9"/>
    <w:rsid w:val="004D7C81"/>
    <w:rsid w:val="004E160B"/>
    <w:rsid w:val="004E1D5C"/>
    <w:rsid w:val="004E3689"/>
    <w:rsid w:val="004F11E3"/>
    <w:rsid w:val="004F1289"/>
    <w:rsid w:val="004F12B6"/>
    <w:rsid w:val="004F1E18"/>
    <w:rsid w:val="004F75DF"/>
    <w:rsid w:val="00504C9F"/>
    <w:rsid w:val="00505F32"/>
    <w:rsid w:val="005131C0"/>
    <w:rsid w:val="00514AF1"/>
    <w:rsid w:val="0051772E"/>
    <w:rsid w:val="005216A5"/>
    <w:rsid w:val="0053068E"/>
    <w:rsid w:val="00530C43"/>
    <w:rsid w:val="00536C8C"/>
    <w:rsid w:val="00540A2E"/>
    <w:rsid w:val="00543E1D"/>
    <w:rsid w:val="00551701"/>
    <w:rsid w:val="00555637"/>
    <w:rsid w:val="0055742F"/>
    <w:rsid w:val="00560483"/>
    <w:rsid w:val="0056437C"/>
    <w:rsid w:val="00566F1D"/>
    <w:rsid w:val="00566F23"/>
    <w:rsid w:val="00567CD6"/>
    <w:rsid w:val="0057591A"/>
    <w:rsid w:val="00576805"/>
    <w:rsid w:val="00577C43"/>
    <w:rsid w:val="00580B13"/>
    <w:rsid w:val="00581E6E"/>
    <w:rsid w:val="005859DB"/>
    <w:rsid w:val="0059050D"/>
    <w:rsid w:val="00593D2A"/>
    <w:rsid w:val="0059745D"/>
    <w:rsid w:val="005A0854"/>
    <w:rsid w:val="005A6C89"/>
    <w:rsid w:val="005A7021"/>
    <w:rsid w:val="005B5CD0"/>
    <w:rsid w:val="005C0C24"/>
    <w:rsid w:val="005C1B38"/>
    <w:rsid w:val="005C3009"/>
    <w:rsid w:val="005C53F1"/>
    <w:rsid w:val="005D4012"/>
    <w:rsid w:val="005D5161"/>
    <w:rsid w:val="005D6F18"/>
    <w:rsid w:val="005E0335"/>
    <w:rsid w:val="005E278B"/>
    <w:rsid w:val="005E693D"/>
    <w:rsid w:val="005F3336"/>
    <w:rsid w:val="005F3F04"/>
    <w:rsid w:val="006027D5"/>
    <w:rsid w:val="00606675"/>
    <w:rsid w:val="0061303E"/>
    <w:rsid w:val="00613578"/>
    <w:rsid w:val="00616D6C"/>
    <w:rsid w:val="006232F1"/>
    <w:rsid w:val="006237B9"/>
    <w:rsid w:val="00632104"/>
    <w:rsid w:val="00634431"/>
    <w:rsid w:val="00640CCA"/>
    <w:rsid w:val="0064270A"/>
    <w:rsid w:val="0064365F"/>
    <w:rsid w:val="00644774"/>
    <w:rsid w:val="006542E2"/>
    <w:rsid w:val="006673A9"/>
    <w:rsid w:val="00667C19"/>
    <w:rsid w:val="00667DF0"/>
    <w:rsid w:val="0067076E"/>
    <w:rsid w:val="00671140"/>
    <w:rsid w:val="00676C79"/>
    <w:rsid w:val="00677440"/>
    <w:rsid w:val="006871A7"/>
    <w:rsid w:val="00687651"/>
    <w:rsid w:val="006908AB"/>
    <w:rsid w:val="00695D68"/>
    <w:rsid w:val="00697004"/>
    <w:rsid w:val="00697DFC"/>
    <w:rsid w:val="006A0D7B"/>
    <w:rsid w:val="006A5F40"/>
    <w:rsid w:val="006B0C38"/>
    <w:rsid w:val="006B648C"/>
    <w:rsid w:val="006C017C"/>
    <w:rsid w:val="006C6898"/>
    <w:rsid w:val="006C6FEC"/>
    <w:rsid w:val="006D1C5E"/>
    <w:rsid w:val="006D26E2"/>
    <w:rsid w:val="006D287B"/>
    <w:rsid w:val="006D5A61"/>
    <w:rsid w:val="006D6094"/>
    <w:rsid w:val="006E2714"/>
    <w:rsid w:val="006E4121"/>
    <w:rsid w:val="006E6BE9"/>
    <w:rsid w:val="006F33D8"/>
    <w:rsid w:val="006F3CEF"/>
    <w:rsid w:val="006F5F9C"/>
    <w:rsid w:val="006F71B8"/>
    <w:rsid w:val="00700429"/>
    <w:rsid w:val="00702E16"/>
    <w:rsid w:val="007061FA"/>
    <w:rsid w:val="00707B53"/>
    <w:rsid w:val="00711BC1"/>
    <w:rsid w:val="007120FA"/>
    <w:rsid w:val="00713133"/>
    <w:rsid w:val="0071315A"/>
    <w:rsid w:val="0072504D"/>
    <w:rsid w:val="0072757C"/>
    <w:rsid w:val="00730980"/>
    <w:rsid w:val="00732368"/>
    <w:rsid w:val="00733AEA"/>
    <w:rsid w:val="007347A6"/>
    <w:rsid w:val="00735E50"/>
    <w:rsid w:val="00740310"/>
    <w:rsid w:val="00742C94"/>
    <w:rsid w:val="00753C6B"/>
    <w:rsid w:val="0076280D"/>
    <w:rsid w:val="00772569"/>
    <w:rsid w:val="007738ED"/>
    <w:rsid w:val="00773F09"/>
    <w:rsid w:val="00782076"/>
    <w:rsid w:val="0078314E"/>
    <w:rsid w:val="0078438A"/>
    <w:rsid w:val="0078664B"/>
    <w:rsid w:val="007868A2"/>
    <w:rsid w:val="00790B19"/>
    <w:rsid w:val="007935E6"/>
    <w:rsid w:val="00794650"/>
    <w:rsid w:val="007971F1"/>
    <w:rsid w:val="007A027C"/>
    <w:rsid w:val="007A4162"/>
    <w:rsid w:val="007A4636"/>
    <w:rsid w:val="007B0C8D"/>
    <w:rsid w:val="007B5CAC"/>
    <w:rsid w:val="007B629A"/>
    <w:rsid w:val="007C0D30"/>
    <w:rsid w:val="007C63B6"/>
    <w:rsid w:val="007D386E"/>
    <w:rsid w:val="007D4516"/>
    <w:rsid w:val="007D4E3F"/>
    <w:rsid w:val="007D58CF"/>
    <w:rsid w:val="007D5A9A"/>
    <w:rsid w:val="007D6685"/>
    <w:rsid w:val="007E02AA"/>
    <w:rsid w:val="007E4B7A"/>
    <w:rsid w:val="007E6CFC"/>
    <w:rsid w:val="007F4EC3"/>
    <w:rsid w:val="007F5E7C"/>
    <w:rsid w:val="007F61BB"/>
    <w:rsid w:val="007F7038"/>
    <w:rsid w:val="00800736"/>
    <w:rsid w:val="008020E4"/>
    <w:rsid w:val="00802F4F"/>
    <w:rsid w:val="0080478B"/>
    <w:rsid w:val="008049D1"/>
    <w:rsid w:val="00806473"/>
    <w:rsid w:val="00812AB9"/>
    <w:rsid w:val="00812C71"/>
    <w:rsid w:val="00814CC2"/>
    <w:rsid w:val="008219BB"/>
    <w:rsid w:val="008247EE"/>
    <w:rsid w:val="00824D14"/>
    <w:rsid w:val="008329F4"/>
    <w:rsid w:val="0083344F"/>
    <w:rsid w:val="00834EE2"/>
    <w:rsid w:val="00841DEE"/>
    <w:rsid w:val="008448AB"/>
    <w:rsid w:val="00846A84"/>
    <w:rsid w:val="0084736B"/>
    <w:rsid w:val="00855C7C"/>
    <w:rsid w:val="00861B72"/>
    <w:rsid w:val="008631AF"/>
    <w:rsid w:val="008672EE"/>
    <w:rsid w:val="0088009A"/>
    <w:rsid w:val="00880AA6"/>
    <w:rsid w:val="008841A7"/>
    <w:rsid w:val="008908E5"/>
    <w:rsid w:val="00890B80"/>
    <w:rsid w:val="00895F03"/>
    <w:rsid w:val="008970A6"/>
    <w:rsid w:val="008972B3"/>
    <w:rsid w:val="008A1838"/>
    <w:rsid w:val="008A38DD"/>
    <w:rsid w:val="008A3E2A"/>
    <w:rsid w:val="008A4BC7"/>
    <w:rsid w:val="008B4527"/>
    <w:rsid w:val="008B4B4C"/>
    <w:rsid w:val="008B7FCD"/>
    <w:rsid w:val="008C1251"/>
    <w:rsid w:val="008C21F2"/>
    <w:rsid w:val="008C3C28"/>
    <w:rsid w:val="008C64E9"/>
    <w:rsid w:val="008D4991"/>
    <w:rsid w:val="008D5471"/>
    <w:rsid w:val="008D5A78"/>
    <w:rsid w:val="008D5DA0"/>
    <w:rsid w:val="008D620B"/>
    <w:rsid w:val="008D78A4"/>
    <w:rsid w:val="008E3BDA"/>
    <w:rsid w:val="008E6F37"/>
    <w:rsid w:val="008F2F82"/>
    <w:rsid w:val="008F3BF2"/>
    <w:rsid w:val="008F4DD5"/>
    <w:rsid w:val="008F5001"/>
    <w:rsid w:val="008F5EA1"/>
    <w:rsid w:val="00900AB3"/>
    <w:rsid w:val="00901679"/>
    <w:rsid w:val="00902262"/>
    <w:rsid w:val="009030D4"/>
    <w:rsid w:val="00905A21"/>
    <w:rsid w:val="00911621"/>
    <w:rsid w:val="0091355C"/>
    <w:rsid w:val="00913A0B"/>
    <w:rsid w:val="009200A5"/>
    <w:rsid w:val="0092564B"/>
    <w:rsid w:val="00926ED0"/>
    <w:rsid w:val="00935EE5"/>
    <w:rsid w:val="009429A0"/>
    <w:rsid w:val="00944E41"/>
    <w:rsid w:val="00945116"/>
    <w:rsid w:val="009467FB"/>
    <w:rsid w:val="00950084"/>
    <w:rsid w:val="00953AEF"/>
    <w:rsid w:val="00954749"/>
    <w:rsid w:val="00956055"/>
    <w:rsid w:val="00956538"/>
    <w:rsid w:val="00960BF6"/>
    <w:rsid w:val="00966BBE"/>
    <w:rsid w:val="00971985"/>
    <w:rsid w:val="00976018"/>
    <w:rsid w:val="00976A18"/>
    <w:rsid w:val="00982236"/>
    <w:rsid w:val="009836EC"/>
    <w:rsid w:val="00984B57"/>
    <w:rsid w:val="00986349"/>
    <w:rsid w:val="009868DA"/>
    <w:rsid w:val="009871C5"/>
    <w:rsid w:val="009906E5"/>
    <w:rsid w:val="009908A7"/>
    <w:rsid w:val="00991BD1"/>
    <w:rsid w:val="00992A9D"/>
    <w:rsid w:val="0099460B"/>
    <w:rsid w:val="0099465D"/>
    <w:rsid w:val="00996976"/>
    <w:rsid w:val="009A47E6"/>
    <w:rsid w:val="009B1057"/>
    <w:rsid w:val="009B1323"/>
    <w:rsid w:val="009C14B9"/>
    <w:rsid w:val="009C206C"/>
    <w:rsid w:val="009C2362"/>
    <w:rsid w:val="009C7665"/>
    <w:rsid w:val="009D4203"/>
    <w:rsid w:val="009E0AE9"/>
    <w:rsid w:val="009E3A22"/>
    <w:rsid w:val="009E4298"/>
    <w:rsid w:val="009E7BC9"/>
    <w:rsid w:val="009E7BEC"/>
    <w:rsid w:val="009F1B88"/>
    <w:rsid w:val="009F3815"/>
    <w:rsid w:val="009F5409"/>
    <w:rsid w:val="00A010B1"/>
    <w:rsid w:val="00A02DD6"/>
    <w:rsid w:val="00A11290"/>
    <w:rsid w:val="00A115A2"/>
    <w:rsid w:val="00A1609F"/>
    <w:rsid w:val="00A17E25"/>
    <w:rsid w:val="00A208D8"/>
    <w:rsid w:val="00A214BD"/>
    <w:rsid w:val="00A23855"/>
    <w:rsid w:val="00A24F6A"/>
    <w:rsid w:val="00A26B65"/>
    <w:rsid w:val="00A32DA7"/>
    <w:rsid w:val="00A33751"/>
    <w:rsid w:val="00A33A0F"/>
    <w:rsid w:val="00A34B56"/>
    <w:rsid w:val="00A3605C"/>
    <w:rsid w:val="00A3758F"/>
    <w:rsid w:val="00A4019C"/>
    <w:rsid w:val="00A42968"/>
    <w:rsid w:val="00A42D5D"/>
    <w:rsid w:val="00A44637"/>
    <w:rsid w:val="00A452E4"/>
    <w:rsid w:val="00A45C13"/>
    <w:rsid w:val="00A5004D"/>
    <w:rsid w:val="00A50CFB"/>
    <w:rsid w:val="00A52626"/>
    <w:rsid w:val="00A531A6"/>
    <w:rsid w:val="00A5544D"/>
    <w:rsid w:val="00A56C60"/>
    <w:rsid w:val="00A601E1"/>
    <w:rsid w:val="00A6087D"/>
    <w:rsid w:val="00A620A3"/>
    <w:rsid w:val="00A64254"/>
    <w:rsid w:val="00A675DD"/>
    <w:rsid w:val="00A70788"/>
    <w:rsid w:val="00A71010"/>
    <w:rsid w:val="00A72BC5"/>
    <w:rsid w:val="00A75D39"/>
    <w:rsid w:val="00A75F3F"/>
    <w:rsid w:val="00A83D3A"/>
    <w:rsid w:val="00A841F8"/>
    <w:rsid w:val="00A8593B"/>
    <w:rsid w:val="00A86CBD"/>
    <w:rsid w:val="00A95E5E"/>
    <w:rsid w:val="00AA2195"/>
    <w:rsid w:val="00AA595F"/>
    <w:rsid w:val="00AA5CE7"/>
    <w:rsid w:val="00AA76B1"/>
    <w:rsid w:val="00AB5103"/>
    <w:rsid w:val="00AB5426"/>
    <w:rsid w:val="00AB6E4B"/>
    <w:rsid w:val="00AB6E94"/>
    <w:rsid w:val="00AC1C67"/>
    <w:rsid w:val="00AC4015"/>
    <w:rsid w:val="00AD2A4C"/>
    <w:rsid w:val="00AD3C49"/>
    <w:rsid w:val="00AD6C6D"/>
    <w:rsid w:val="00AD76E1"/>
    <w:rsid w:val="00AE045D"/>
    <w:rsid w:val="00AE205B"/>
    <w:rsid w:val="00AE33FF"/>
    <w:rsid w:val="00AE3D6C"/>
    <w:rsid w:val="00AF11CF"/>
    <w:rsid w:val="00AF3B23"/>
    <w:rsid w:val="00AF5856"/>
    <w:rsid w:val="00AF6DAE"/>
    <w:rsid w:val="00B003A3"/>
    <w:rsid w:val="00B01CB8"/>
    <w:rsid w:val="00B07661"/>
    <w:rsid w:val="00B10ED0"/>
    <w:rsid w:val="00B11811"/>
    <w:rsid w:val="00B118CE"/>
    <w:rsid w:val="00B2105E"/>
    <w:rsid w:val="00B215FA"/>
    <w:rsid w:val="00B2273A"/>
    <w:rsid w:val="00B25BA6"/>
    <w:rsid w:val="00B375AB"/>
    <w:rsid w:val="00B401E2"/>
    <w:rsid w:val="00B4045F"/>
    <w:rsid w:val="00B43D32"/>
    <w:rsid w:val="00B449CF"/>
    <w:rsid w:val="00B5624F"/>
    <w:rsid w:val="00B624C6"/>
    <w:rsid w:val="00B64D8C"/>
    <w:rsid w:val="00B6520A"/>
    <w:rsid w:val="00B669EF"/>
    <w:rsid w:val="00B71B7B"/>
    <w:rsid w:val="00B72F38"/>
    <w:rsid w:val="00B76838"/>
    <w:rsid w:val="00B83666"/>
    <w:rsid w:val="00B846DC"/>
    <w:rsid w:val="00B85BC8"/>
    <w:rsid w:val="00B90E3C"/>
    <w:rsid w:val="00B9497B"/>
    <w:rsid w:val="00B95FD0"/>
    <w:rsid w:val="00B96B75"/>
    <w:rsid w:val="00BA1976"/>
    <w:rsid w:val="00BA1C78"/>
    <w:rsid w:val="00BA623F"/>
    <w:rsid w:val="00BC502C"/>
    <w:rsid w:val="00BC661A"/>
    <w:rsid w:val="00BD19A0"/>
    <w:rsid w:val="00BD249C"/>
    <w:rsid w:val="00BD32C2"/>
    <w:rsid w:val="00BD6942"/>
    <w:rsid w:val="00BD7C3A"/>
    <w:rsid w:val="00BE2BC2"/>
    <w:rsid w:val="00BE2C31"/>
    <w:rsid w:val="00BE645C"/>
    <w:rsid w:val="00BF04BB"/>
    <w:rsid w:val="00BF0E10"/>
    <w:rsid w:val="00BF5244"/>
    <w:rsid w:val="00BF7FFC"/>
    <w:rsid w:val="00C026B4"/>
    <w:rsid w:val="00C03123"/>
    <w:rsid w:val="00C0348E"/>
    <w:rsid w:val="00C035F8"/>
    <w:rsid w:val="00C03FC0"/>
    <w:rsid w:val="00C05342"/>
    <w:rsid w:val="00C07758"/>
    <w:rsid w:val="00C07E37"/>
    <w:rsid w:val="00C2075C"/>
    <w:rsid w:val="00C21D09"/>
    <w:rsid w:val="00C2309B"/>
    <w:rsid w:val="00C232F5"/>
    <w:rsid w:val="00C24AC0"/>
    <w:rsid w:val="00C24B9B"/>
    <w:rsid w:val="00C333B0"/>
    <w:rsid w:val="00C33BB9"/>
    <w:rsid w:val="00C34900"/>
    <w:rsid w:val="00C34E9E"/>
    <w:rsid w:val="00C36CAC"/>
    <w:rsid w:val="00C471D6"/>
    <w:rsid w:val="00C50B6E"/>
    <w:rsid w:val="00C51D8E"/>
    <w:rsid w:val="00C709F7"/>
    <w:rsid w:val="00C72278"/>
    <w:rsid w:val="00C76E78"/>
    <w:rsid w:val="00C77B56"/>
    <w:rsid w:val="00C81552"/>
    <w:rsid w:val="00C93349"/>
    <w:rsid w:val="00C93571"/>
    <w:rsid w:val="00C93FAB"/>
    <w:rsid w:val="00C953C9"/>
    <w:rsid w:val="00CA2A17"/>
    <w:rsid w:val="00CA30EC"/>
    <w:rsid w:val="00CA56FF"/>
    <w:rsid w:val="00CB175F"/>
    <w:rsid w:val="00CB1BDD"/>
    <w:rsid w:val="00CB6429"/>
    <w:rsid w:val="00CB6596"/>
    <w:rsid w:val="00CB6BAB"/>
    <w:rsid w:val="00CB716A"/>
    <w:rsid w:val="00CC674F"/>
    <w:rsid w:val="00CD0CF5"/>
    <w:rsid w:val="00CD2CDE"/>
    <w:rsid w:val="00CD3F6D"/>
    <w:rsid w:val="00CE73F1"/>
    <w:rsid w:val="00CF4783"/>
    <w:rsid w:val="00D018AD"/>
    <w:rsid w:val="00D02738"/>
    <w:rsid w:val="00D05066"/>
    <w:rsid w:val="00D106D8"/>
    <w:rsid w:val="00D11899"/>
    <w:rsid w:val="00D1755C"/>
    <w:rsid w:val="00D20C23"/>
    <w:rsid w:val="00D22873"/>
    <w:rsid w:val="00D345E2"/>
    <w:rsid w:val="00D37A44"/>
    <w:rsid w:val="00D40D16"/>
    <w:rsid w:val="00D41F21"/>
    <w:rsid w:val="00D4307E"/>
    <w:rsid w:val="00D43705"/>
    <w:rsid w:val="00D4388C"/>
    <w:rsid w:val="00D45480"/>
    <w:rsid w:val="00D50209"/>
    <w:rsid w:val="00D56D4F"/>
    <w:rsid w:val="00D606EE"/>
    <w:rsid w:val="00D61D09"/>
    <w:rsid w:val="00D705C0"/>
    <w:rsid w:val="00D70E21"/>
    <w:rsid w:val="00D73298"/>
    <w:rsid w:val="00D73ABA"/>
    <w:rsid w:val="00D748AF"/>
    <w:rsid w:val="00D74B58"/>
    <w:rsid w:val="00D75BDB"/>
    <w:rsid w:val="00D81835"/>
    <w:rsid w:val="00D878E4"/>
    <w:rsid w:val="00D94666"/>
    <w:rsid w:val="00DA170D"/>
    <w:rsid w:val="00DB05C2"/>
    <w:rsid w:val="00DB1033"/>
    <w:rsid w:val="00DB2537"/>
    <w:rsid w:val="00DB70B9"/>
    <w:rsid w:val="00DC0CB3"/>
    <w:rsid w:val="00DC1DA8"/>
    <w:rsid w:val="00DC3746"/>
    <w:rsid w:val="00DC797B"/>
    <w:rsid w:val="00DD0B00"/>
    <w:rsid w:val="00DD52CE"/>
    <w:rsid w:val="00DD5510"/>
    <w:rsid w:val="00DD6961"/>
    <w:rsid w:val="00DE06D0"/>
    <w:rsid w:val="00DE1688"/>
    <w:rsid w:val="00DE3B36"/>
    <w:rsid w:val="00DE50FB"/>
    <w:rsid w:val="00DE79BC"/>
    <w:rsid w:val="00DF0D65"/>
    <w:rsid w:val="00DF13C4"/>
    <w:rsid w:val="00DF16A9"/>
    <w:rsid w:val="00DF1C69"/>
    <w:rsid w:val="00DF27F6"/>
    <w:rsid w:val="00DF49C3"/>
    <w:rsid w:val="00DF6D61"/>
    <w:rsid w:val="00E031A6"/>
    <w:rsid w:val="00E03583"/>
    <w:rsid w:val="00E0518B"/>
    <w:rsid w:val="00E10713"/>
    <w:rsid w:val="00E16241"/>
    <w:rsid w:val="00E25F14"/>
    <w:rsid w:val="00E30FFA"/>
    <w:rsid w:val="00E31141"/>
    <w:rsid w:val="00E32FA5"/>
    <w:rsid w:val="00E33A0D"/>
    <w:rsid w:val="00E34937"/>
    <w:rsid w:val="00E356D9"/>
    <w:rsid w:val="00E36CBA"/>
    <w:rsid w:val="00E401B7"/>
    <w:rsid w:val="00E412F9"/>
    <w:rsid w:val="00E443F2"/>
    <w:rsid w:val="00E46850"/>
    <w:rsid w:val="00E47971"/>
    <w:rsid w:val="00E47B1E"/>
    <w:rsid w:val="00E51655"/>
    <w:rsid w:val="00E603E8"/>
    <w:rsid w:val="00E6135A"/>
    <w:rsid w:val="00E9201A"/>
    <w:rsid w:val="00E960CF"/>
    <w:rsid w:val="00EA0995"/>
    <w:rsid w:val="00EA33D6"/>
    <w:rsid w:val="00EB0E05"/>
    <w:rsid w:val="00EB2140"/>
    <w:rsid w:val="00EB34B2"/>
    <w:rsid w:val="00EB5C55"/>
    <w:rsid w:val="00ED7CAE"/>
    <w:rsid w:val="00EE14D6"/>
    <w:rsid w:val="00EE28D5"/>
    <w:rsid w:val="00EE4845"/>
    <w:rsid w:val="00EE5D44"/>
    <w:rsid w:val="00EF3210"/>
    <w:rsid w:val="00EF370C"/>
    <w:rsid w:val="00EF3AD4"/>
    <w:rsid w:val="00EF7160"/>
    <w:rsid w:val="00F0224B"/>
    <w:rsid w:val="00F044E0"/>
    <w:rsid w:val="00F070DA"/>
    <w:rsid w:val="00F073E8"/>
    <w:rsid w:val="00F07F09"/>
    <w:rsid w:val="00F130CE"/>
    <w:rsid w:val="00F13796"/>
    <w:rsid w:val="00F15183"/>
    <w:rsid w:val="00F17FE3"/>
    <w:rsid w:val="00F22B1C"/>
    <w:rsid w:val="00F23C4C"/>
    <w:rsid w:val="00F323F5"/>
    <w:rsid w:val="00F34393"/>
    <w:rsid w:val="00F34E1B"/>
    <w:rsid w:val="00F35C0A"/>
    <w:rsid w:val="00F36F8B"/>
    <w:rsid w:val="00F421AD"/>
    <w:rsid w:val="00F42549"/>
    <w:rsid w:val="00F42C2B"/>
    <w:rsid w:val="00F447CB"/>
    <w:rsid w:val="00F508A9"/>
    <w:rsid w:val="00F51924"/>
    <w:rsid w:val="00F53171"/>
    <w:rsid w:val="00F53235"/>
    <w:rsid w:val="00F548A9"/>
    <w:rsid w:val="00F5528E"/>
    <w:rsid w:val="00F57BE2"/>
    <w:rsid w:val="00F57C57"/>
    <w:rsid w:val="00F61029"/>
    <w:rsid w:val="00F625BB"/>
    <w:rsid w:val="00F64EC4"/>
    <w:rsid w:val="00F70577"/>
    <w:rsid w:val="00F7262C"/>
    <w:rsid w:val="00F758AC"/>
    <w:rsid w:val="00F7655C"/>
    <w:rsid w:val="00F80103"/>
    <w:rsid w:val="00F91137"/>
    <w:rsid w:val="00F91752"/>
    <w:rsid w:val="00F91940"/>
    <w:rsid w:val="00F9487A"/>
    <w:rsid w:val="00FA3F2B"/>
    <w:rsid w:val="00FA40F5"/>
    <w:rsid w:val="00FA4BF0"/>
    <w:rsid w:val="00FA65F9"/>
    <w:rsid w:val="00FA770F"/>
    <w:rsid w:val="00FB1CCE"/>
    <w:rsid w:val="00FB47B4"/>
    <w:rsid w:val="00FC40B0"/>
    <w:rsid w:val="00FC53F1"/>
    <w:rsid w:val="00FC5FDD"/>
    <w:rsid w:val="00FD0BF6"/>
    <w:rsid w:val="00FD21A1"/>
    <w:rsid w:val="00FD2937"/>
    <w:rsid w:val="00FD2F0C"/>
    <w:rsid w:val="00FD328D"/>
    <w:rsid w:val="00FD33F7"/>
    <w:rsid w:val="00FD5F59"/>
    <w:rsid w:val="00FD7680"/>
    <w:rsid w:val="00FE11BF"/>
    <w:rsid w:val="00FE4974"/>
    <w:rsid w:val="00FE7EC0"/>
    <w:rsid w:val="00FF07A2"/>
    <w:rsid w:val="00FF0F96"/>
    <w:rsid w:val="00FF31F3"/>
    <w:rsid w:val="01EC3E90"/>
    <w:rsid w:val="048654CC"/>
    <w:rsid w:val="05CF1AFF"/>
    <w:rsid w:val="091A6C9B"/>
    <w:rsid w:val="0AB85257"/>
    <w:rsid w:val="0AC21C32"/>
    <w:rsid w:val="0B971C58"/>
    <w:rsid w:val="0CF56900"/>
    <w:rsid w:val="0D75742F"/>
    <w:rsid w:val="0E201452"/>
    <w:rsid w:val="0F50525D"/>
    <w:rsid w:val="102F7D69"/>
    <w:rsid w:val="10514777"/>
    <w:rsid w:val="121B5044"/>
    <w:rsid w:val="141E7893"/>
    <w:rsid w:val="15164C23"/>
    <w:rsid w:val="15567B46"/>
    <w:rsid w:val="15D1725F"/>
    <w:rsid w:val="16685D83"/>
    <w:rsid w:val="17224BAF"/>
    <w:rsid w:val="19007553"/>
    <w:rsid w:val="19CE286F"/>
    <w:rsid w:val="19FD1EFF"/>
    <w:rsid w:val="1BC9740D"/>
    <w:rsid w:val="1CE0756D"/>
    <w:rsid w:val="1DB1093D"/>
    <w:rsid w:val="1E516249"/>
    <w:rsid w:val="1F016D75"/>
    <w:rsid w:val="1F4C704E"/>
    <w:rsid w:val="1FA61B9A"/>
    <w:rsid w:val="2076777E"/>
    <w:rsid w:val="20857532"/>
    <w:rsid w:val="21D2045E"/>
    <w:rsid w:val="23267D73"/>
    <w:rsid w:val="23644CA9"/>
    <w:rsid w:val="23694EE9"/>
    <w:rsid w:val="24E17AEB"/>
    <w:rsid w:val="25474784"/>
    <w:rsid w:val="261C37C6"/>
    <w:rsid w:val="27063B0B"/>
    <w:rsid w:val="27D233A4"/>
    <w:rsid w:val="299F1664"/>
    <w:rsid w:val="2C2C4A8C"/>
    <w:rsid w:val="2CC31678"/>
    <w:rsid w:val="2ECB7FFA"/>
    <w:rsid w:val="2F57653D"/>
    <w:rsid w:val="2FFA225B"/>
    <w:rsid w:val="305331A8"/>
    <w:rsid w:val="3153256A"/>
    <w:rsid w:val="328E4700"/>
    <w:rsid w:val="329A50BF"/>
    <w:rsid w:val="35922953"/>
    <w:rsid w:val="36D30B9F"/>
    <w:rsid w:val="370F5306"/>
    <w:rsid w:val="3758490E"/>
    <w:rsid w:val="380F40E3"/>
    <w:rsid w:val="3B331C0C"/>
    <w:rsid w:val="3DD01E01"/>
    <w:rsid w:val="3DD9742F"/>
    <w:rsid w:val="3ED8221C"/>
    <w:rsid w:val="428347BC"/>
    <w:rsid w:val="439A3921"/>
    <w:rsid w:val="45244351"/>
    <w:rsid w:val="46BD6147"/>
    <w:rsid w:val="49153299"/>
    <w:rsid w:val="4A3611CA"/>
    <w:rsid w:val="4A9414B4"/>
    <w:rsid w:val="4B7428E3"/>
    <w:rsid w:val="4CAA1D33"/>
    <w:rsid w:val="4D7E6F83"/>
    <w:rsid w:val="4DD76D6F"/>
    <w:rsid w:val="4F1162B1"/>
    <w:rsid w:val="4F7B6486"/>
    <w:rsid w:val="4FA460AA"/>
    <w:rsid w:val="4FD57FA1"/>
    <w:rsid w:val="506013B4"/>
    <w:rsid w:val="51854C81"/>
    <w:rsid w:val="561F1726"/>
    <w:rsid w:val="578C0BCA"/>
    <w:rsid w:val="5CCC2400"/>
    <w:rsid w:val="5D430888"/>
    <w:rsid w:val="5E847365"/>
    <w:rsid w:val="5F4C0C3F"/>
    <w:rsid w:val="64137F7D"/>
    <w:rsid w:val="64277C8E"/>
    <w:rsid w:val="64300F84"/>
    <w:rsid w:val="64BD2495"/>
    <w:rsid w:val="66AA4BC9"/>
    <w:rsid w:val="688C5AF4"/>
    <w:rsid w:val="69224790"/>
    <w:rsid w:val="699F53F8"/>
    <w:rsid w:val="6A4E6CF1"/>
    <w:rsid w:val="6F737D85"/>
    <w:rsid w:val="6FF33435"/>
    <w:rsid w:val="706A2558"/>
    <w:rsid w:val="72190E55"/>
    <w:rsid w:val="7372081D"/>
    <w:rsid w:val="74410A74"/>
    <w:rsid w:val="748A6AD8"/>
    <w:rsid w:val="74EB4D2A"/>
    <w:rsid w:val="784B7842"/>
    <w:rsid w:val="7B615811"/>
    <w:rsid w:val="7B8E4662"/>
    <w:rsid w:val="7E505BFE"/>
    <w:rsid w:val="7EDC56E4"/>
    <w:rsid w:val="7FB1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00" w:firstLine="559"/>
      <w:jc w:val="left"/>
    </w:pPr>
    <w:rPr>
      <w:rFonts w:ascii="宋体" w:hAnsi="宋体"/>
      <w:kern w:val="0"/>
      <w:sz w:val="28"/>
      <w:szCs w:val="28"/>
      <w:lang w:eastAsia="en-US"/>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qFormat/>
    <w:uiPriority w:val="0"/>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table" w:customStyle="1" w:styleId="13">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利用事务中心</Company>
  <Pages>4</Pages>
  <Words>2610</Words>
  <Characters>2869</Characters>
  <Lines>22</Lines>
  <Paragraphs>6</Paragraphs>
  <TotalTime>1</TotalTime>
  <ScaleCrop>false</ScaleCrop>
  <LinksUpToDate>false</LinksUpToDate>
  <CharactersWithSpaces>2877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2019-08-15T01:32:00Z</dcterms:created>
  <dc:creator>赵国华</dc:creator>
  <cp:lastModifiedBy>Administrator</cp:lastModifiedBy>
  <cp:lastPrinted>2024-04-03T01:53:00Z</cp:lastPrinted>
  <dcterms:modified xsi:type="dcterms:W3CDTF">2024-06-29T05:50:56Z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445151B4394B4A2A930533A70256497A_13</vt:lpwstr>
  </property>
</Properties>
</file>