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2024年丰都县规划和自然资源局</w:t>
      </w:r>
    </w:p>
    <w:p>
      <w:pPr>
        <w:jc w:val="center"/>
        <w:rPr>
          <w:rFonts w:hint="default" w:eastAsiaTheme="minorEastAsia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vertAlign w:val="baseline"/>
          <w:lang w:val="en-US" w:eastAsia="zh-CN"/>
        </w:rPr>
        <w:t>行政事业性收费表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670"/>
        <w:gridCol w:w="279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2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收费事项</w:t>
            </w:r>
          </w:p>
        </w:tc>
        <w:tc>
          <w:tcPr>
            <w:tcW w:w="2795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收费金额（万元）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耕地开垦费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20178.33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土地闲置费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不动产登记费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178.32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土地复垦费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信息公开处理费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4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79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20356.32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2E3OWI5NWZiYzk3YzljMzZlNzFmNGYzOWZlNjcifQ=="/>
    <w:docVar w:name="KSO_WPS_MARK_KEY" w:val="ed6d0b7e-c1a3-454a-8838-aacc07cf15ef"/>
  </w:docVars>
  <w:rsids>
    <w:rsidRoot w:val="733C1A4C"/>
    <w:rsid w:val="733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100</Characters>
  <Lines>0</Lines>
  <Paragraphs>0</Paragraphs>
  <TotalTime>0</TotalTime>
  <ScaleCrop>false</ScaleCrop>
  <LinksUpToDate>false</LinksUpToDate>
  <CharactersWithSpaces>100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2025-01-20T08:07:00Z</dcterms:created>
  <dc:creator>Administrator</dc:creator>
  <cp:lastModifiedBy>Administrator</cp:lastModifiedBy>
  <dcterms:modified xsi:type="dcterms:W3CDTF">2025-01-20T08:09:17Z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6A06CE3B5B4E4ECFA2BF9D3F22375D56_11</vt:lpwstr>
  </property>
</Properties>
</file>