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pStyle w:val="2"/>
        <w:spacing w:before="11"/>
        <w:rPr>
          <w:rFonts w:ascii="Times New Roman" w:hAnsi="Times New Roman" w:eastAsia="仿宋" w:cs="Times New Roman"/>
          <w:sz w:val="23"/>
        </w:rPr>
      </w:pPr>
    </w:p>
    <w:p>
      <w:pPr>
        <w:autoSpaceDE w:val="0"/>
        <w:autoSpaceDN w:val="0"/>
        <w:spacing w:line="542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丰都县农用地基准地价表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08"/>
        <w:gridCol w:w="1210"/>
        <w:gridCol w:w="1231"/>
        <w:gridCol w:w="1188"/>
        <w:gridCol w:w="1210"/>
        <w:gridCol w:w="1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4"/>
              </w:rPr>
              <w:t>级别</w:t>
            </w:r>
          </w:p>
        </w:tc>
        <w:tc>
          <w:tcPr>
            <w:tcW w:w="2418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4"/>
              </w:rPr>
              <w:t>水田</w:t>
            </w:r>
          </w:p>
        </w:tc>
        <w:tc>
          <w:tcPr>
            <w:tcW w:w="2419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4"/>
              </w:rPr>
              <w:t>旱地</w:t>
            </w:r>
          </w:p>
        </w:tc>
        <w:tc>
          <w:tcPr>
            <w:tcW w:w="2417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4"/>
              </w:rPr>
              <w:t>园地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4"/>
              </w:rPr>
              <w:t>元</w:t>
            </w:r>
            <w:r>
              <w:rPr>
                <w:rFonts w:ascii="Times New Roman" w:hAnsi="Times New Roman" w:eastAsia="仿宋"/>
                <w:kern w:val="0"/>
                <w:sz w:val="24"/>
              </w:rPr>
              <w:t>/</w:t>
            </w:r>
            <w:r>
              <w:rPr>
                <w:rFonts w:ascii="Times New Roman" w:hAnsi="仿宋" w:eastAsia="仿宋"/>
                <w:kern w:val="0"/>
                <w:sz w:val="24"/>
              </w:rPr>
              <w:t>㎡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4"/>
              </w:rPr>
              <w:t>元</w:t>
            </w:r>
            <w:r>
              <w:rPr>
                <w:rFonts w:ascii="Times New Roman" w:hAnsi="Times New Roman" w:eastAsia="仿宋"/>
                <w:kern w:val="0"/>
                <w:sz w:val="24"/>
              </w:rPr>
              <w:t>/</w:t>
            </w:r>
            <w:r>
              <w:rPr>
                <w:rFonts w:ascii="Times New Roman" w:hAnsi="仿宋" w:eastAsia="仿宋"/>
                <w:kern w:val="0"/>
                <w:sz w:val="24"/>
              </w:rPr>
              <w:t>亩</w:t>
            </w:r>
          </w:p>
        </w:tc>
        <w:tc>
          <w:tcPr>
            <w:tcW w:w="123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4"/>
              </w:rPr>
              <w:t>元</w:t>
            </w:r>
            <w:r>
              <w:rPr>
                <w:rFonts w:ascii="Times New Roman" w:hAnsi="Times New Roman" w:eastAsia="仿宋"/>
                <w:kern w:val="0"/>
                <w:sz w:val="24"/>
              </w:rPr>
              <w:t>/</w:t>
            </w:r>
            <w:r>
              <w:rPr>
                <w:rFonts w:ascii="Times New Roman" w:hAnsi="仿宋" w:eastAsia="仿宋"/>
                <w:kern w:val="0"/>
                <w:sz w:val="24"/>
              </w:rPr>
              <w:t>㎡</w:t>
            </w:r>
          </w:p>
        </w:tc>
        <w:tc>
          <w:tcPr>
            <w:tcW w:w="118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4"/>
              </w:rPr>
              <w:t>元</w:t>
            </w:r>
            <w:r>
              <w:rPr>
                <w:rFonts w:ascii="Times New Roman" w:hAnsi="Times New Roman" w:eastAsia="仿宋"/>
                <w:kern w:val="0"/>
                <w:sz w:val="24"/>
              </w:rPr>
              <w:t>/</w:t>
            </w:r>
            <w:r>
              <w:rPr>
                <w:rFonts w:ascii="Times New Roman" w:hAnsi="仿宋" w:eastAsia="仿宋"/>
                <w:kern w:val="0"/>
                <w:sz w:val="24"/>
              </w:rPr>
              <w:t>亩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4"/>
              </w:rPr>
              <w:t>元</w:t>
            </w:r>
            <w:r>
              <w:rPr>
                <w:rFonts w:ascii="Times New Roman" w:hAnsi="Times New Roman" w:eastAsia="仿宋"/>
                <w:kern w:val="0"/>
                <w:sz w:val="24"/>
              </w:rPr>
              <w:t>/</w:t>
            </w:r>
            <w:r>
              <w:rPr>
                <w:rFonts w:ascii="Times New Roman" w:hAnsi="仿宋" w:eastAsia="仿宋"/>
                <w:kern w:val="0"/>
                <w:sz w:val="24"/>
              </w:rPr>
              <w:t>㎡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4"/>
              </w:rPr>
              <w:t>元</w:t>
            </w:r>
            <w:r>
              <w:rPr>
                <w:rFonts w:ascii="Times New Roman" w:hAnsi="Times New Roman" w:eastAsia="仿宋"/>
                <w:kern w:val="0"/>
                <w:sz w:val="24"/>
              </w:rPr>
              <w:t>/</w:t>
            </w:r>
            <w:r>
              <w:rPr>
                <w:rFonts w:ascii="Times New Roman" w:hAnsi="仿宋" w:eastAsia="仿宋"/>
                <w:kern w:val="0"/>
                <w:sz w:val="24"/>
              </w:rPr>
              <w:t>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ascii="Times New Roman" w:hAnsi="仿宋" w:eastAsia="仿宋"/>
                <w:kern w:val="0"/>
                <w:sz w:val="24"/>
              </w:rPr>
              <w:t>级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52.38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34920</w:t>
            </w:r>
          </w:p>
        </w:tc>
        <w:tc>
          <w:tcPr>
            <w:tcW w:w="123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34.98</w:t>
            </w:r>
          </w:p>
        </w:tc>
        <w:tc>
          <w:tcPr>
            <w:tcW w:w="118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23320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26.8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17870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</w:t>
            </w:r>
            <w:r>
              <w:rPr>
                <w:rFonts w:ascii="Times New Roman" w:hAnsi="仿宋" w:eastAsia="仿宋"/>
                <w:kern w:val="0"/>
                <w:sz w:val="24"/>
              </w:rPr>
              <w:t>级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41.59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27730</w:t>
            </w:r>
          </w:p>
        </w:tc>
        <w:tc>
          <w:tcPr>
            <w:tcW w:w="123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27.58</w:t>
            </w:r>
          </w:p>
        </w:tc>
        <w:tc>
          <w:tcPr>
            <w:tcW w:w="118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18390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20.59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13730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</w:t>
            </w:r>
            <w:r>
              <w:rPr>
                <w:rFonts w:ascii="Times New Roman" w:hAnsi="仿宋" w:eastAsia="仿宋"/>
                <w:kern w:val="0"/>
                <w:sz w:val="24"/>
              </w:rPr>
              <w:t>级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33.34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22230</w:t>
            </w:r>
          </w:p>
        </w:tc>
        <w:tc>
          <w:tcPr>
            <w:tcW w:w="123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22.14</w:t>
            </w:r>
          </w:p>
        </w:tc>
        <w:tc>
          <w:tcPr>
            <w:tcW w:w="118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14760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16.9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11270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4</w:t>
            </w:r>
            <w:r>
              <w:rPr>
                <w:rFonts w:ascii="Times New Roman" w:hAnsi="仿宋" w:eastAsia="仿宋"/>
                <w:kern w:val="0"/>
                <w:sz w:val="24"/>
              </w:rPr>
              <w:t>级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27.78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18520</w:t>
            </w:r>
          </w:p>
        </w:tc>
        <w:tc>
          <w:tcPr>
            <w:tcW w:w="123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18.45</w:t>
            </w:r>
          </w:p>
        </w:tc>
        <w:tc>
          <w:tcPr>
            <w:tcW w:w="118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12300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14.17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9450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5</w:t>
            </w:r>
            <w:r>
              <w:rPr>
                <w:rFonts w:ascii="Times New Roman" w:hAnsi="仿宋" w:eastAsia="仿宋"/>
                <w:kern w:val="0"/>
                <w:sz w:val="24"/>
              </w:rPr>
              <w:t>级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23.41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15610</w:t>
            </w:r>
          </w:p>
        </w:tc>
        <w:tc>
          <w:tcPr>
            <w:tcW w:w="123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15.57</w:t>
            </w:r>
          </w:p>
        </w:tc>
        <w:tc>
          <w:tcPr>
            <w:tcW w:w="118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10380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11.56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7710</w:t>
            </w:r>
          </w:p>
        </w:tc>
      </w:tr>
    </w:tbl>
    <w:p>
      <w:pPr>
        <w:widowControl/>
        <w:spacing w:line="400" w:lineRule="exact"/>
        <w:ind w:left="806" w:hanging="806" w:hangingChars="448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仿宋" w:eastAsia="仿宋"/>
          <w:sz w:val="18"/>
          <w:szCs w:val="18"/>
        </w:rPr>
        <w:t>备注：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sz w:val="18"/>
          <w:szCs w:val="18"/>
        </w:rPr>
        <w:t xml:space="preserve">1. </w:t>
      </w:r>
      <w:r>
        <w:rPr>
          <w:rFonts w:ascii="Times New Roman" w:hAnsi="仿宋" w:eastAsia="仿宋"/>
          <w:sz w:val="18"/>
          <w:szCs w:val="18"/>
        </w:rPr>
        <w:t>农用地基准地价的内涵为农用地使用权不同级别、不同用地类型、标准耕作制度和农田基本设施状况下，特定使用年期的区域平均价格。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sz w:val="18"/>
          <w:szCs w:val="18"/>
        </w:rPr>
        <w:t xml:space="preserve">2. </w:t>
      </w:r>
      <w:r>
        <w:rPr>
          <w:rFonts w:ascii="Times New Roman" w:hAnsi="仿宋" w:eastAsia="仿宋"/>
          <w:sz w:val="18"/>
          <w:szCs w:val="18"/>
        </w:rPr>
        <w:t>基准地价表现形式：地面地价。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sz w:val="18"/>
          <w:szCs w:val="18"/>
        </w:rPr>
        <w:t>3.</w:t>
      </w:r>
      <w:r>
        <w:rPr>
          <w:rFonts w:ascii="Times New Roman" w:hAnsi="仿宋" w:eastAsia="仿宋"/>
          <w:sz w:val="18"/>
          <w:szCs w:val="18"/>
        </w:rPr>
        <w:t>基准地价期日为</w:t>
      </w:r>
      <w:r>
        <w:rPr>
          <w:rFonts w:ascii="Times New Roman" w:hAnsi="Times New Roman" w:eastAsia="仿宋"/>
          <w:sz w:val="18"/>
          <w:szCs w:val="18"/>
        </w:rPr>
        <w:t>2021</w:t>
      </w:r>
      <w:r>
        <w:rPr>
          <w:rFonts w:ascii="Times New Roman" w:hAnsi="仿宋" w:eastAsia="仿宋"/>
          <w:sz w:val="18"/>
          <w:szCs w:val="18"/>
        </w:rPr>
        <w:t>年</w:t>
      </w:r>
      <w:r>
        <w:rPr>
          <w:rFonts w:ascii="Times New Roman" w:hAnsi="Times New Roman" w:eastAsia="仿宋"/>
          <w:sz w:val="18"/>
          <w:szCs w:val="18"/>
        </w:rPr>
        <w:t>1</w:t>
      </w:r>
      <w:r>
        <w:rPr>
          <w:rFonts w:ascii="Times New Roman" w:hAnsi="仿宋" w:eastAsia="仿宋"/>
          <w:sz w:val="18"/>
          <w:szCs w:val="18"/>
        </w:rPr>
        <w:t>月</w:t>
      </w:r>
      <w:r>
        <w:rPr>
          <w:rFonts w:ascii="Times New Roman" w:hAnsi="Times New Roman" w:eastAsia="仿宋"/>
          <w:sz w:val="18"/>
          <w:szCs w:val="18"/>
        </w:rPr>
        <w:t>1</w:t>
      </w:r>
      <w:r>
        <w:rPr>
          <w:rFonts w:ascii="Times New Roman" w:hAnsi="仿宋" w:eastAsia="仿宋"/>
          <w:sz w:val="18"/>
          <w:szCs w:val="18"/>
        </w:rPr>
        <w:t>日。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sz w:val="18"/>
          <w:szCs w:val="18"/>
        </w:rPr>
        <w:t>4.</w:t>
      </w:r>
      <w:r>
        <w:rPr>
          <w:rFonts w:ascii="Times New Roman" w:hAnsi="仿宋" w:eastAsia="仿宋"/>
          <w:sz w:val="18"/>
          <w:szCs w:val="18"/>
        </w:rPr>
        <w:t>基准地价对应的使用年限为</w:t>
      </w:r>
      <w:r>
        <w:rPr>
          <w:rFonts w:ascii="Times New Roman" w:hAnsi="Times New Roman" w:eastAsia="仿宋"/>
          <w:sz w:val="18"/>
          <w:szCs w:val="18"/>
        </w:rPr>
        <w:t>30</w:t>
      </w:r>
      <w:r>
        <w:rPr>
          <w:rFonts w:ascii="Times New Roman" w:hAnsi="仿宋" w:eastAsia="仿宋"/>
          <w:sz w:val="18"/>
          <w:szCs w:val="18"/>
        </w:rPr>
        <w:t>年。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sz w:val="18"/>
          <w:szCs w:val="18"/>
        </w:rPr>
        <w:t>5.</w:t>
      </w:r>
      <w:r>
        <w:rPr>
          <w:rFonts w:ascii="Times New Roman" w:hAnsi="仿宋" w:eastAsia="仿宋"/>
          <w:sz w:val="18"/>
          <w:szCs w:val="18"/>
        </w:rPr>
        <w:t>基准地价对应的耕作制度为：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仿宋" w:eastAsia="仿宋"/>
          <w:sz w:val="18"/>
          <w:szCs w:val="18"/>
        </w:rPr>
        <w:t>（</w:t>
      </w:r>
      <w:r>
        <w:rPr>
          <w:rFonts w:ascii="Times New Roman" w:hAnsi="Times New Roman" w:eastAsia="仿宋"/>
          <w:sz w:val="18"/>
          <w:szCs w:val="18"/>
        </w:rPr>
        <w:t>1</w:t>
      </w:r>
      <w:r>
        <w:rPr>
          <w:rFonts w:ascii="Times New Roman" w:hAnsi="仿宋" w:eastAsia="仿宋"/>
          <w:sz w:val="18"/>
          <w:szCs w:val="18"/>
        </w:rPr>
        <w:t>）水田：一年两熟，水稻</w:t>
      </w:r>
      <w:r>
        <w:rPr>
          <w:rFonts w:ascii="Times New Roman" w:hAnsi="Times New Roman" w:eastAsia="仿宋"/>
          <w:sz w:val="18"/>
          <w:szCs w:val="18"/>
        </w:rPr>
        <w:t>-</w:t>
      </w:r>
      <w:r>
        <w:rPr>
          <w:rFonts w:ascii="Times New Roman" w:hAnsi="仿宋" w:eastAsia="仿宋"/>
          <w:sz w:val="18"/>
          <w:szCs w:val="18"/>
        </w:rPr>
        <w:t>油菜</w:t>
      </w:r>
      <w:r>
        <w:rPr>
          <w:rFonts w:ascii="Times New Roman" w:hAnsi="Times New Roman" w:eastAsia="仿宋"/>
          <w:sz w:val="18"/>
          <w:szCs w:val="18"/>
        </w:rPr>
        <w:t>/</w:t>
      </w:r>
      <w:r>
        <w:rPr>
          <w:rFonts w:ascii="Times New Roman" w:hAnsi="仿宋" w:eastAsia="仿宋"/>
          <w:sz w:val="18"/>
          <w:szCs w:val="18"/>
        </w:rPr>
        <w:t>冬小麦；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仿宋" w:eastAsia="仿宋"/>
          <w:sz w:val="18"/>
          <w:szCs w:val="18"/>
        </w:rPr>
        <w:t>（</w:t>
      </w:r>
      <w:r>
        <w:rPr>
          <w:rFonts w:ascii="Times New Roman" w:hAnsi="Times New Roman" w:eastAsia="仿宋"/>
          <w:sz w:val="18"/>
          <w:szCs w:val="18"/>
        </w:rPr>
        <w:t>2</w:t>
      </w:r>
      <w:r>
        <w:rPr>
          <w:rFonts w:ascii="Times New Roman" w:hAnsi="仿宋" w:eastAsia="仿宋"/>
          <w:sz w:val="18"/>
          <w:szCs w:val="18"/>
        </w:rPr>
        <w:t>）旱地：一年两熟，玉米</w:t>
      </w:r>
      <w:r>
        <w:rPr>
          <w:rFonts w:ascii="Times New Roman" w:hAnsi="Times New Roman" w:eastAsia="仿宋"/>
          <w:sz w:val="18"/>
          <w:szCs w:val="18"/>
        </w:rPr>
        <w:t>-</w:t>
      </w:r>
      <w:r>
        <w:rPr>
          <w:rFonts w:ascii="Times New Roman" w:hAnsi="仿宋" w:eastAsia="仿宋"/>
          <w:sz w:val="18"/>
          <w:szCs w:val="18"/>
        </w:rPr>
        <w:t>甘薯</w:t>
      </w:r>
      <w:r>
        <w:rPr>
          <w:rFonts w:ascii="Times New Roman" w:hAnsi="Times New Roman" w:eastAsia="仿宋"/>
          <w:sz w:val="18"/>
          <w:szCs w:val="18"/>
        </w:rPr>
        <w:t>/</w:t>
      </w:r>
      <w:r>
        <w:rPr>
          <w:rFonts w:ascii="Times New Roman" w:hAnsi="仿宋" w:eastAsia="仿宋"/>
          <w:sz w:val="18"/>
          <w:szCs w:val="18"/>
        </w:rPr>
        <w:t>冬小麦；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仿宋" w:eastAsia="仿宋"/>
          <w:sz w:val="18"/>
          <w:szCs w:val="18"/>
        </w:rPr>
        <w:t>（</w:t>
      </w:r>
      <w:r>
        <w:rPr>
          <w:rFonts w:ascii="Times New Roman" w:hAnsi="Times New Roman" w:eastAsia="仿宋"/>
          <w:sz w:val="18"/>
          <w:szCs w:val="18"/>
        </w:rPr>
        <w:t>3</w:t>
      </w:r>
      <w:r>
        <w:rPr>
          <w:rFonts w:ascii="Times New Roman" w:hAnsi="仿宋" w:eastAsia="仿宋"/>
          <w:sz w:val="18"/>
          <w:szCs w:val="18"/>
        </w:rPr>
        <w:t>）果园：多年生，柑橘等。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sz w:val="18"/>
          <w:szCs w:val="18"/>
        </w:rPr>
        <w:t>6.</w:t>
      </w:r>
      <w:r>
        <w:rPr>
          <w:rFonts w:ascii="Times New Roman" w:hAnsi="仿宋" w:eastAsia="仿宋"/>
          <w:sz w:val="18"/>
          <w:szCs w:val="18"/>
        </w:rPr>
        <w:t>基准地价对应的基本设施状况为：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仿宋" w:eastAsia="仿宋"/>
          <w:sz w:val="18"/>
          <w:szCs w:val="18"/>
        </w:rPr>
        <w:t>（</w:t>
      </w:r>
      <w:r>
        <w:rPr>
          <w:rFonts w:ascii="Times New Roman" w:hAnsi="Times New Roman" w:eastAsia="仿宋"/>
          <w:sz w:val="18"/>
          <w:szCs w:val="18"/>
        </w:rPr>
        <w:t>1</w:t>
      </w:r>
      <w:r>
        <w:rPr>
          <w:rFonts w:ascii="Times New Roman" w:hAnsi="仿宋" w:eastAsia="仿宋"/>
          <w:sz w:val="18"/>
          <w:szCs w:val="18"/>
        </w:rPr>
        <w:t>）水田：耕作田块连片，田面平整，田面坡度在</w:t>
      </w:r>
      <w:r>
        <w:rPr>
          <w:rFonts w:ascii="Times New Roman" w:hAnsi="Times New Roman" w:eastAsia="仿宋"/>
          <w:sz w:val="18"/>
          <w:szCs w:val="18"/>
        </w:rPr>
        <w:t>6°</w:t>
      </w:r>
      <w:r>
        <w:rPr>
          <w:rFonts w:ascii="Times New Roman" w:hAnsi="仿宋" w:eastAsia="仿宋"/>
          <w:sz w:val="18"/>
          <w:szCs w:val="18"/>
        </w:rPr>
        <w:t>以下；田坎完整，犁底层稳定，具备蓄水能力；耕作层不小于</w:t>
      </w:r>
      <w:r>
        <w:rPr>
          <w:rFonts w:ascii="Times New Roman" w:hAnsi="Times New Roman" w:eastAsia="仿宋"/>
          <w:sz w:val="18"/>
          <w:szCs w:val="18"/>
        </w:rPr>
        <w:t>15cm</w:t>
      </w:r>
      <w:r>
        <w:rPr>
          <w:rFonts w:ascii="Times New Roman" w:hAnsi="仿宋" w:eastAsia="仿宋"/>
          <w:sz w:val="18"/>
          <w:szCs w:val="18"/>
        </w:rPr>
        <w:t>，土壤理化性状和肥力满足水生作物生长要求；有水源保证，有基本的排水和灌溉能力；有田间道路连接村庄与田块，能基本满足田间管理、生产资料与产品运输的需要；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仿宋" w:eastAsia="仿宋"/>
          <w:sz w:val="18"/>
          <w:szCs w:val="18"/>
        </w:rPr>
        <w:t>（</w:t>
      </w:r>
      <w:r>
        <w:rPr>
          <w:rFonts w:ascii="Times New Roman" w:hAnsi="Times New Roman" w:eastAsia="仿宋"/>
          <w:sz w:val="18"/>
          <w:szCs w:val="18"/>
        </w:rPr>
        <w:t>2</w:t>
      </w:r>
      <w:r>
        <w:rPr>
          <w:rFonts w:ascii="Times New Roman" w:hAnsi="仿宋" w:eastAsia="仿宋"/>
          <w:sz w:val="18"/>
          <w:szCs w:val="18"/>
        </w:rPr>
        <w:t>）旱地：耕作田块连片，田面平整；土壤理化性状和肥力满足旱生作物生长要求，有基本的排水和灌溉能力，有田间道路连接村庄与田块，能基本满足田间管理、生产资料与产品运输的需要；</w:t>
      </w:r>
    </w:p>
    <w:p>
      <w:pPr>
        <w:widowControl/>
        <w:spacing w:line="360" w:lineRule="exact"/>
        <w:ind w:firstLine="360" w:firstLineChars="200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仿宋" w:eastAsia="仿宋"/>
          <w:sz w:val="18"/>
          <w:szCs w:val="18"/>
        </w:rPr>
        <w:t>（</w:t>
      </w:r>
      <w:r>
        <w:rPr>
          <w:rFonts w:ascii="Times New Roman" w:hAnsi="Times New Roman" w:eastAsia="仿宋"/>
          <w:sz w:val="18"/>
          <w:szCs w:val="18"/>
        </w:rPr>
        <w:t>3</w:t>
      </w:r>
      <w:r>
        <w:rPr>
          <w:rFonts w:ascii="Times New Roman" w:hAnsi="仿宋" w:eastAsia="仿宋"/>
          <w:sz w:val="18"/>
          <w:szCs w:val="18"/>
        </w:rPr>
        <w:t>）果园：宗地块外的道路可以通行，土地基本平整，有基本的排水和灌溉设施。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方正仿宋_GBK" w:hAnsi="方正仿宋_GBK" w:eastAsia="方正仿宋_GBK" w:cs="方正仿宋_GBK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2022-02-24T03:52:16Z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