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方正黑体_GBK"/>
          <w:sz w:val="32"/>
          <w:szCs w:val="32"/>
        </w:rPr>
      </w:pPr>
      <w:r>
        <w:rPr>
          <w:rFonts w:ascii="Times New Roman" w:hAnsi="Times New Roman" w:eastAsia="方正黑体_GBK"/>
          <w:sz w:val="32"/>
          <w:szCs w:val="32"/>
        </w:rPr>
        <w:t>附件2</w:t>
      </w:r>
    </w:p>
    <w:p>
      <w:pPr>
        <w:spacing w:line="570" w:lineRule="exact"/>
        <w:jc w:val="center"/>
        <w:rPr>
          <w:rFonts w:ascii="Times New Roman" w:hAnsi="Times New Roman" w:eastAsia="方正小标宋_GBK"/>
          <w:sz w:val="44"/>
          <w:szCs w:val="44"/>
        </w:rPr>
      </w:pPr>
    </w:p>
    <w:p>
      <w:pPr>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丰都县农用地基准地价说明</w:t>
      </w:r>
    </w:p>
    <w:p>
      <w:pPr>
        <w:adjustRightInd w:val="0"/>
        <w:snapToGrid w:val="0"/>
        <w:spacing w:line="600" w:lineRule="exact"/>
        <w:ind w:firstLine="640" w:firstLineChars="200"/>
        <w:outlineLvl w:val="0"/>
        <w:rPr>
          <w:rFonts w:ascii="Times New Roman" w:hAnsi="Times New Roman" w:eastAsia="仿宋"/>
          <w:sz w:val="32"/>
          <w:szCs w:val="32"/>
        </w:rPr>
      </w:pPr>
    </w:p>
    <w:p>
      <w:pPr>
        <w:adjustRightInd w:val="0"/>
        <w:snapToGrid w:val="0"/>
        <w:spacing w:line="600" w:lineRule="exact"/>
        <w:ind w:firstLine="640" w:firstLineChars="200"/>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一、适用范围</w:t>
      </w:r>
    </w:p>
    <w:p>
      <w:pPr>
        <w:adjustRightInd w:val="0"/>
        <w:snapToGrid w:val="0"/>
        <w:spacing w:line="600" w:lineRule="exact"/>
        <w:ind w:firstLine="640" w:firstLineChars="200"/>
        <w:outlineLvl w:val="0"/>
        <w:rPr>
          <w:rFonts w:ascii="Times New Roman" w:hAnsi="Times New Roman" w:eastAsia="方正仿宋_GBK"/>
          <w:color w:val="000000"/>
          <w:sz w:val="32"/>
          <w:szCs w:val="32"/>
        </w:rPr>
      </w:pPr>
      <w:r>
        <w:rPr>
          <w:rFonts w:ascii="Times New Roman" w:hAnsi="Times New Roman" w:eastAsia="方正仿宋_GBK"/>
          <w:color w:val="000000"/>
          <w:sz w:val="32"/>
          <w:szCs w:val="32"/>
        </w:rPr>
        <w:t>丰都农用地基准地价适用于辖区内现有农用地，包括耕地和园地，其他农用地和宜农未利用地可参照执行。</w:t>
      </w:r>
    </w:p>
    <w:p>
      <w:pPr>
        <w:adjustRightInd w:val="0"/>
        <w:snapToGrid w:val="0"/>
        <w:spacing w:line="600" w:lineRule="exact"/>
        <w:ind w:firstLine="640" w:firstLineChars="200"/>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二、基准地价内涵</w:t>
      </w:r>
    </w:p>
    <w:p>
      <w:pPr>
        <w:adjustRightInd w:val="0"/>
        <w:snapToGrid w:val="0"/>
        <w:spacing w:line="600" w:lineRule="exact"/>
        <w:ind w:firstLine="640" w:firstLineChars="200"/>
        <w:outlineLvl w:val="0"/>
        <w:rPr>
          <w:rFonts w:ascii="Times New Roman" w:hAnsi="Times New Roman" w:eastAsia="方正仿宋_GBK"/>
          <w:color w:val="000000"/>
          <w:sz w:val="32"/>
          <w:szCs w:val="32"/>
        </w:rPr>
      </w:pPr>
      <w:r>
        <w:rPr>
          <w:rFonts w:ascii="Times New Roman" w:hAnsi="Times New Roman" w:eastAsia="方正仿宋_GBK"/>
          <w:color w:val="000000"/>
          <w:sz w:val="32"/>
          <w:szCs w:val="32"/>
        </w:rPr>
        <w:t>农用地基准地价的内涵为农用地使用权不同级别、不同用地类型、标准耕作制度和农田基本设施状况下，特定使用年期的区域平均价格。基准地价的价格表现形式为地面地价，是指单位土地面积上农用地使用权的平均价格。</w:t>
      </w:r>
    </w:p>
    <w:p>
      <w:pPr>
        <w:spacing w:line="60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（一）用地类型</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按照《第三次全国国土调查工作分类》，结合我市土地利用现状，确定用地类型为耕地（01）中的水田（0101）、旱地（0103），种植园地（02）中的果园（0201），水浇地（0102）原则上参照旱地（0103），茶园（0202）、其他园地（0204）作为修正内容。具体释义如下：</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1.水田（0101）：指用于种植水稻、莲藕等水生农作物的耕地，包括实行水生、旱生农作物轮种的耕地。</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2.旱地（0103）：指无灌溉设施，主要靠天然降水种植旱生农作物的耕地，包括没有灌溉设施，仅靠引洪淤灌的耕地。</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3.果园（0204）：种植园地指以种植采集果、叶、根、茎、汁为主的集约经营的多年生木本和草本作为，覆盖度大于50%或每株大于合理株数70%的土地，包括用于育苗的土地，其中，果园指种植果树的园地。</w:t>
      </w:r>
    </w:p>
    <w:p>
      <w:pPr>
        <w:spacing w:line="60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（二）基准地价土地权利年限</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基准地价土地权利年限为30年。</w:t>
      </w:r>
    </w:p>
    <w:p>
      <w:pPr>
        <w:spacing w:line="60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（三）耕作制度</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1.水田：一年两熟，水稻-油菜/冬小麦。</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2.旱地：一年两熟，玉米-甘薯/冬小麦。</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3.果园：多年生，柑橘等。</w:t>
      </w:r>
    </w:p>
    <w:p>
      <w:pPr>
        <w:spacing w:line="60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（四）农田基本设施状况</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水田：耕作田块连片，田面平整，田面坡度在6°以下；田坎完整，犁底层稳定，具备蓄水能力；耕作层不小于15cm，土壤理化性状和肥力满足水生作物生长要求；有水源保证，有基本的排水和灌溉能力；有田间道路连接村庄与田块，能基本满足田间管理、生产资料与产品运输的需要。</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2.旱地：耕作田块连片，田面平整；土壤理化性状和肥力满足旱生作物生长要求，有基本的排水和灌溉能力，有田间道路连接村庄与田块，能基本满足田间管理、生产资料与产品运输的需要。</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3.果园：宗地块外的道路可以通行，土地基本平整，有基本的排水和灌溉设施。</w:t>
      </w:r>
    </w:p>
    <w:p>
      <w:pPr>
        <w:spacing w:line="57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（五）基准地价期日</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2021年1月1日。</w:t>
      </w:r>
    </w:p>
    <w:p>
      <w:pPr>
        <w:spacing w:line="57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三、基准地价的应用</w:t>
      </w:r>
    </w:p>
    <w:p>
      <w:pPr>
        <w:widowControl/>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运用基准地价系数修正法进行宗地价格评估时应适用对应用途级别的基准地价，并根据宗地实际情况进行期日、年期、用途、区位和个别因素等修正。评估多用途混合的宗地价格时，应按各具体用途分别修正后加权测算。</w:t>
      </w:r>
    </w:p>
    <w:p>
      <w:pPr>
        <w:adjustRightInd w:val="0"/>
        <w:snapToGrid w:val="0"/>
        <w:spacing w:line="57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（一）宗地价格计算公式</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地面地价=适用的基准地价×土地用途修正系数×期日修正系数×年期修正系数×区域和个别等因素修正系数</w:t>
      </w:r>
    </w:p>
    <w:p>
      <w:pPr>
        <w:adjustRightInd w:val="0"/>
        <w:snapToGrid w:val="0"/>
        <w:spacing w:line="57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（二）宗地价格测算中有关参数的确定</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1．适用的基准地价的确定</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根据宗地的法定用途，按照本说明第二条规定的基准地价分类，确定适用的基准地价用途后，根据规划和自然资源局公布执行的土地级别，确定对应用途级别应适用的基准地价。</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2．用途修正系数的确定</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宗地需要进行用途修正的，应按照《土地用途修正系数表》确定用途修正系数。</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3．期日修正系数的确定</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期日修正系数=宗地估价期日的地价指数÷基准地价期日的地价指数</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4．年期修正系数的确定</w:t>
      </w:r>
    </w:p>
    <w:p>
      <w:pPr>
        <w:adjustRightInd w:val="0"/>
        <w:snapToGrid w:val="0"/>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年期修正系数</w:t>
      </w:r>
      <m:oMath>
        <m:r>
          <m:rPr>
            <m:sty m:val="p"/>
          </m:rPr>
          <w:rPr>
            <w:rFonts w:ascii="Cambria Math" w:hAnsi="Cambria Math" w:eastAsia="仿宋_GB2312" w:cs="Times New Roman"/>
            <w:color w:val="000000"/>
            <w:sz w:val="32"/>
            <w:szCs w:val="32"/>
          </w:rPr>
          <m:t>=</m:t>
        </m:r>
        <m:f>
          <m:fPr>
            <m:ctrlPr>
              <w:rPr>
                <w:rFonts w:ascii="Cambria Math" w:hAnsi="Cambria Math" w:eastAsia="仿宋_GB2312" w:cs="Times New Roman"/>
                <w:color w:val="000000"/>
                <w:sz w:val="36"/>
                <w:szCs w:val="36"/>
              </w:rPr>
            </m:ctrlPr>
          </m:fPr>
          <m:num>
            <m:r>
              <m:rPr>
                <m:sty m:val="p"/>
              </m:rPr>
              <w:rPr>
                <w:rFonts w:ascii="Cambria Math" w:hAnsi="Cambria Math" w:eastAsia="仿宋_GB2312" w:cs="Times New Roman"/>
                <w:color w:val="000000"/>
                <w:sz w:val="36"/>
                <w:szCs w:val="36"/>
              </w:rPr>
              <m:t>1</m:t>
            </m:r>
            <m:r>
              <m:rPr>
                <m:sty m:val="p"/>
              </m:rPr>
              <w:rPr>
                <w:rFonts w:ascii="Cambria Math" w:hAnsi="Cambria Math" w:eastAsia="MS Mincho" w:cs="Times New Roman"/>
                <w:color w:val="000000"/>
                <w:sz w:val="36"/>
                <w:szCs w:val="36"/>
              </w:rPr>
              <m:t>-</m:t>
            </m:r>
            <m:d>
              <m:dPr>
                <m:begChr m:val="["/>
                <m:endChr m:val="]"/>
                <m:ctrlPr>
                  <w:rPr>
                    <w:rFonts w:ascii="Cambria Math" w:hAnsi="Cambria Math" w:eastAsia="MS Mincho" w:cs="Times New Roman"/>
                    <w:color w:val="000000"/>
                    <w:sz w:val="36"/>
                    <w:szCs w:val="36"/>
                  </w:rPr>
                </m:ctrlPr>
              </m:dPr>
              <m:e>
                <m:r>
                  <w:rPr>
                    <w:rFonts w:ascii="Cambria Math" w:hAnsi="Cambria Math" w:eastAsia="MS Mincho" w:cs="Times New Roman"/>
                    <w:color w:val="000000"/>
                    <w:sz w:val="36"/>
                    <w:szCs w:val="36"/>
                  </w:rPr>
                  <m:t>1/</m:t>
                </m:r>
                <m:sSup>
                  <m:sSupPr>
                    <m:ctrlPr>
                      <w:rPr>
                        <w:rFonts w:ascii="Cambria Math" w:hAnsi="Cambria Math" w:eastAsia="MS Mincho" w:cs="Times New Roman"/>
                        <w:i/>
                        <w:color w:val="000000"/>
                        <w:sz w:val="36"/>
                        <w:szCs w:val="36"/>
                      </w:rPr>
                    </m:ctrlPr>
                  </m:sSupPr>
                  <m:e>
                    <m:r>
                      <w:rPr>
                        <w:rFonts w:ascii="Cambria Math" w:hAnsi="Cambria Math" w:eastAsia="MS Mincho" w:cs="Times New Roman"/>
                        <w:color w:val="000000"/>
                        <w:sz w:val="36"/>
                        <w:szCs w:val="36"/>
                      </w:rPr>
                      <m:t>(1+r)</m:t>
                    </m:r>
                  </m:e>
                  <m:sup>
                    <m:r>
                      <w:rPr>
                        <w:rFonts w:ascii="Cambria Math" w:hAnsi="Cambria Math" w:eastAsia="MS Mincho" w:cs="Times New Roman"/>
                        <w:color w:val="000000"/>
                        <w:sz w:val="36"/>
                        <w:szCs w:val="36"/>
                      </w:rPr>
                      <m:t>n</m:t>
                    </m:r>
                  </m:sup>
                </m:sSup>
                <m:ctrlPr>
                  <w:rPr>
                    <w:rFonts w:ascii="Cambria Math" w:hAnsi="Cambria Math" w:eastAsia="MS Mincho" w:cs="Times New Roman"/>
                    <w:i/>
                    <w:color w:val="000000"/>
                    <w:sz w:val="36"/>
                    <w:szCs w:val="36"/>
                  </w:rPr>
                </m:ctrlPr>
              </m:e>
            </m:d>
            <m:ctrlPr>
              <w:rPr>
                <w:rFonts w:ascii="Cambria Math" w:hAnsi="Cambria Math" w:eastAsia="MS Mincho" w:cs="Times New Roman"/>
                <w:color w:val="000000"/>
                <w:sz w:val="36"/>
                <w:szCs w:val="36"/>
              </w:rPr>
            </m:ctrlPr>
          </m:num>
          <m:den>
            <m:r>
              <m:rPr>
                <m:sty m:val="p"/>
              </m:rPr>
              <w:rPr>
                <w:rFonts w:ascii="Cambria Math" w:hAnsi="Cambria Math" w:eastAsia="MS Mincho" w:cs="Times New Roman"/>
                <w:color w:val="000000"/>
                <w:sz w:val="36"/>
                <w:szCs w:val="36"/>
              </w:rPr>
              <m:t>1-</m:t>
            </m:r>
            <m:d>
              <m:dPr>
                <m:begChr m:val="["/>
                <m:endChr m:val="]"/>
                <m:ctrlPr>
                  <w:rPr>
                    <w:rFonts w:ascii="Cambria Math" w:hAnsi="Cambria Math" w:eastAsia="MS Mincho" w:cs="Times New Roman"/>
                    <w:color w:val="000000"/>
                    <w:sz w:val="36"/>
                    <w:szCs w:val="36"/>
                  </w:rPr>
                </m:ctrlPr>
              </m:dPr>
              <m:e>
                <m:r>
                  <w:rPr>
                    <w:rFonts w:ascii="Cambria Math" w:hAnsi="Cambria Math" w:eastAsia="MS Mincho" w:cs="Times New Roman"/>
                    <w:color w:val="000000"/>
                    <w:sz w:val="36"/>
                    <w:szCs w:val="36"/>
                  </w:rPr>
                  <m:t>1/</m:t>
                </m:r>
                <m:sSup>
                  <m:sSupPr>
                    <m:ctrlPr>
                      <w:rPr>
                        <w:rFonts w:ascii="Cambria Math" w:hAnsi="Cambria Math" w:eastAsia="MS Mincho" w:cs="Times New Roman"/>
                        <w:i/>
                        <w:color w:val="000000"/>
                        <w:sz w:val="36"/>
                        <w:szCs w:val="36"/>
                      </w:rPr>
                    </m:ctrlPr>
                  </m:sSupPr>
                  <m:e>
                    <m:r>
                      <w:rPr>
                        <w:rFonts w:ascii="Cambria Math" w:hAnsi="Cambria Math" w:eastAsia="MS Mincho" w:cs="Times New Roman"/>
                        <w:color w:val="000000"/>
                        <w:sz w:val="36"/>
                        <w:szCs w:val="36"/>
                      </w:rPr>
                      <m:t>(1+r)</m:t>
                    </m:r>
                  </m:e>
                  <m:sup>
                    <m:r>
                      <w:rPr>
                        <w:rFonts w:ascii="Cambria Math" w:hAnsi="Cambria Math" w:eastAsia="MS Mincho" w:cs="Times New Roman"/>
                        <w:color w:val="000000"/>
                        <w:sz w:val="36"/>
                        <w:szCs w:val="36"/>
                      </w:rPr>
                      <m:t>m</m:t>
                    </m:r>
                  </m:sup>
                </m:sSup>
                <m:ctrlPr>
                  <w:rPr>
                    <w:rFonts w:ascii="Cambria Math" w:hAnsi="Cambria Math" w:eastAsia="MS Mincho" w:cs="Times New Roman"/>
                    <w:i/>
                    <w:color w:val="000000"/>
                    <w:sz w:val="36"/>
                    <w:szCs w:val="36"/>
                  </w:rPr>
                </m:ctrlPr>
              </m:e>
            </m:d>
            <m:ctrlPr>
              <w:rPr>
                <w:rFonts w:ascii="Cambria Math" w:hAnsi="Cambria Math" w:eastAsia="MS Mincho" w:cs="Times New Roman"/>
                <w:color w:val="000000"/>
                <w:sz w:val="36"/>
                <w:szCs w:val="36"/>
              </w:rPr>
            </m:ctrlPr>
          </m:den>
        </m:f>
      </m:oMath>
      <w:r>
        <w:fldChar w:fldCharType="begin"/>
      </w:r>
      <w:r>
        <w:rPr>
          <w:rFonts w:ascii="Times New Roman" w:hAnsi="Times New Roman" w:eastAsia="方正仿宋_GBK"/>
          <w:color w:val="000000"/>
          <w:sz w:val="32"/>
          <w:szCs w:val="32"/>
        </w:rPr>
        <w:instrText xml:space="preserve"> QUOTE </w:instrText>
      </w:r>
      <m:oMath>
        <m:r>
          <m:rPr>
            <m:sty m:val="p"/>
          </m:rPr>
          <w:rPr>
            <w:rFonts w:ascii="Cambria Math" w:hAnsi="Cambria Math" w:eastAsia="仿宋_GB2312" w:cs="Times New Roman"/>
            <w:color w:val="000000"/>
            <w:sz w:val="32"/>
            <w:szCs w:val="32"/>
          </w:rPr>
          <m:t xml:space="preserve">=</m:t>
        </m:r>
        <m:f>
          <m:fPr>
            <m:ctrlPr>
              <w:rPr>
                <w:rFonts w:ascii="Cambria Math" w:hAnsi="Cambria Math" w:eastAsia="仿宋_GB2312" w:cs="Times New Roman"/>
                <w:color w:val="000000"/>
                <w:sz w:val="36"/>
                <w:szCs w:val="36"/>
              </w:rPr>
            </m:ctrlPr>
          </m:fPr>
          <m:num>
            <m:r>
              <m:rPr>
                <m:sty m:val="p"/>
              </m:rPr>
              <w:rPr>
                <w:rFonts w:ascii="Cambria Math" w:hAnsi="Cambria Math" w:eastAsia="仿宋_GB2312" w:cs="Times New Roman"/>
                <w:color w:val="000000"/>
                <w:sz w:val="36"/>
                <w:szCs w:val="36"/>
              </w:rPr>
              <m:t xml:space="preserve">1</m:t>
            </m:r>
            <m:r>
              <m:rPr>
                <m:sty m:val="p"/>
              </m:rPr>
              <w:rPr>
                <w:rFonts w:ascii="Cambria Math" w:hAnsi="Cambria Math" w:eastAsia="MS Mincho" w:cs="Times New Roman"/>
                <w:color w:val="000000"/>
                <w:sz w:val="36"/>
                <w:szCs w:val="36"/>
              </w:rPr>
              <m:t xml:space="preserve">-</m:t>
            </m:r>
            <m:sSup>
              <m:sSupPr>
                <m:ctrlPr>
                  <w:rPr>
                    <w:rFonts w:ascii="Cambria Math" w:hAnsi="Cambria Math" w:eastAsia="仿宋_GB2312" w:cs="Times New Roman"/>
                    <w:color w:val="000000"/>
                    <w:sz w:val="36"/>
                    <w:szCs w:val="36"/>
                  </w:rPr>
                </m:ctrlPr>
              </m:sSupPr>
              <m:e>
                <m:d>
                  <m:dPr>
                    <m:begChr m:val="["/>
                    <m:endChr m:val="]"/>
                    <m:ctrlPr>
                      <w:rPr>
                        <w:rFonts w:ascii="Cambria Math" w:hAnsi="Cambria Math" w:eastAsia="仿宋_GB2312" w:cs="Times New Roman"/>
                        <w:color w:val="000000"/>
                        <w:sz w:val="36"/>
                        <w:szCs w:val="36"/>
                      </w:rPr>
                    </m:ctrlPr>
                  </m:dPr>
                  <m:e>
                    <m:r>
                      <m:rPr>
                        <m:sty m:val="p"/>
                      </m:rPr>
                      <w:rPr>
                        <w:rFonts w:ascii="Cambria Math" w:hAnsi="Cambria Math" w:eastAsia="仿宋_GB2312" w:cs="Times New Roman"/>
                        <w:color w:val="000000"/>
                        <w:sz w:val="36"/>
                        <w:szCs w:val="36"/>
                      </w:rPr>
                      <m:t xml:space="preserve">1/</m:t>
                    </m:r>
                    <m:d>
                      <m:dPr>
                        <m:ctrlPr>
                          <w:rPr>
                            <w:rFonts w:ascii="Cambria Math" w:hAnsi="Cambria Math" w:eastAsia="仿宋_GB2312" w:cs="Times New Roman"/>
                            <w:color w:val="000000"/>
                            <w:sz w:val="36"/>
                            <w:szCs w:val="36"/>
                          </w:rPr>
                        </m:ctrlPr>
                      </m:dPr>
                      <m:e>
                        <m:r>
                          <m:rPr>
                            <m:sty m:val="p"/>
                          </m:rPr>
                          <w:rPr>
                            <w:rFonts w:ascii="Cambria Math" w:hAnsi="Cambria Math" w:eastAsia="仿宋_GB2312" w:cs="Times New Roman"/>
                            <w:color w:val="000000"/>
                            <w:sz w:val="36"/>
                            <w:szCs w:val="36"/>
                          </w:rPr>
                          <m:t xml:space="preserve">1+</m:t>
                        </m:r>
                        <m:r>
                          <w:rPr>
                            <w:rFonts w:ascii="Cambria Math" w:hAnsi="Cambria Math" w:eastAsia="仿宋_GB2312" w:cs="Times New Roman"/>
                            <w:color w:val="000000"/>
                            <w:sz w:val="36"/>
                            <w:szCs w:val="36"/>
                          </w:rPr>
                          <m:t xml:space="preserve">r</m:t>
                        </m:r>
                      </m:e>
                    </m:d>
                    <m:ctrlPr>
                      <w:rPr>
                        <w:rFonts w:ascii="Cambria Math" w:hAnsi="Cambria Math" w:eastAsia="仿宋_GB2312" w:cs="Times New Roman"/>
                        <w:color w:val="000000"/>
                        <w:sz w:val="36"/>
                        <w:szCs w:val="36"/>
                      </w:rPr>
                    </m:ctrlPr>
                  </m:e>
                </m:d>
                <m:ctrlPr>
                  <w:rPr>
                    <w:rFonts w:ascii="Cambria Math" w:hAnsi="Cambria Math" w:eastAsia="仿宋_GB2312" w:cs="Times New Roman"/>
                    <w:color w:val="000000"/>
                    <w:sz w:val="36"/>
                    <w:szCs w:val="36"/>
                  </w:rPr>
                </m:ctrlPr>
              </m:e>
              <m:sup>
                <m:r>
                  <w:rPr>
                    <w:rFonts w:ascii="Cambria Math" w:hAnsi="Cambria Math" w:eastAsia="仿宋_GB2312" w:cs="Times New Roman"/>
                    <w:color w:val="000000"/>
                    <w:sz w:val="36"/>
                    <w:szCs w:val="36"/>
                  </w:rPr>
                  <m:t xml:space="preserve">n</m:t>
                </m:r>
                <m:ctrlPr>
                  <w:rPr>
                    <w:rFonts w:ascii="Cambria Math" w:hAnsi="Cambria Math" w:eastAsia="仿宋_GB2312" w:cs="Times New Roman"/>
                    <w:color w:val="000000"/>
                    <w:sz w:val="36"/>
                    <w:szCs w:val="36"/>
                  </w:rPr>
                </m:ctrlPr>
              </m:sup>
            </m:sSup>
            <m:ctrlPr>
              <w:rPr>
                <w:rFonts w:ascii="Cambria Math" w:hAnsi="Cambria Math" w:eastAsia="仿宋_GB2312" w:cs="Times New Roman"/>
                <w:color w:val="000000"/>
                <w:sz w:val="36"/>
                <w:szCs w:val="36"/>
              </w:rPr>
            </m:ctrlPr>
          </m:num>
          <m:den>
            <m:r>
              <m:rPr>
                <m:sty m:val="p"/>
              </m:rPr>
              <w:rPr>
                <w:rFonts w:ascii="Cambria Math" w:hAnsi="Cambria Math" w:eastAsia="仿宋_GB2312" w:cs="Times New Roman"/>
                <w:color w:val="000000"/>
                <w:sz w:val="36"/>
                <w:szCs w:val="36"/>
              </w:rPr>
              <m:t xml:space="preserve">1</m:t>
            </m:r>
            <m:r>
              <m:rPr>
                <m:sty m:val="p"/>
              </m:rPr>
              <w:rPr>
                <w:rFonts w:ascii="Cambria Math" w:hAnsi="Cambria Math" w:eastAsia="MS Mincho" w:cs="Times New Roman"/>
                <w:color w:val="000000"/>
                <w:sz w:val="36"/>
                <w:szCs w:val="36"/>
              </w:rPr>
              <m:t xml:space="preserve">-</m:t>
            </m:r>
            <m:sSup>
              <m:sSupPr>
                <m:ctrlPr>
                  <w:rPr>
                    <w:rFonts w:ascii="Cambria Math" w:hAnsi="Cambria Math" w:eastAsia="仿宋_GB2312" w:cs="Times New Roman"/>
                    <w:color w:val="000000"/>
                    <w:sz w:val="36"/>
                    <w:szCs w:val="36"/>
                  </w:rPr>
                </m:ctrlPr>
              </m:sSupPr>
              <m:e>
                <m:d>
                  <m:dPr>
                    <m:begChr m:val="["/>
                    <m:endChr m:val="]"/>
                    <m:ctrlPr>
                      <w:rPr>
                        <w:rFonts w:ascii="Cambria Math" w:hAnsi="Cambria Math" w:eastAsia="仿宋_GB2312" w:cs="Times New Roman"/>
                        <w:color w:val="000000"/>
                        <w:sz w:val="36"/>
                        <w:szCs w:val="36"/>
                      </w:rPr>
                    </m:ctrlPr>
                  </m:dPr>
                  <m:e>
                    <m:r>
                      <m:rPr>
                        <m:sty m:val="p"/>
                      </m:rPr>
                      <w:rPr>
                        <w:rFonts w:ascii="Cambria Math" w:hAnsi="Cambria Math" w:eastAsia="仿宋_GB2312" w:cs="Times New Roman"/>
                        <w:color w:val="000000"/>
                        <w:sz w:val="36"/>
                        <w:szCs w:val="36"/>
                      </w:rPr>
                      <m:t xml:space="preserve">1/</m:t>
                    </m:r>
                    <m:d>
                      <m:dPr>
                        <m:ctrlPr>
                          <w:rPr>
                            <w:rFonts w:ascii="Cambria Math" w:hAnsi="Cambria Math" w:eastAsia="仿宋_GB2312" w:cs="Times New Roman"/>
                            <w:color w:val="000000"/>
                            <w:sz w:val="36"/>
                            <w:szCs w:val="36"/>
                          </w:rPr>
                        </m:ctrlPr>
                      </m:dPr>
                      <m:e>
                        <m:r>
                          <m:rPr>
                            <m:sty m:val="p"/>
                          </m:rPr>
                          <w:rPr>
                            <w:rFonts w:ascii="Cambria Math" w:hAnsi="Cambria Math" w:eastAsia="仿宋_GB2312" w:cs="Times New Roman"/>
                            <w:color w:val="000000"/>
                            <w:sz w:val="36"/>
                            <w:szCs w:val="36"/>
                          </w:rPr>
                          <m:t xml:space="preserve">1+</m:t>
                        </m:r>
                        <m:r>
                          <w:rPr>
                            <w:rFonts w:ascii="Cambria Math" w:hAnsi="Cambria Math" w:eastAsia="仿宋_GB2312" w:cs="Times New Roman"/>
                            <w:color w:val="000000"/>
                            <w:sz w:val="36"/>
                            <w:szCs w:val="36"/>
                          </w:rPr>
                          <m:t xml:space="preserve">r</m:t>
                        </m:r>
                      </m:e>
                    </m:d>
                    <m:ctrlPr>
                      <w:rPr>
                        <w:rFonts w:ascii="Cambria Math" w:hAnsi="Cambria Math" w:eastAsia="仿宋_GB2312" w:cs="Times New Roman"/>
                        <w:color w:val="000000"/>
                        <w:sz w:val="36"/>
                        <w:szCs w:val="36"/>
                      </w:rPr>
                    </m:ctrlPr>
                  </m:e>
                </m:d>
                <m:ctrlPr>
                  <w:rPr>
                    <w:rFonts w:ascii="Cambria Math" w:hAnsi="Cambria Math" w:eastAsia="仿宋_GB2312" w:cs="Times New Roman"/>
                    <w:color w:val="000000"/>
                    <w:sz w:val="36"/>
                    <w:szCs w:val="36"/>
                  </w:rPr>
                </m:ctrlPr>
              </m:e>
              <m:sup>
                <m:r>
                  <w:rPr>
                    <w:rFonts w:ascii="Cambria Math" w:hAnsi="Cambria Math" w:eastAsia="仿宋_GB2312" w:cs="Times New Roman"/>
                    <w:color w:val="000000"/>
                    <w:sz w:val="36"/>
                    <w:szCs w:val="36"/>
                  </w:rPr>
                  <m:t xml:space="preserve">m</m:t>
                </m:r>
                <m:ctrlPr>
                  <w:rPr>
                    <w:rFonts w:ascii="Cambria Math" w:hAnsi="Cambria Math" w:eastAsia="仿宋_GB2312" w:cs="Times New Roman"/>
                    <w:color w:val="000000"/>
                    <w:sz w:val="36"/>
                    <w:szCs w:val="36"/>
                  </w:rPr>
                </m:ctrlPr>
              </m:sup>
            </m:sSup>
            <m:ctrlPr>
              <w:rPr>
                <w:rFonts w:ascii="Cambria Math" w:hAnsi="Cambria Math" w:eastAsia="仿宋_GB2312" w:cs="Times New Roman"/>
                <w:color w:val="000000"/>
                <w:sz w:val="36"/>
                <w:szCs w:val="36"/>
              </w:rPr>
            </m:ctrlPr>
          </m:den>
        </m:f>
      </m:oMath>
      <w:r>
        <w:rPr>
          <w:rFonts w:ascii="Times New Roman" w:hAnsi="Times New Roman" w:eastAsia="方正仿宋_GBK"/>
          <w:color w:val="000000"/>
          <w:sz w:val="32"/>
          <w:szCs w:val="32"/>
        </w:rPr>
        <w:instrText xml:space="preserve"> </w:instrText>
      </w:r>
      <w:r>
        <w:rPr>
          <w:rFonts w:ascii="Times New Roman" w:hAnsi="Times New Roman" w:eastAsia="方正仿宋_GBK"/>
          <w:color w:val="000000"/>
          <w:sz w:val="32"/>
          <w:szCs w:val="32"/>
        </w:rPr>
        <w:fldChar w:fldCharType="separate"/>
      </w:r>
      <w:r>
        <w:rPr>
          <w:rFonts w:ascii="Times New Roman" w:hAnsi="Times New Roman" w:eastAsia="方正仿宋_GBK"/>
          <w:color w:val="000000"/>
          <w:sz w:val="32"/>
          <w:szCs w:val="32"/>
        </w:rPr>
        <w:fldChar w:fldCharType="end"/>
      </w:r>
    </w:p>
    <w:p>
      <w:pPr>
        <w:adjustRightInd w:val="0"/>
        <w:snapToGrid w:val="0"/>
        <w:spacing w:line="500" w:lineRule="exact"/>
        <w:ind w:firstLine="560" w:firstLineChars="200"/>
        <w:rPr>
          <w:rFonts w:ascii="Times New Roman" w:hAnsi="Times New Roman" w:eastAsia="方正仿宋_GBK"/>
          <w:color w:val="000000"/>
          <w:sz w:val="32"/>
          <w:szCs w:val="32"/>
        </w:rPr>
      </w:pPr>
      <m:oMath>
        <m:r>
          <w:rPr>
            <w:rFonts w:ascii="Cambria Math" w:hAnsi="Cambria Math" w:eastAsia="仿宋_GB2312" w:cs="Times New Roman"/>
            <w:color w:val="000000"/>
            <w:sz w:val="28"/>
            <w:szCs w:val="28"/>
          </w:rPr>
          <m:t>r</m:t>
        </m:r>
      </m:oMath>
      <w:r>
        <w:rPr>
          <w:rFonts w:ascii="Times New Roman" w:hAnsi="Times New Roman" w:eastAsia="方正仿宋_GBK"/>
          <w:color w:val="000000"/>
          <w:sz w:val="32"/>
          <w:szCs w:val="32"/>
        </w:rPr>
        <w:t>为土地还原率（水田、旱地、果园分别为1.8%、1.8%、2.8%）；</w:t>
      </w:r>
      <m:oMath>
        <m:r>
          <w:rPr>
            <w:rFonts w:ascii="Cambria Math" w:hAnsi="Cambria Math" w:eastAsia="仿宋_GB2312" w:cs="Times New Roman"/>
            <w:color w:val="000000"/>
            <w:sz w:val="28"/>
            <w:szCs w:val="28"/>
          </w:rPr>
          <m:t>n</m:t>
        </m:r>
      </m:oMath>
      <w:r>
        <w:rPr>
          <w:rFonts w:ascii="Times New Roman" w:hAnsi="Times New Roman" w:eastAsia="方正仿宋_GBK"/>
          <w:color w:val="000000"/>
          <w:sz w:val="32"/>
          <w:szCs w:val="32"/>
        </w:rPr>
        <w:t>为宗地剩余使用年限；</w:t>
      </w:r>
      <m:oMath>
        <m:r>
          <w:rPr>
            <w:rFonts w:ascii="Cambria Math" w:hAnsi="Cambria Math" w:eastAsia="仿宋_GB2312" w:cs="Times New Roman"/>
            <w:color w:val="000000"/>
            <w:sz w:val="28"/>
            <w:szCs w:val="28"/>
          </w:rPr>
          <m:t>m</m:t>
        </m:r>
      </m:oMath>
      <w:r>
        <w:rPr>
          <w:rFonts w:ascii="Times New Roman" w:hAnsi="Times New Roman" w:eastAsia="方正仿宋_GBK"/>
          <w:color w:val="000000"/>
          <w:sz w:val="32"/>
          <w:szCs w:val="32"/>
        </w:rPr>
        <w:t>为基准地价规定的相应用途土地使用年限。</w:t>
      </w:r>
    </w:p>
    <w:p>
      <w:pPr>
        <w:adjustRightInd w:val="0"/>
        <w:snapToGrid w:val="0"/>
        <w:spacing w:line="5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5．区位和个别等因素修正系数的确定</w:t>
      </w:r>
    </w:p>
    <w:p>
      <w:pPr>
        <w:adjustRightInd w:val="0"/>
        <w:snapToGrid w:val="0"/>
        <w:spacing w:line="5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区位和个别因素修正系数</w:t>
      </w:r>
      <m:oMath>
        <m:r>
          <m:rPr>
            <m:sty m:val="p"/>
          </m:rPr>
          <w:rPr>
            <w:rFonts w:ascii="Cambria Math" w:hAnsi="Cambria Math" w:eastAsia="仿宋_GB2312" w:cs="Times New Roman"/>
            <w:sz w:val="28"/>
            <w:szCs w:val="28"/>
          </w:rPr>
          <m:t>=1+</m:t>
        </m:r>
        <m:nary>
          <m:naryPr>
            <m:chr m:val="∑"/>
            <m:limLoc m:val="undOvr"/>
            <m:ctrlPr>
              <w:rPr>
                <w:rFonts w:ascii="Cambria Math" w:hAnsi="Cambria Math" w:eastAsia="仿宋_GB2312" w:cs="Times New Roman"/>
                <w:sz w:val="28"/>
                <w:szCs w:val="28"/>
              </w:rPr>
            </m:ctrlPr>
          </m:naryPr>
          <m:sub>
            <m:r>
              <w:rPr>
                <w:rFonts w:ascii="Cambria Math" w:hAnsi="Cambria Math" w:eastAsia="仿宋_GB2312" w:cs="Times New Roman"/>
                <w:sz w:val="28"/>
                <w:szCs w:val="28"/>
              </w:rPr>
              <m:t>i=1</m:t>
            </m:r>
          </m:sub>
          <m:sup>
            <m:r>
              <w:rPr>
                <w:rFonts w:ascii="Cambria Math" w:hAnsi="Cambria Math" w:eastAsia="仿宋_GB2312" w:cs="Times New Roman"/>
                <w:sz w:val="28"/>
                <w:szCs w:val="28"/>
              </w:rPr>
              <m:t>n</m:t>
            </m:r>
          </m:sup>
          <m:e>
            <m:sSub>
              <m:sSubPr>
                <m:ctrlPr>
                  <w:rPr>
                    <w:rFonts w:ascii="Cambria Math" w:hAnsi="Cambria Math" w:eastAsia="仿宋_GB2312" w:cs="Times New Roman"/>
                    <w:i/>
                    <w:sz w:val="28"/>
                    <w:szCs w:val="28"/>
                  </w:rPr>
                </m:ctrlPr>
              </m:sSubPr>
              <m:e>
                <m:r>
                  <w:rPr>
                    <w:rFonts w:ascii="Cambria Math" w:hAnsi="Cambria Math" w:eastAsia="仿宋_GB2312" w:cs="Times New Roman"/>
                    <w:sz w:val="28"/>
                    <w:szCs w:val="28"/>
                  </w:rPr>
                  <m:t>K</m:t>
                </m:r>
              </m:e>
              <m:sub>
                <m:r>
                  <w:rPr>
                    <w:rFonts w:ascii="Cambria Math" w:hAnsi="Cambria Math" w:eastAsia="仿宋_GB2312" w:cs="Times New Roman"/>
                    <w:sz w:val="28"/>
                    <w:szCs w:val="28"/>
                  </w:rPr>
                  <m:t>i</m:t>
                </m:r>
              </m:sub>
            </m:sSub>
            <m:ctrlPr>
              <w:rPr>
                <w:rFonts w:ascii="Cambria Math" w:hAnsi="Cambria Math" w:eastAsia="仿宋_GB2312" w:cs="Times New Roman"/>
                <w:i/>
                <w:sz w:val="28"/>
                <w:szCs w:val="28"/>
              </w:rPr>
            </m:ctrlPr>
          </m:e>
        </m:nary>
      </m:oMath>
    </w:p>
    <w:p>
      <w:pPr>
        <w:adjustRightInd w:val="0"/>
        <w:snapToGrid w:val="0"/>
        <w:spacing w:line="5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按照《因素修正指标说明表》，根据宗地各种因素情况确定每种因素的修正系数，应用上述公式测算宗地的区位和个别等因素修正系数。</w:t>
      </w:r>
      <m:oMath>
        <m:sSub>
          <m:sSubPr>
            <m:ctrlPr>
              <w:rPr>
                <w:rFonts w:ascii="Cambria Math" w:hAnsi="Cambria Math" w:eastAsia="仿宋_GB2312" w:cs="Times New Roman"/>
                <w:sz w:val="28"/>
                <w:szCs w:val="28"/>
              </w:rPr>
            </m:ctrlPr>
          </m:sSubPr>
          <m:e>
            <m:r>
              <w:rPr>
                <w:rFonts w:ascii="Cambria Math" w:hAnsi="Cambria Math" w:eastAsia="仿宋_GB2312" w:cs="Times New Roman"/>
                <w:sz w:val="28"/>
                <w:szCs w:val="28"/>
              </w:rPr>
              <m:t>K</m:t>
            </m:r>
          </m:e>
          <m:sub>
            <m:r>
              <w:rPr>
                <w:rFonts w:ascii="Cambria Math" w:hAnsi="Cambria Math" w:eastAsia="仿宋_GB2312" w:cs="Times New Roman"/>
                <w:sz w:val="28"/>
                <w:szCs w:val="28"/>
              </w:rPr>
              <m:t>i</m:t>
            </m:r>
          </m:sub>
        </m:sSub>
      </m:oMath>
      <w:r>
        <w:rPr>
          <w:rFonts w:ascii="Times New Roman" w:hAnsi="Times New Roman" w:eastAsia="方正仿宋_GBK"/>
          <w:color w:val="000000"/>
          <w:sz w:val="32"/>
          <w:szCs w:val="32"/>
        </w:rPr>
        <w:t>为第i种因素的修正系数。</w:t>
      </w:r>
    </w:p>
    <w:p>
      <w:pPr>
        <w:adjustRightInd w:val="0"/>
        <w:snapToGrid w:val="0"/>
        <w:spacing w:line="500" w:lineRule="exact"/>
        <w:ind w:firstLine="640" w:firstLineChars="200"/>
        <w:rPr>
          <w:rFonts w:ascii="Times New Roman" w:hAnsi="Times New Roman" w:eastAsia="方正仿宋_GBK"/>
          <w:color w:val="000000"/>
          <w:sz w:val="32"/>
          <w:szCs w:val="32"/>
        </w:rPr>
      </w:pPr>
    </w:p>
    <w:p>
      <w:pPr>
        <w:adjustRightInd w:val="0"/>
        <w:snapToGrid w:val="0"/>
        <w:spacing w:line="5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附表：1．农用地用途修正系数表</w:t>
      </w:r>
    </w:p>
    <w:p>
      <w:pPr>
        <w:adjustRightInd w:val="0"/>
        <w:snapToGrid w:val="0"/>
        <w:spacing w:line="500" w:lineRule="exact"/>
        <w:ind w:firstLine="1622" w:firstLineChars="507"/>
        <w:rPr>
          <w:rFonts w:ascii="Times New Roman" w:hAnsi="Times New Roman" w:eastAsia="方正仿宋_GBK"/>
          <w:color w:val="000000"/>
          <w:sz w:val="32"/>
          <w:szCs w:val="32"/>
        </w:rPr>
      </w:pPr>
      <w:r>
        <w:rPr>
          <w:rFonts w:ascii="Times New Roman" w:hAnsi="Times New Roman" w:eastAsia="方正仿宋_GBK"/>
          <w:color w:val="000000"/>
          <w:sz w:val="32"/>
          <w:szCs w:val="32"/>
        </w:rPr>
        <w:t>2.  土地使用年期修正指数</w:t>
      </w:r>
    </w:p>
    <w:p>
      <w:pPr>
        <w:adjustRightInd w:val="0"/>
        <w:snapToGrid w:val="0"/>
        <w:spacing w:line="500" w:lineRule="exact"/>
        <w:ind w:firstLine="1622" w:firstLineChars="507"/>
        <w:rPr>
          <w:rFonts w:ascii="Times New Roman" w:hAnsi="Times New Roman" w:eastAsia="方正仿宋_GBK"/>
          <w:color w:val="000000"/>
          <w:sz w:val="32"/>
          <w:szCs w:val="32"/>
        </w:rPr>
      </w:pPr>
      <w:r>
        <w:rPr>
          <w:rFonts w:ascii="Times New Roman" w:hAnsi="Times New Roman" w:eastAsia="方正仿宋_GBK"/>
          <w:color w:val="000000"/>
          <w:sz w:val="32"/>
          <w:szCs w:val="32"/>
        </w:rPr>
        <w:t>3．因素修正指标说明表</w:t>
      </w:r>
    </w:p>
    <w:p>
      <w:pPr>
        <w:spacing w:line="600" w:lineRule="exact"/>
        <w:rPr>
          <w:rFonts w:ascii="Times New Roman" w:hAnsi="Times New Roman" w:eastAsia="仿宋"/>
          <w:sz w:val="28"/>
          <w:szCs w:val="28"/>
        </w:rPr>
      </w:pPr>
    </w:p>
    <w:p>
      <w:pPr>
        <w:spacing w:line="600" w:lineRule="exact"/>
        <w:rPr>
          <w:rFonts w:ascii="Times New Roman" w:hAnsi="Times New Roman" w:eastAsia="仿宋"/>
          <w:sz w:val="28"/>
          <w:szCs w:val="28"/>
        </w:rPr>
      </w:pPr>
    </w:p>
    <w:p>
      <w:pPr>
        <w:spacing w:line="600" w:lineRule="exact"/>
        <w:rPr>
          <w:rFonts w:ascii="Times New Roman" w:hAnsi="Times New Roman" w:eastAsia="仿宋"/>
          <w:sz w:val="28"/>
          <w:szCs w:val="28"/>
        </w:rPr>
      </w:pPr>
    </w:p>
    <w:p>
      <w:pPr>
        <w:spacing w:line="600" w:lineRule="exact"/>
        <w:rPr>
          <w:rFonts w:ascii="Times New Roman" w:hAnsi="Times New Roman" w:eastAsia="仿宋"/>
          <w:sz w:val="28"/>
          <w:szCs w:val="28"/>
        </w:rPr>
      </w:pPr>
    </w:p>
    <w:p>
      <w:pPr>
        <w:spacing w:line="600" w:lineRule="exact"/>
        <w:rPr>
          <w:rFonts w:ascii="Times New Roman" w:hAnsi="Times New Roman" w:eastAsia="仿宋"/>
          <w:sz w:val="28"/>
          <w:szCs w:val="28"/>
        </w:rPr>
      </w:pPr>
    </w:p>
    <w:p>
      <w:pPr>
        <w:spacing w:line="600" w:lineRule="exact"/>
        <w:rPr>
          <w:rFonts w:ascii="Times New Roman" w:hAnsi="Times New Roman" w:eastAsia="仿宋"/>
          <w:sz w:val="28"/>
          <w:szCs w:val="28"/>
        </w:rPr>
      </w:pPr>
    </w:p>
    <w:p>
      <w:pPr>
        <w:spacing w:line="600" w:lineRule="exact"/>
        <w:rPr>
          <w:rFonts w:ascii="Times New Roman" w:hAnsi="Times New Roman" w:eastAsia="仿宋"/>
          <w:sz w:val="28"/>
          <w:szCs w:val="28"/>
        </w:rPr>
      </w:pPr>
    </w:p>
    <w:p>
      <w:pPr>
        <w:spacing w:line="600" w:lineRule="exact"/>
        <w:rPr>
          <w:rFonts w:ascii="Times New Roman" w:hAnsi="Times New Roman" w:eastAsia="方正黑体_GBK"/>
          <w:sz w:val="32"/>
          <w:szCs w:val="32"/>
        </w:rPr>
      </w:pPr>
      <w:r>
        <w:rPr>
          <w:rFonts w:ascii="Times New Roman" w:hAnsi="Times New Roman" w:eastAsia="方正黑体_GBK"/>
          <w:sz w:val="32"/>
          <w:szCs w:val="32"/>
        </w:rPr>
        <w:t>附表1</w:t>
      </w:r>
    </w:p>
    <w:p>
      <w:pPr>
        <w:adjustRightInd w:val="0"/>
        <w:snapToGrid w:val="0"/>
        <w:spacing w:line="500" w:lineRule="exact"/>
        <w:jc w:val="center"/>
        <w:rPr>
          <w:rFonts w:ascii="Times New Roman" w:hAnsi="Times New Roman" w:eastAsia="方正小标宋_GBK"/>
          <w:sz w:val="36"/>
          <w:szCs w:val="36"/>
        </w:rPr>
      </w:pPr>
      <w:r>
        <w:rPr>
          <w:rFonts w:ascii="Times New Roman" w:hAnsi="Times New Roman" w:eastAsia="方正小标宋_GBK"/>
          <w:sz w:val="36"/>
          <w:szCs w:val="36"/>
        </w:rPr>
        <w:t>农用地用途修正系数表</w:t>
      </w:r>
    </w:p>
    <w:tbl>
      <w:tblPr>
        <w:tblStyle w:val="3"/>
        <w:tblW w:w="86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996"/>
        <w:gridCol w:w="4792"/>
        <w:gridCol w:w="1244"/>
        <w:gridCol w:w="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一级用地类型</w:t>
            </w:r>
          </w:p>
        </w:tc>
        <w:tc>
          <w:tcPr>
            <w:tcW w:w="996" w:type="dxa"/>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二级用地类型</w:t>
            </w:r>
          </w:p>
        </w:tc>
        <w:tc>
          <w:tcPr>
            <w:tcW w:w="4792" w:type="dxa"/>
            <w:tcBorders>
              <w:right w:val="single" w:color="auto" w:sz="4" w:space="0"/>
            </w:tcBorders>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含义</w:t>
            </w:r>
          </w:p>
        </w:tc>
        <w:tc>
          <w:tcPr>
            <w:tcW w:w="1244" w:type="dxa"/>
            <w:tcBorders>
              <w:left w:val="single" w:color="auto" w:sz="4" w:space="0"/>
            </w:tcBorders>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适用基准地价类型</w:t>
            </w:r>
          </w:p>
        </w:tc>
        <w:tc>
          <w:tcPr>
            <w:tcW w:w="778" w:type="dxa"/>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用途修正系数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Merge w:val="restart"/>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耕地</w:t>
            </w:r>
          </w:p>
        </w:tc>
        <w:tc>
          <w:tcPr>
            <w:tcW w:w="996" w:type="dxa"/>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水田</w:t>
            </w:r>
          </w:p>
        </w:tc>
        <w:tc>
          <w:tcPr>
            <w:tcW w:w="4792" w:type="dxa"/>
            <w:tcBorders>
              <w:right w:val="single" w:color="auto" w:sz="4" w:space="0"/>
            </w:tcBorders>
            <w:vAlign w:val="center"/>
          </w:tcPr>
          <w:p>
            <w:pPr>
              <w:widowControl/>
              <w:adjustRightInd w:val="0"/>
              <w:snapToGrid w:val="0"/>
              <w:spacing w:line="280" w:lineRule="exact"/>
              <w:ind w:left="-53" w:leftChars="-25" w:right="-53" w:rightChars="-25"/>
              <w:jc w:val="left"/>
              <w:rPr>
                <w:rFonts w:ascii="Times New Roman" w:hAnsi="Times New Roman" w:eastAsia="仿宋"/>
                <w:sz w:val="18"/>
                <w:szCs w:val="18"/>
              </w:rPr>
            </w:pPr>
            <w:r>
              <w:rPr>
                <w:rFonts w:ascii="Times New Roman" w:hAnsi="仿宋" w:eastAsia="仿宋"/>
                <w:sz w:val="18"/>
                <w:szCs w:val="18"/>
              </w:rPr>
              <w:t>指用于种植水稻、莲藕等水生农作物的耕地。包含实行水生、旱生农作物轮种的耕地</w:t>
            </w:r>
          </w:p>
        </w:tc>
        <w:tc>
          <w:tcPr>
            <w:tcW w:w="1244" w:type="dxa"/>
            <w:vMerge w:val="restart"/>
            <w:tcBorders>
              <w:left w:val="single" w:color="auto" w:sz="4" w:space="0"/>
            </w:tcBorders>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水田</w:t>
            </w:r>
          </w:p>
        </w:tc>
        <w:tc>
          <w:tcPr>
            <w:tcW w:w="778" w:type="dxa"/>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Times New Roman" w:eastAsia="仿宋"/>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Merge w:val="continue"/>
            <w:vAlign w:val="center"/>
          </w:tcPr>
          <w:p>
            <w:pPr>
              <w:widowControl/>
              <w:adjustRightInd w:val="0"/>
              <w:snapToGrid w:val="0"/>
              <w:spacing w:line="280" w:lineRule="exact"/>
              <w:jc w:val="left"/>
              <w:rPr>
                <w:rFonts w:ascii="Times New Roman" w:hAnsi="Times New Roman" w:eastAsia="仿宋"/>
                <w:sz w:val="18"/>
                <w:szCs w:val="18"/>
              </w:rPr>
            </w:pPr>
          </w:p>
        </w:tc>
        <w:tc>
          <w:tcPr>
            <w:tcW w:w="996" w:type="dxa"/>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水浇地</w:t>
            </w:r>
          </w:p>
        </w:tc>
        <w:tc>
          <w:tcPr>
            <w:tcW w:w="4792" w:type="dxa"/>
            <w:tcBorders>
              <w:right w:val="single" w:color="auto" w:sz="4" w:space="0"/>
            </w:tcBorders>
            <w:vAlign w:val="center"/>
          </w:tcPr>
          <w:p>
            <w:pPr>
              <w:widowControl/>
              <w:adjustRightInd w:val="0"/>
              <w:snapToGrid w:val="0"/>
              <w:spacing w:line="280" w:lineRule="exact"/>
              <w:ind w:left="-53" w:leftChars="-25" w:right="-53" w:rightChars="-25"/>
              <w:jc w:val="left"/>
              <w:rPr>
                <w:rFonts w:ascii="Times New Roman" w:hAnsi="Times New Roman" w:eastAsia="仿宋"/>
                <w:sz w:val="18"/>
                <w:szCs w:val="18"/>
              </w:rPr>
            </w:pPr>
            <w:r>
              <w:rPr>
                <w:rFonts w:ascii="Times New Roman" w:hAnsi="仿宋" w:eastAsia="仿宋"/>
                <w:sz w:val="18"/>
                <w:szCs w:val="18"/>
              </w:rPr>
              <w:t>指有水源保证和灌溉设施，在一般年景能正常灌溉，种植旱生农作物（含蔬菜）的耕地，包括种植蔬菜的非工厂的大棚用地</w:t>
            </w:r>
          </w:p>
        </w:tc>
        <w:tc>
          <w:tcPr>
            <w:tcW w:w="1244" w:type="dxa"/>
            <w:vMerge w:val="continue"/>
            <w:tcBorders>
              <w:left w:val="single" w:color="auto" w:sz="4" w:space="0"/>
            </w:tcBorders>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p>
        </w:tc>
        <w:tc>
          <w:tcPr>
            <w:tcW w:w="778" w:type="dxa"/>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Times New Roman" w:eastAsia="仿宋"/>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Merge w:val="continue"/>
            <w:vAlign w:val="center"/>
          </w:tcPr>
          <w:p>
            <w:pPr>
              <w:widowControl/>
              <w:adjustRightInd w:val="0"/>
              <w:snapToGrid w:val="0"/>
              <w:spacing w:line="280" w:lineRule="exact"/>
              <w:jc w:val="left"/>
              <w:rPr>
                <w:rFonts w:ascii="Times New Roman" w:hAnsi="Times New Roman" w:eastAsia="仿宋"/>
                <w:sz w:val="18"/>
                <w:szCs w:val="18"/>
              </w:rPr>
            </w:pPr>
          </w:p>
        </w:tc>
        <w:tc>
          <w:tcPr>
            <w:tcW w:w="996" w:type="dxa"/>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旱地</w:t>
            </w:r>
          </w:p>
        </w:tc>
        <w:tc>
          <w:tcPr>
            <w:tcW w:w="4792" w:type="dxa"/>
            <w:tcBorders>
              <w:right w:val="single" w:color="auto" w:sz="4" w:space="0"/>
            </w:tcBorders>
            <w:vAlign w:val="center"/>
          </w:tcPr>
          <w:p>
            <w:pPr>
              <w:widowControl/>
              <w:adjustRightInd w:val="0"/>
              <w:snapToGrid w:val="0"/>
              <w:spacing w:line="280" w:lineRule="exact"/>
              <w:ind w:left="-53" w:leftChars="-25" w:right="-53" w:rightChars="-25"/>
              <w:jc w:val="left"/>
              <w:rPr>
                <w:rFonts w:ascii="Times New Roman" w:hAnsi="Times New Roman" w:eastAsia="仿宋"/>
                <w:sz w:val="18"/>
                <w:szCs w:val="18"/>
              </w:rPr>
            </w:pPr>
            <w:r>
              <w:rPr>
                <w:rFonts w:ascii="Times New Roman" w:hAnsi="仿宋" w:eastAsia="仿宋"/>
                <w:sz w:val="18"/>
                <w:szCs w:val="18"/>
              </w:rPr>
              <w:t>指无灌溉设施，主要靠天然降水种植旱生农作物的耕地，包括没有灌溉设施，仅靠引洪淤灌的耕地</w:t>
            </w:r>
          </w:p>
        </w:tc>
        <w:tc>
          <w:tcPr>
            <w:tcW w:w="1244" w:type="dxa"/>
            <w:tcBorders>
              <w:left w:val="single" w:color="auto" w:sz="4" w:space="0"/>
            </w:tcBorders>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旱地</w:t>
            </w:r>
          </w:p>
        </w:tc>
        <w:tc>
          <w:tcPr>
            <w:tcW w:w="778" w:type="dxa"/>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Times New Roman" w:eastAsia="仿宋"/>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Merge w:val="restart"/>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园地</w:t>
            </w:r>
          </w:p>
        </w:tc>
        <w:tc>
          <w:tcPr>
            <w:tcW w:w="996" w:type="dxa"/>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果园</w:t>
            </w:r>
          </w:p>
        </w:tc>
        <w:tc>
          <w:tcPr>
            <w:tcW w:w="4792" w:type="dxa"/>
            <w:tcBorders>
              <w:right w:val="single" w:color="auto" w:sz="4" w:space="0"/>
            </w:tcBorders>
            <w:vAlign w:val="center"/>
          </w:tcPr>
          <w:p>
            <w:pPr>
              <w:widowControl/>
              <w:adjustRightInd w:val="0"/>
              <w:snapToGrid w:val="0"/>
              <w:spacing w:line="280" w:lineRule="exact"/>
              <w:ind w:left="-53" w:leftChars="-25" w:right="-53" w:rightChars="-25"/>
              <w:jc w:val="left"/>
              <w:rPr>
                <w:rFonts w:ascii="Times New Roman" w:hAnsi="Times New Roman" w:eastAsia="仿宋"/>
                <w:sz w:val="18"/>
                <w:szCs w:val="18"/>
              </w:rPr>
            </w:pPr>
            <w:r>
              <w:rPr>
                <w:rFonts w:ascii="Times New Roman" w:hAnsi="仿宋" w:eastAsia="仿宋"/>
                <w:sz w:val="18"/>
                <w:szCs w:val="18"/>
              </w:rPr>
              <w:t>指种植果树的园地</w:t>
            </w:r>
          </w:p>
        </w:tc>
        <w:tc>
          <w:tcPr>
            <w:tcW w:w="1244" w:type="dxa"/>
            <w:vMerge w:val="restart"/>
            <w:tcBorders>
              <w:left w:val="single" w:color="auto" w:sz="4" w:space="0"/>
            </w:tcBorders>
            <w:vAlign w:val="center"/>
          </w:tcPr>
          <w:p>
            <w:pPr>
              <w:widowControl/>
              <w:adjustRightInd w:val="0"/>
              <w:snapToGrid w:val="0"/>
              <w:spacing w:line="280" w:lineRule="exact"/>
              <w:ind w:right="-53" w:rightChars="-25"/>
              <w:jc w:val="center"/>
              <w:rPr>
                <w:rFonts w:ascii="Times New Roman" w:hAnsi="Times New Roman" w:eastAsia="仿宋"/>
                <w:sz w:val="18"/>
                <w:szCs w:val="18"/>
              </w:rPr>
            </w:pPr>
            <w:r>
              <w:rPr>
                <w:rFonts w:ascii="Times New Roman" w:hAnsi="仿宋" w:eastAsia="仿宋"/>
                <w:sz w:val="18"/>
                <w:szCs w:val="18"/>
              </w:rPr>
              <w:t>果园</w:t>
            </w:r>
          </w:p>
        </w:tc>
        <w:tc>
          <w:tcPr>
            <w:tcW w:w="778" w:type="dxa"/>
            <w:vAlign w:val="center"/>
          </w:tcPr>
          <w:p>
            <w:pPr>
              <w:widowControl/>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Times New Roman" w:eastAsia="仿宋"/>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Merge w:val="continue"/>
            <w:vAlign w:val="center"/>
          </w:tcPr>
          <w:p>
            <w:pPr>
              <w:widowControl/>
              <w:adjustRightInd w:val="0"/>
              <w:snapToGrid w:val="0"/>
              <w:spacing w:line="280" w:lineRule="exact"/>
              <w:jc w:val="left"/>
              <w:rPr>
                <w:rFonts w:ascii="Times New Roman" w:hAnsi="Times New Roman" w:eastAsia="仿宋"/>
                <w:sz w:val="18"/>
                <w:szCs w:val="18"/>
              </w:rPr>
            </w:pPr>
          </w:p>
        </w:tc>
        <w:tc>
          <w:tcPr>
            <w:tcW w:w="996" w:type="dxa"/>
            <w:vAlign w:val="center"/>
          </w:tcPr>
          <w:p>
            <w:pPr>
              <w:adjustRightInd w:val="0"/>
              <w:snapToGrid w:val="0"/>
              <w:spacing w:line="280" w:lineRule="exact"/>
              <w:ind w:left="-53" w:leftChars="-25" w:right="-53" w:rightChars="-25"/>
              <w:jc w:val="center"/>
              <w:rPr>
                <w:rFonts w:ascii="Times New Roman" w:hAnsi="Times New Roman" w:eastAsia="仿宋"/>
                <w:sz w:val="18"/>
                <w:szCs w:val="18"/>
              </w:rPr>
            </w:pPr>
            <w:r>
              <w:rPr>
                <w:rFonts w:ascii="Times New Roman" w:hAnsi="仿宋" w:eastAsia="仿宋"/>
                <w:sz w:val="18"/>
                <w:szCs w:val="18"/>
              </w:rPr>
              <w:t>茶园</w:t>
            </w:r>
          </w:p>
        </w:tc>
        <w:tc>
          <w:tcPr>
            <w:tcW w:w="4792" w:type="dxa"/>
            <w:tcBorders>
              <w:right w:val="single" w:color="auto" w:sz="4" w:space="0"/>
            </w:tcBorders>
            <w:vAlign w:val="center"/>
          </w:tcPr>
          <w:p>
            <w:pPr>
              <w:widowControl/>
              <w:adjustRightInd w:val="0"/>
              <w:snapToGrid w:val="0"/>
              <w:spacing w:line="280" w:lineRule="exact"/>
              <w:ind w:left="-53" w:leftChars="-25" w:right="-53" w:rightChars="-25"/>
              <w:jc w:val="left"/>
              <w:rPr>
                <w:rFonts w:ascii="Times New Roman" w:hAnsi="Times New Roman" w:eastAsia="仿宋"/>
                <w:kern w:val="0"/>
                <w:sz w:val="18"/>
                <w:szCs w:val="18"/>
              </w:rPr>
            </w:pPr>
            <w:r>
              <w:rPr>
                <w:rFonts w:ascii="Times New Roman" w:hAnsi="仿宋" w:eastAsia="仿宋"/>
                <w:kern w:val="0"/>
                <w:sz w:val="18"/>
                <w:szCs w:val="18"/>
              </w:rPr>
              <w:t>指种植茶树的园地</w:t>
            </w:r>
          </w:p>
        </w:tc>
        <w:tc>
          <w:tcPr>
            <w:tcW w:w="1244" w:type="dxa"/>
            <w:vMerge w:val="continue"/>
            <w:tcBorders>
              <w:left w:val="single" w:color="auto" w:sz="4" w:space="0"/>
            </w:tcBorders>
            <w:vAlign w:val="center"/>
          </w:tcPr>
          <w:p>
            <w:pPr>
              <w:widowControl/>
              <w:adjustRightInd w:val="0"/>
              <w:snapToGrid w:val="0"/>
              <w:spacing w:line="280" w:lineRule="exact"/>
              <w:ind w:right="-53" w:rightChars="-25"/>
              <w:jc w:val="left"/>
              <w:rPr>
                <w:rFonts w:ascii="Times New Roman" w:hAnsi="Times New Roman" w:eastAsia="仿宋"/>
                <w:sz w:val="18"/>
                <w:szCs w:val="18"/>
              </w:rPr>
            </w:pPr>
          </w:p>
        </w:tc>
        <w:tc>
          <w:tcPr>
            <w:tcW w:w="778" w:type="dxa"/>
            <w:vAlign w:val="center"/>
          </w:tcPr>
          <w:p>
            <w:pPr>
              <w:widowControl/>
              <w:adjustRightInd w:val="0"/>
              <w:snapToGrid w:val="0"/>
              <w:spacing w:line="280" w:lineRule="exact"/>
              <w:ind w:left="-53" w:leftChars="-25" w:right="-53" w:rightChars="-25"/>
              <w:jc w:val="center"/>
              <w:rPr>
                <w:rFonts w:ascii="Times New Roman" w:hAnsi="Times New Roman" w:eastAsia="仿宋"/>
                <w:kern w:val="0"/>
                <w:sz w:val="18"/>
                <w:szCs w:val="18"/>
              </w:rPr>
            </w:pPr>
            <w:r>
              <w:rPr>
                <w:rFonts w:ascii="Times New Roman" w:hAnsi="Times New Roman" w:eastAsia="仿宋"/>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801" w:type="dxa"/>
            <w:vMerge w:val="continue"/>
            <w:vAlign w:val="center"/>
          </w:tcPr>
          <w:p>
            <w:pPr>
              <w:widowControl/>
              <w:adjustRightInd w:val="0"/>
              <w:snapToGrid w:val="0"/>
              <w:spacing w:line="280" w:lineRule="exact"/>
              <w:jc w:val="left"/>
              <w:rPr>
                <w:rFonts w:ascii="Times New Roman" w:hAnsi="Times New Roman" w:eastAsia="仿宋"/>
                <w:sz w:val="18"/>
                <w:szCs w:val="18"/>
              </w:rPr>
            </w:pPr>
          </w:p>
        </w:tc>
        <w:tc>
          <w:tcPr>
            <w:tcW w:w="996" w:type="dxa"/>
            <w:vAlign w:val="center"/>
          </w:tcPr>
          <w:p>
            <w:pPr>
              <w:widowControl/>
              <w:adjustRightInd w:val="0"/>
              <w:snapToGrid w:val="0"/>
              <w:spacing w:line="280" w:lineRule="exact"/>
              <w:jc w:val="center"/>
              <w:rPr>
                <w:rFonts w:ascii="Times New Roman" w:hAnsi="Times New Roman" w:eastAsia="仿宋"/>
                <w:sz w:val="18"/>
                <w:szCs w:val="18"/>
              </w:rPr>
            </w:pPr>
            <w:r>
              <w:rPr>
                <w:rFonts w:ascii="Times New Roman" w:hAnsi="仿宋" w:eastAsia="仿宋"/>
                <w:sz w:val="18"/>
                <w:szCs w:val="18"/>
              </w:rPr>
              <w:t>其他园地</w:t>
            </w:r>
          </w:p>
        </w:tc>
        <w:tc>
          <w:tcPr>
            <w:tcW w:w="4792" w:type="dxa"/>
            <w:tcBorders>
              <w:right w:val="single" w:color="auto" w:sz="4" w:space="0"/>
            </w:tcBorders>
            <w:vAlign w:val="center"/>
          </w:tcPr>
          <w:p>
            <w:pPr>
              <w:widowControl/>
              <w:adjustRightInd w:val="0"/>
              <w:snapToGrid w:val="0"/>
              <w:spacing w:line="280" w:lineRule="exact"/>
              <w:ind w:left="-53" w:leftChars="-25" w:right="-53" w:rightChars="-25"/>
              <w:jc w:val="left"/>
              <w:rPr>
                <w:rFonts w:ascii="Times New Roman" w:hAnsi="Times New Roman" w:eastAsia="仿宋"/>
                <w:kern w:val="0"/>
                <w:sz w:val="18"/>
                <w:szCs w:val="18"/>
              </w:rPr>
            </w:pPr>
            <w:r>
              <w:rPr>
                <w:rFonts w:ascii="Times New Roman" w:hAnsi="仿宋" w:eastAsia="仿宋"/>
                <w:kern w:val="0"/>
                <w:sz w:val="18"/>
                <w:szCs w:val="18"/>
              </w:rPr>
              <w:t>指种植桑树、可可、咖啡、油棕、胡椒、药材等其他多年生作物的园地</w:t>
            </w:r>
          </w:p>
        </w:tc>
        <w:tc>
          <w:tcPr>
            <w:tcW w:w="1244" w:type="dxa"/>
            <w:vMerge w:val="continue"/>
            <w:tcBorders>
              <w:left w:val="single" w:color="auto" w:sz="4" w:space="0"/>
            </w:tcBorders>
            <w:vAlign w:val="center"/>
          </w:tcPr>
          <w:p>
            <w:pPr>
              <w:widowControl/>
              <w:adjustRightInd w:val="0"/>
              <w:snapToGrid w:val="0"/>
              <w:spacing w:line="280" w:lineRule="exact"/>
              <w:ind w:right="-53" w:rightChars="-25"/>
              <w:jc w:val="left"/>
              <w:rPr>
                <w:rFonts w:ascii="Times New Roman" w:hAnsi="Times New Roman" w:eastAsia="仿宋"/>
                <w:sz w:val="18"/>
                <w:szCs w:val="18"/>
              </w:rPr>
            </w:pPr>
          </w:p>
        </w:tc>
        <w:tc>
          <w:tcPr>
            <w:tcW w:w="778" w:type="dxa"/>
            <w:vAlign w:val="center"/>
          </w:tcPr>
          <w:p>
            <w:pPr>
              <w:widowControl/>
              <w:adjustRightInd w:val="0"/>
              <w:snapToGrid w:val="0"/>
              <w:spacing w:line="280" w:lineRule="exact"/>
              <w:ind w:left="-53" w:leftChars="-25" w:right="-53" w:rightChars="-25"/>
              <w:jc w:val="center"/>
              <w:rPr>
                <w:rFonts w:ascii="Times New Roman" w:hAnsi="Times New Roman" w:eastAsia="仿宋"/>
                <w:kern w:val="0"/>
                <w:sz w:val="18"/>
                <w:szCs w:val="18"/>
              </w:rPr>
            </w:pPr>
            <w:r>
              <w:rPr>
                <w:rFonts w:ascii="Times New Roman" w:hAnsi="Times New Roman" w:eastAsia="仿宋"/>
                <w:kern w:val="0"/>
                <w:sz w:val="18"/>
                <w:szCs w:val="18"/>
              </w:rPr>
              <w:t>1.0</w:t>
            </w:r>
          </w:p>
        </w:tc>
      </w:tr>
    </w:tbl>
    <w:p>
      <w:pPr>
        <w:adjustRightInd w:val="0"/>
        <w:snapToGrid w:val="0"/>
        <w:spacing w:line="500" w:lineRule="exact"/>
        <w:rPr>
          <w:rFonts w:ascii="Times New Roman" w:hAnsi="Times New Roman" w:eastAsia="仿宋"/>
          <w:sz w:val="28"/>
          <w:szCs w:val="28"/>
        </w:rPr>
      </w:pPr>
    </w:p>
    <w:p>
      <w:pPr>
        <w:widowControl/>
        <w:jc w:val="left"/>
        <w:rPr>
          <w:rFonts w:ascii="Times New Roman" w:hAnsi="Times New Roman" w:eastAsia="方正黑体_GBK"/>
          <w:sz w:val="32"/>
          <w:szCs w:val="32"/>
        </w:rPr>
      </w:pPr>
      <w:r>
        <w:rPr>
          <w:rFonts w:ascii="Times New Roman" w:hAnsi="Times New Roman" w:eastAsia="方正黑体_GBK"/>
          <w:sz w:val="32"/>
          <w:szCs w:val="32"/>
        </w:rPr>
        <w:t>附表2</w:t>
      </w:r>
    </w:p>
    <w:p>
      <w:pPr>
        <w:adjustRightInd w:val="0"/>
        <w:snapToGrid w:val="0"/>
        <w:spacing w:line="500" w:lineRule="exact"/>
        <w:jc w:val="center"/>
        <w:rPr>
          <w:rFonts w:ascii="Times New Roman" w:hAnsi="Times New Roman" w:eastAsia="方正小标宋_GBK"/>
          <w:sz w:val="36"/>
          <w:szCs w:val="36"/>
        </w:rPr>
      </w:pPr>
      <w:r>
        <w:rPr>
          <w:rFonts w:ascii="Times New Roman" w:hAnsi="Times New Roman" w:eastAsia="方正小标宋_GBK"/>
          <w:sz w:val="36"/>
          <w:szCs w:val="36"/>
        </w:rPr>
        <w:t>耕地（水田和旱地）土地使用年期修正系数</w:t>
      </w:r>
    </w:p>
    <w:tbl>
      <w:tblPr>
        <w:tblStyle w:val="3"/>
        <w:tblW w:w="87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7"/>
        <w:gridCol w:w="778"/>
        <w:gridCol w:w="778"/>
        <w:gridCol w:w="778"/>
        <w:gridCol w:w="778"/>
        <w:gridCol w:w="778"/>
        <w:gridCol w:w="778"/>
        <w:gridCol w:w="778"/>
        <w:gridCol w:w="778"/>
        <w:gridCol w:w="778"/>
        <w:gridCol w:w="7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使用年期</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修正系数</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0.0427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0.0846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0.1257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0.1662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0.2059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0.2449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0.2833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0.3209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0.3579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0.3942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使用年期</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修正系数</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0.4299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0.465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0.4994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0.5333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0.5665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0.5992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0.6312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0.6627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0.6937</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0.7241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使用年期</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修正系数</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0.7539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0.7833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0.8121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0.8404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0.8682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0.8955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0.9223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0.9487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0.9746</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1.0000</w:t>
            </w:r>
          </w:p>
        </w:tc>
      </w:tr>
    </w:tbl>
    <w:p>
      <w:pPr>
        <w:adjustRightInd w:val="0"/>
        <w:snapToGrid w:val="0"/>
        <w:spacing w:line="500" w:lineRule="exact"/>
        <w:jc w:val="center"/>
        <w:rPr>
          <w:rFonts w:ascii="Times New Roman" w:hAnsi="Times New Roman" w:eastAsia="仿宋"/>
          <w:b/>
          <w:sz w:val="28"/>
          <w:szCs w:val="28"/>
        </w:rPr>
      </w:pPr>
    </w:p>
    <w:p>
      <w:pPr>
        <w:adjustRightInd w:val="0"/>
        <w:snapToGrid w:val="0"/>
        <w:spacing w:line="500" w:lineRule="exact"/>
        <w:jc w:val="center"/>
        <w:rPr>
          <w:rFonts w:ascii="Times New Roman" w:hAnsi="Times New Roman" w:eastAsia="仿宋"/>
          <w:b/>
          <w:sz w:val="28"/>
          <w:szCs w:val="28"/>
        </w:rPr>
      </w:pPr>
      <w:r>
        <w:rPr>
          <w:rFonts w:ascii="Times New Roman" w:hAnsi="仿宋" w:eastAsia="仿宋"/>
          <w:b/>
          <w:sz w:val="28"/>
          <w:szCs w:val="28"/>
        </w:rPr>
        <w:t>园地（果园）土地使用年期修正系数</w:t>
      </w:r>
    </w:p>
    <w:tbl>
      <w:tblPr>
        <w:tblStyle w:val="3"/>
        <w:tblW w:w="87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7"/>
        <w:gridCol w:w="778"/>
        <w:gridCol w:w="778"/>
        <w:gridCol w:w="778"/>
        <w:gridCol w:w="778"/>
        <w:gridCol w:w="778"/>
        <w:gridCol w:w="778"/>
        <w:gridCol w:w="778"/>
        <w:gridCol w:w="778"/>
        <w:gridCol w:w="778"/>
        <w:gridCol w:w="7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使用年期</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修正系数</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0.0484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0.0954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0.1412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0.1857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0.229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0.2711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0.3120</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0.3519</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0.3907</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0.4284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使用年期</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修正系数</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0.4651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0.5008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0.5355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0.5693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0.6021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0.6341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0.6651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0.6954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0.7248</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0.7534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使用年期</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21</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25</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28</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29</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87" w:type="dxa"/>
            <w:vAlign w:val="center"/>
          </w:tcPr>
          <w:p>
            <w:pPr>
              <w:widowControl/>
              <w:spacing w:line="280" w:lineRule="exact"/>
              <w:jc w:val="center"/>
              <w:rPr>
                <w:rFonts w:ascii="Times New Roman" w:hAnsi="Times New Roman" w:eastAsia="仿宋"/>
                <w:kern w:val="0"/>
                <w:sz w:val="18"/>
                <w:szCs w:val="18"/>
              </w:rPr>
            </w:pPr>
            <w:r>
              <w:rPr>
                <w:rFonts w:ascii="Times New Roman" w:hAnsi="仿宋" w:eastAsia="仿宋"/>
                <w:kern w:val="0"/>
                <w:sz w:val="18"/>
                <w:szCs w:val="18"/>
              </w:rPr>
              <w:t>修正系数</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0.7812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0.8083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0.8347</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0.8603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0.8852</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0.9094</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0.933</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0.956</w:t>
            </w:r>
          </w:p>
        </w:tc>
        <w:tc>
          <w:tcPr>
            <w:tcW w:w="778"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0.9783</w:t>
            </w:r>
          </w:p>
        </w:tc>
        <w:tc>
          <w:tcPr>
            <w:tcW w:w="779" w:type="dxa"/>
            <w:vAlign w:val="center"/>
          </w:tcPr>
          <w:p>
            <w:pPr>
              <w:spacing w:line="280" w:lineRule="exact"/>
              <w:jc w:val="center"/>
              <w:rPr>
                <w:rFonts w:ascii="Times New Roman" w:hAnsi="Times New Roman" w:eastAsia="仿宋"/>
                <w:color w:val="000000"/>
                <w:sz w:val="18"/>
                <w:szCs w:val="18"/>
              </w:rPr>
            </w:pPr>
            <w:r>
              <w:rPr>
                <w:rFonts w:ascii="Times New Roman" w:hAnsi="Times New Roman" w:eastAsia="仿宋"/>
                <w:color w:val="000000"/>
                <w:sz w:val="18"/>
                <w:szCs w:val="18"/>
              </w:rPr>
              <w:t>1.0000</w:t>
            </w:r>
          </w:p>
        </w:tc>
      </w:tr>
    </w:tbl>
    <w:p>
      <w:pPr>
        <w:spacing w:line="540" w:lineRule="exact"/>
        <w:jc w:val="center"/>
        <w:rPr>
          <w:rFonts w:ascii="Times New Roman" w:hAnsi="Times New Roman" w:eastAsia="仿宋"/>
          <w:sz w:val="18"/>
          <w:szCs w:val="18"/>
        </w:rPr>
      </w:pPr>
    </w:p>
    <w:p>
      <w:pPr>
        <w:pStyle w:val="4"/>
        <w:spacing w:line="500" w:lineRule="exact"/>
        <w:ind w:firstLine="0" w:firstLineChars="0"/>
        <w:jc w:val="left"/>
        <w:rPr>
          <w:rFonts w:ascii="Times New Roman" w:hAnsi="Times New Roman" w:eastAsia="方正黑体_GBK"/>
          <w:sz w:val="32"/>
          <w:szCs w:val="32"/>
        </w:rPr>
      </w:pPr>
      <w:r>
        <w:rPr>
          <w:rFonts w:ascii="Times New Roman" w:hAnsi="Times New Roman" w:eastAsia="仿宋"/>
          <w:sz w:val="18"/>
          <w:szCs w:val="18"/>
        </w:rPr>
        <w:br w:type="page"/>
      </w:r>
      <w:r>
        <w:rPr>
          <w:rFonts w:ascii="Times New Roman" w:hAnsi="Times New Roman" w:eastAsia="方正黑体_GBK"/>
          <w:sz w:val="32"/>
          <w:szCs w:val="32"/>
        </w:rPr>
        <w:t>附表3</w:t>
      </w:r>
    </w:p>
    <w:p>
      <w:pPr>
        <w:pStyle w:val="4"/>
        <w:spacing w:line="500" w:lineRule="exact"/>
        <w:ind w:firstLine="0" w:firstLineChars="0"/>
        <w:jc w:val="center"/>
        <w:rPr>
          <w:rFonts w:ascii="Times New Roman" w:hAnsi="Times New Roman" w:eastAsia="仿宋"/>
          <w:b/>
          <w:bCs/>
          <w:sz w:val="28"/>
          <w:szCs w:val="28"/>
        </w:rPr>
      </w:pPr>
      <w:r>
        <w:rPr>
          <w:rFonts w:ascii="Times New Roman" w:hAnsi="仿宋" w:eastAsia="仿宋"/>
          <w:b/>
          <w:sz w:val="28"/>
          <w:szCs w:val="28"/>
        </w:rPr>
        <w:t>丰都县</w:t>
      </w:r>
      <w:r>
        <w:rPr>
          <w:rFonts w:ascii="Times New Roman" w:hAnsi="Times New Roman" w:eastAsia="仿宋"/>
          <w:b/>
          <w:bCs/>
          <w:sz w:val="28"/>
          <w:szCs w:val="28"/>
        </w:rPr>
        <w:t>1-5</w:t>
      </w:r>
      <w:r>
        <w:rPr>
          <w:rFonts w:ascii="Times New Roman" w:hAnsi="仿宋" w:eastAsia="仿宋"/>
          <w:b/>
          <w:bCs/>
          <w:sz w:val="28"/>
          <w:szCs w:val="28"/>
        </w:rPr>
        <w:t>级水田基准地价修正因素指标说明表</w:t>
      </w:r>
    </w:p>
    <w:tbl>
      <w:tblPr>
        <w:tblStyle w:val="3"/>
        <w:tblW w:w="895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2"/>
        <w:gridCol w:w="724"/>
        <w:gridCol w:w="1019"/>
        <w:gridCol w:w="1361"/>
        <w:gridCol w:w="1361"/>
        <w:gridCol w:w="1361"/>
        <w:gridCol w:w="1361"/>
        <w:gridCol w:w="1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155" w:type="dxa"/>
            <w:gridSpan w:val="3"/>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修正因素</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优</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较优</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较劣</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区位因素</w:t>
            </w:r>
          </w:p>
        </w:tc>
        <w:tc>
          <w:tcPr>
            <w:tcW w:w="724"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区位条件</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城镇影响度</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1000-1500</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1500-2000</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2000-3000</w:t>
            </w:r>
          </w:p>
        </w:tc>
        <w:tc>
          <w:tcPr>
            <w:tcW w:w="1356"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交通条件</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道路通达度</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国道、省道能能通达</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县道能通达</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乡道能通达</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只有村道能通达</w:t>
            </w:r>
          </w:p>
        </w:tc>
        <w:tc>
          <w:tcPr>
            <w:tcW w:w="1356"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无道路通达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路网密度</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≥5%</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3.5%-5%</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2.5%-3.5%</w:t>
            </w:r>
          </w:p>
        </w:tc>
        <w:tc>
          <w:tcPr>
            <w:tcW w:w="1361"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1%-2.5%</w:t>
            </w:r>
          </w:p>
        </w:tc>
        <w:tc>
          <w:tcPr>
            <w:tcW w:w="1356"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社会经济因素</w:t>
            </w:r>
          </w:p>
        </w:tc>
        <w:tc>
          <w:tcPr>
            <w:tcW w:w="72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基本设施状况</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灌溉保证率</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充分满足，可随时灌溉</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基本满足，在关键需水期能保证灌溉</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一般满足，但大旱年不能保证</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有灌溉条件，但无法保证</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无灌溉条件，包括望天田和旱地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排水条件</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有健全的干、支排水沟道</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，无洪涝灾害</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基本健全，丰水年暴雨后有短期洪涝发生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1</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2</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一般，丰水年大雨后有洪涝发生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2</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较差，丰水年大雨后有洪涝发生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，一般年份在大雨后发生洪涝</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田间路网密度</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0.2</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0.1</w:t>
            </w:r>
            <w:r>
              <w:rPr>
                <w:rFonts w:ascii="Times New Roman" w:hAnsi="仿宋" w:eastAsia="仿宋"/>
                <w:color w:val="000000"/>
                <w:kern w:val="0"/>
                <w:sz w:val="18"/>
                <w:szCs w:val="18"/>
              </w:rPr>
              <w:t>，</w:t>
            </w:r>
            <w:r>
              <w:rPr>
                <w:rFonts w:ascii="Times New Roman" w:hAnsi="Times New Roman" w:eastAsia="仿宋"/>
                <w:color w:val="000000"/>
                <w:kern w:val="0"/>
                <w:sz w:val="18"/>
                <w:szCs w:val="18"/>
              </w:rPr>
              <w:t>0.2</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0.05</w:t>
            </w:r>
            <w:r>
              <w:rPr>
                <w:rFonts w:ascii="Times New Roman" w:hAnsi="仿宋" w:eastAsia="仿宋"/>
                <w:color w:val="000000"/>
                <w:kern w:val="0"/>
                <w:sz w:val="18"/>
                <w:szCs w:val="18"/>
              </w:rPr>
              <w:t>，</w:t>
            </w:r>
            <w:r>
              <w:rPr>
                <w:rFonts w:ascii="Times New Roman" w:hAnsi="Times New Roman" w:eastAsia="仿宋"/>
                <w:color w:val="000000"/>
                <w:kern w:val="0"/>
                <w:sz w:val="18"/>
                <w:szCs w:val="18"/>
              </w:rPr>
              <w:t>0.1</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0.01</w:t>
            </w:r>
            <w:r>
              <w:rPr>
                <w:rFonts w:ascii="Times New Roman" w:hAnsi="仿宋" w:eastAsia="仿宋"/>
                <w:color w:val="000000"/>
                <w:kern w:val="0"/>
                <w:sz w:val="18"/>
                <w:szCs w:val="18"/>
              </w:rPr>
              <w:t>，</w:t>
            </w:r>
            <w:r>
              <w:rPr>
                <w:rFonts w:ascii="Times New Roman" w:hAnsi="Times New Roman" w:eastAsia="仿宋"/>
                <w:color w:val="000000"/>
                <w:kern w:val="0"/>
                <w:sz w:val="18"/>
                <w:szCs w:val="18"/>
              </w:rPr>
              <w:t>0.05</w:t>
            </w:r>
            <w:r>
              <w:rPr>
                <w:rFonts w:ascii="Times New Roman" w:hAnsi="仿宋"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便利条件</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宜机化</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田块规整度高，布局合理，田间道路完善，无作业死角，土地综合条件适宜大中型农业机械作业。</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田块规整度较高，布局较合理，具备田间道路，土地综合条件满足部分大中型农业机械作业。</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现有田块、布局、田间道路等条件适宜小型农机具作业，具备进一步宜机化改造潜力。</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现有田块、布局、田间道路等条件不能开展或仅能开展半机械化作业，但具备宜机化改造潜力。</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现有田块、布局、田间道路等条件不能开展或仅能开展半机械化作业，且不具备宜机化改造潜力。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耕作距离</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≤500</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r>
              <w:rPr>
                <w:rFonts w:ascii="Times New Roman" w:hAnsi="仿宋" w:eastAsia="仿宋"/>
                <w:color w:val="000000"/>
                <w:kern w:val="0"/>
                <w:sz w:val="18"/>
                <w:szCs w:val="18"/>
              </w:rPr>
              <w:t>，</w:t>
            </w:r>
            <w:r>
              <w:rPr>
                <w:rFonts w:ascii="Times New Roman" w:hAnsi="Times New Roman" w:eastAsia="仿宋"/>
                <w:color w:val="000000"/>
                <w:kern w:val="0"/>
                <w:sz w:val="18"/>
                <w:szCs w:val="18"/>
              </w:rPr>
              <w:t>2000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2000</w:t>
            </w:r>
            <w:r>
              <w:rPr>
                <w:rFonts w:ascii="Times New Roman" w:hAnsi="仿宋" w:eastAsia="仿宋"/>
                <w:color w:val="000000"/>
                <w:kern w:val="0"/>
                <w:sz w:val="18"/>
                <w:szCs w:val="18"/>
              </w:rPr>
              <w:t>，</w:t>
            </w:r>
            <w:r>
              <w:rPr>
                <w:rFonts w:ascii="Times New Roman" w:hAnsi="Times New Roman" w:eastAsia="仿宋"/>
                <w:color w:val="000000"/>
                <w:kern w:val="0"/>
                <w:sz w:val="18"/>
                <w:szCs w:val="18"/>
              </w:rPr>
              <w:t>3000</w:t>
            </w:r>
            <w:r>
              <w:rPr>
                <w:rFonts w:ascii="Times New Roman" w:hAnsi="仿宋"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自然因素</w:t>
            </w:r>
          </w:p>
        </w:tc>
        <w:tc>
          <w:tcPr>
            <w:tcW w:w="72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土壤条件</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表层土壤质地</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壤土</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砂壤土</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粘土</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砂土</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砾质土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土层厚度</w:t>
            </w:r>
            <w:r>
              <w:rPr>
                <w:rFonts w:ascii="Times New Roman" w:hAnsi="Times New Roman" w:eastAsia="仿宋"/>
                <w:color w:val="000000"/>
                <w:kern w:val="0"/>
                <w:sz w:val="18"/>
                <w:szCs w:val="18"/>
              </w:rPr>
              <w:t>(cm)</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80</w:t>
            </w:r>
            <w:r>
              <w:rPr>
                <w:rFonts w:ascii="Times New Roman" w:hAnsi="仿宋" w:eastAsia="仿宋"/>
                <w:color w:val="000000"/>
                <w:kern w:val="0"/>
                <w:sz w:val="18"/>
                <w:szCs w:val="18"/>
              </w:rPr>
              <w:t>，</w:t>
            </w:r>
            <w:r>
              <w:rPr>
                <w:rFonts w:ascii="Times New Roman" w:hAnsi="Times New Roman" w:eastAsia="仿宋"/>
                <w:color w:val="000000"/>
                <w:kern w:val="0"/>
                <w:sz w:val="18"/>
                <w:szCs w:val="18"/>
              </w:rPr>
              <w:t>100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r>
              <w:rPr>
                <w:rFonts w:ascii="Times New Roman" w:hAnsi="Times New Roman" w:eastAsia="仿宋"/>
                <w:color w:val="000000"/>
                <w:kern w:val="0"/>
                <w:sz w:val="18"/>
                <w:szCs w:val="18"/>
              </w:rPr>
              <w:t>80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w:t>
            </w: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有机质</w:t>
            </w:r>
          </w:p>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含量（</w:t>
            </w:r>
            <w:r>
              <w:rPr>
                <w:rFonts w:ascii="Times New Roman" w:hAnsi="Times New Roman" w:eastAsia="仿宋"/>
                <w:color w:val="000000"/>
                <w:kern w:val="0"/>
                <w:sz w:val="18"/>
                <w:szCs w:val="18"/>
              </w:rPr>
              <w:t>%</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r>
              <w:rPr>
                <w:rFonts w:ascii="Times New Roman" w:hAnsi="仿宋" w:eastAsia="仿宋"/>
                <w:color w:val="000000"/>
                <w:kern w:val="0"/>
                <w:sz w:val="18"/>
                <w:szCs w:val="18"/>
              </w:rPr>
              <w:t>，</w:t>
            </w:r>
            <w:r>
              <w:rPr>
                <w:rFonts w:ascii="Times New Roman" w:hAnsi="Times New Roman" w:eastAsia="仿宋"/>
                <w:color w:val="000000"/>
                <w:kern w:val="0"/>
                <w:sz w:val="18"/>
                <w:szCs w:val="18"/>
              </w:rPr>
              <w:t>3</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w:t>
            </w: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0.6</w:t>
            </w:r>
            <w:r>
              <w:rPr>
                <w:rFonts w:ascii="Times New Roman" w:hAnsi="仿宋" w:eastAsia="仿宋"/>
                <w:color w:val="000000"/>
                <w:kern w:val="0"/>
                <w:sz w:val="18"/>
                <w:szCs w:val="18"/>
              </w:rPr>
              <w:t>，</w:t>
            </w:r>
            <w:r>
              <w:rPr>
                <w:rFonts w:ascii="Times New Roman" w:hAnsi="Times New Roman" w:eastAsia="仿宋"/>
                <w:color w:val="000000"/>
                <w:kern w:val="0"/>
                <w:sz w:val="18"/>
                <w:szCs w:val="18"/>
              </w:rPr>
              <w:t>1</w:t>
            </w:r>
            <w:r>
              <w:rPr>
                <w:rFonts w:ascii="Times New Roman" w:hAnsi="仿宋"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w:t>
            </w:r>
            <w:r>
              <w:rPr>
                <w:rFonts w:ascii="Times New Roman" w:hAnsi="仿宋" w:eastAsia="仿宋"/>
                <w:color w:val="000000"/>
                <w:kern w:val="0"/>
                <w:sz w:val="18"/>
                <w:szCs w:val="18"/>
              </w:rPr>
              <w:t>，</w:t>
            </w:r>
            <w:r>
              <w:rPr>
                <w:rFonts w:ascii="Times New Roman" w:hAnsi="Times New Roman" w:eastAsia="仿宋"/>
                <w:color w:val="000000"/>
                <w:kern w:val="0"/>
                <w:sz w:val="18"/>
                <w:szCs w:val="18"/>
              </w:rPr>
              <w:t>0.6</w:t>
            </w:r>
            <w:r>
              <w:rPr>
                <w:rFonts w:ascii="Times New Roman"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土壤酸碱度（</w:t>
            </w:r>
            <w:r>
              <w:rPr>
                <w:rFonts w:ascii="Times New Roman" w:hAnsi="Times New Roman" w:eastAsia="仿宋"/>
                <w:color w:val="000000"/>
                <w:kern w:val="0"/>
                <w:sz w:val="18"/>
                <w:szCs w:val="18"/>
              </w:rPr>
              <w:t>PH</w:t>
            </w:r>
            <w:r>
              <w:rPr>
                <w:rFonts w:ascii="Times New Roman" w:hAnsi="仿宋" w:eastAsia="仿宋"/>
                <w:color w:val="000000"/>
                <w:kern w:val="0"/>
                <w:sz w:val="18"/>
                <w:szCs w:val="18"/>
              </w:rPr>
              <w:t>值）</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5.5</w:t>
            </w: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w:t>
            </w:r>
            <w:r>
              <w:rPr>
                <w:rFonts w:ascii="Times New Roman" w:hAnsi="仿宋" w:eastAsia="仿宋"/>
                <w:color w:val="000000"/>
                <w:kern w:val="0"/>
                <w:sz w:val="18"/>
                <w:szCs w:val="18"/>
              </w:rPr>
              <w:t>，</w:t>
            </w:r>
            <w:r>
              <w:rPr>
                <w:rFonts w:ascii="Times New Roman" w:hAnsi="Times New Roman" w:eastAsia="仿宋"/>
                <w:color w:val="000000"/>
                <w:kern w:val="0"/>
                <w:sz w:val="18"/>
                <w:szCs w:val="18"/>
              </w:rPr>
              <w:t>5.5</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4.5</w:t>
            </w:r>
            <w:r>
              <w:rPr>
                <w:rFonts w:ascii="Times New Roman" w:hAnsi="仿宋" w:eastAsia="仿宋"/>
                <w:color w:val="000000"/>
                <w:kern w:val="0"/>
                <w:sz w:val="18"/>
                <w:szCs w:val="18"/>
              </w:rPr>
              <w:t>，</w:t>
            </w:r>
            <w:r>
              <w:rPr>
                <w:rFonts w:ascii="Times New Roman" w:hAnsi="Times New Roman" w:eastAsia="仿宋"/>
                <w:color w:val="000000"/>
                <w:kern w:val="0"/>
                <w:sz w:val="18"/>
                <w:szCs w:val="18"/>
              </w:rPr>
              <w:t>5.0</w:t>
            </w:r>
            <w:r>
              <w:rPr>
                <w:rFonts w:ascii="Times New Roman" w:hAnsi="仿宋"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地形条件</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海拔（米）</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w:t>
            </w: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r>
              <w:rPr>
                <w:rFonts w:ascii="Times New Roman" w:hAnsi="Times New Roman" w:eastAsia="仿宋"/>
                <w:color w:val="000000"/>
                <w:kern w:val="0"/>
                <w:sz w:val="18"/>
                <w:szCs w:val="18"/>
              </w:rPr>
              <w:t>700</w:t>
            </w:r>
            <w:r>
              <w:rPr>
                <w:rFonts w:ascii="Times New Roman" w:hAnsi="仿宋" w:eastAsia="仿宋"/>
                <w:color w:val="000000"/>
                <w:kern w:val="0"/>
                <w:sz w:val="18"/>
                <w:szCs w:val="18"/>
              </w:rPr>
              <w:t>）</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700</w:t>
            </w:r>
            <w:r>
              <w:rPr>
                <w:rFonts w:ascii="Times New Roman" w:hAnsi="仿宋" w:eastAsia="仿宋"/>
                <w:color w:val="000000"/>
                <w:kern w:val="0"/>
                <w:sz w:val="18"/>
                <w:szCs w:val="18"/>
              </w:rPr>
              <w:t>，</w:t>
            </w:r>
            <w:r>
              <w:rPr>
                <w:rFonts w:ascii="Times New Roman" w:hAnsi="Times New Roman" w:eastAsia="仿宋"/>
                <w:color w:val="000000"/>
                <w:kern w:val="0"/>
                <w:sz w:val="18"/>
                <w:szCs w:val="18"/>
              </w:rPr>
              <w:t>900</w:t>
            </w:r>
            <w:r>
              <w:rPr>
                <w:rFonts w:ascii="Times New Roman" w:hAnsi="仿宋" w:eastAsia="仿宋"/>
                <w:color w:val="000000"/>
                <w:kern w:val="0"/>
                <w:sz w:val="18"/>
                <w:szCs w:val="18"/>
              </w:rPr>
              <w:t>）</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坡度</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2°-6°</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6°-15°</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15°-25°</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生态环境</w:t>
            </w:r>
          </w:p>
        </w:tc>
        <w:tc>
          <w:tcPr>
            <w:tcW w:w="724"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污染状况</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环境污染</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无污染</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达到警戒线</w:t>
            </w:r>
            <w:r>
              <w:rPr>
                <w:rFonts w:ascii="Times New Roman" w:hAnsi="Times New Roman" w:eastAsia="仿宋"/>
                <w:color w:val="000000"/>
                <w:kern w:val="0"/>
                <w:sz w:val="18"/>
                <w:szCs w:val="18"/>
              </w:rPr>
              <w:t>,</w:t>
            </w:r>
            <w:r>
              <w:rPr>
                <w:rFonts w:ascii="Times New Roman" w:hAnsi="仿宋" w:eastAsia="仿宋"/>
                <w:color w:val="000000"/>
                <w:kern w:val="0"/>
                <w:sz w:val="18"/>
                <w:szCs w:val="18"/>
              </w:rPr>
              <w:t>对个别作物有轻微影响</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轻度污染，不适合个别农作物种植</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中度污染，不适合部分农作物种植</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重度污染，不适合大部分农作物种植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12"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24"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019"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特殊气候</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有利的特殊小气候，部分作物产量有利</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较有利的特殊小气候，个别作物产量有利</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无特殊</w:t>
            </w:r>
          </w:p>
        </w:tc>
        <w:tc>
          <w:tcPr>
            <w:tcW w:w="1361"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较为不利小气候，个别作物产量不利</w:t>
            </w:r>
          </w:p>
        </w:tc>
        <w:tc>
          <w:tcPr>
            <w:tcW w:w="13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灾害性小气候，部分作物产量有利</w:t>
            </w:r>
          </w:p>
        </w:tc>
      </w:tr>
    </w:tbl>
    <w:p>
      <w:pPr>
        <w:widowControl/>
        <w:spacing w:before="240"/>
        <w:ind w:firstLine="360" w:firstLineChars="200"/>
        <w:jc w:val="left"/>
        <w:rPr>
          <w:rFonts w:ascii="Times New Roman" w:hAnsi="Times New Roman" w:eastAsia="仿宋"/>
          <w:bCs/>
          <w:kern w:val="0"/>
          <w:sz w:val="18"/>
          <w:szCs w:val="18"/>
        </w:rPr>
      </w:pPr>
      <w:r>
        <w:rPr>
          <w:rFonts w:ascii="Times New Roman" w:hAnsi="仿宋" w:eastAsia="仿宋"/>
          <w:kern w:val="0"/>
          <w:sz w:val="18"/>
          <w:szCs w:val="18"/>
        </w:rPr>
        <w:t>备注：田间路网密度是指为满足耕作、农机具的应用及农资运输等生产活动需要而修建的道路占田块面积的比重，反映耕地地块内部耕作便利情况。</w:t>
      </w:r>
    </w:p>
    <w:p>
      <w:pPr>
        <w:pStyle w:val="4"/>
        <w:spacing w:line="500" w:lineRule="exact"/>
        <w:ind w:firstLine="0" w:firstLineChars="0"/>
        <w:jc w:val="center"/>
        <w:rPr>
          <w:rFonts w:ascii="Times New Roman" w:hAnsi="Times New Roman" w:eastAsia="仿宋"/>
          <w:b/>
          <w:bCs/>
          <w:sz w:val="28"/>
          <w:szCs w:val="28"/>
        </w:rPr>
      </w:pPr>
      <w:r>
        <w:rPr>
          <w:rFonts w:ascii="Times New Roman" w:hAnsi="Times New Roman" w:eastAsia="仿宋"/>
          <w:b/>
          <w:bCs/>
          <w:kern w:val="0"/>
          <w:sz w:val="28"/>
        </w:rPr>
        <w:br w:type="page"/>
      </w:r>
      <w:r>
        <w:rPr>
          <w:rFonts w:ascii="Times New Roman" w:hAnsi="仿宋" w:eastAsia="仿宋"/>
          <w:b/>
          <w:bCs/>
          <w:sz w:val="28"/>
          <w:szCs w:val="28"/>
        </w:rPr>
        <w:t>丰都县</w:t>
      </w:r>
      <w:r>
        <w:rPr>
          <w:rFonts w:ascii="Times New Roman" w:hAnsi="Times New Roman" w:eastAsia="仿宋"/>
          <w:b/>
          <w:bCs/>
          <w:sz w:val="28"/>
          <w:szCs w:val="28"/>
        </w:rPr>
        <w:t>1-5</w:t>
      </w:r>
      <w:r>
        <w:rPr>
          <w:rFonts w:ascii="Times New Roman" w:hAnsi="仿宋" w:eastAsia="仿宋"/>
          <w:b/>
          <w:bCs/>
          <w:sz w:val="28"/>
          <w:szCs w:val="28"/>
        </w:rPr>
        <w:t>级水田基准地价修正系数表</w:t>
      </w:r>
      <w:r>
        <w:rPr>
          <w:rFonts w:ascii="Times New Roman" w:hAnsi="Times New Roman" w:eastAsia="仿宋"/>
          <w:b/>
          <w:bCs/>
          <w:sz w:val="28"/>
          <w:szCs w:val="28"/>
        </w:rPr>
        <w:t>(%)</w:t>
      </w:r>
    </w:p>
    <w:tbl>
      <w:tblPr>
        <w:tblStyle w:val="3"/>
        <w:tblW w:w="89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18"/>
        <w:gridCol w:w="1600"/>
        <w:gridCol w:w="1129"/>
        <w:gridCol w:w="1129"/>
        <w:gridCol w:w="1129"/>
        <w:gridCol w:w="1129"/>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312" w:type="dxa"/>
            <w:gridSpan w:val="3"/>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修正因素</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优</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较优</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较劣</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区位因素</w:t>
            </w:r>
          </w:p>
        </w:tc>
        <w:tc>
          <w:tcPr>
            <w:tcW w:w="1018"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城镇影响度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1.10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交通条件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道路通达度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路网密度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社会经济因素</w:t>
            </w: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基本设施状况</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灌溉保证率</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1.10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排水条件</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田间路网密度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0.77</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0.39</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-0.42</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便利条件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宜机化</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耕作距离</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自然因素</w:t>
            </w: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表层土壤质地</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土层厚度</w:t>
            </w:r>
            <w:r>
              <w:rPr>
                <w:rFonts w:ascii="Times New Roman" w:hAnsi="Times New Roman" w:eastAsia="仿宋"/>
                <w:color w:val="000000"/>
                <w:kern w:val="0"/>
                <w:sz w:val="18"/>
                <w:szCs w:val="18"/>
              </w:rPr>
              <w:t>(cm)</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有机质含量</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土壤酸碱度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地形条件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海拔</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0.22</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生态环境</w:t>
            </w:r>
          </w:p>
        </w:tc>
        <w:tc>
          <w:tcPr>
            <w:tcW w:w="1018"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污染状况</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环境污染</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特殊气候</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312" w:type="dxa"/>
            <w:gridSpan w:val="3"/>
            <w:vAlign w:val="center"/>
          </w:tcPr>
          <w:p>
            <w:pPr>
              <w:widowControl/>
              <w:jc w:val="center"/>
              <w:rPr>
                <w:rFonts w:ascii="Times New Roman" w:hAnsi="Times New Roman" w:eastAsia="仿宋"/>
                <w:color w:val="000000"/>
                <w:kern w:val="0"/>
                <w:sz w:val="22"/>
                <w:szCs w:val="22"/>
              </w:rPr>
            </w:pPr>
            <w:r>
              <w:rPr>
                <w:rFonts w:ascii="Times New Roman" w:hAnsi="仿宋" w:eastAsia="仿宋"/>
                <w:color w:val="000000"/>
                <w:kern w:val="0"/>
                <w:sz w:val="18"/>
                <w:szCs w:val="18"/>
              </w:rPr>
              <w:t>调整幅度合计</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11</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5.53</w:t>
            </w:r>
            <w:r>
              <w:rPr>
                <w:rFonts w:ascii="Times New Roman" w:hAnsi="Times New Roman" w:eastAsia="仿宋"/>
                <w:color w:val="000000"/>
                <w:kern w:val="0"/>
                <w:sz w:val="18"/>
                <w:szCs w:val="18"/>
              </w:rPr>
              <w:fldChar w:fldCharType="end"/>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-6</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-12</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r>
    </w:tbl>
    <w:p>
      <w:pPr>
        <w:widowControl/>
        <w:spacing w:line="360" w:lineRule="auto"/>
        <w:jc w:val="center"/>
        <w:rPr>
          <w:rFonts w:ascii="Times New Roman" w:hAnsi="Times New Roman" w:eastAsia="仿宋"/>
          <w:bCs/>
          <w:kern w:val="0"/>
          <w:sz w:val="18"/>
          <w:szCs w:val="18"/>
        </w:rPr>
      </w:pPr>
    </w:p>
    <w:p>
      <w:pPr>
        <w:pStyle w:val="4"/>
        <w:spacing w:line="500" w:lineRule="exact"/>
        <w:ind w:firstLine="0" w:firstLineChars="0"/>
        <w:jc w:val="center"/>
        <w:rPr>
          <w:rFonts w:ascii="Times New Roman" w:hAnsi="Times New Roman" w:eastAsia="仿宋"/>
          <w:b/>
          <w:bCs/>
          <w:sz w:val="28"/>
          <w:szCs w:val="28"/>
        </w:rPr>
      </w:pPr>
      <w:r>
        <w:rPr>
          <w:rFonts w:ascii="Times New Roman" w:hAnsi="Times New Roman" w:eastAsia="仿宋"/>
          <w:bCs/>
          <w:sz w:val="18"/>
          <w:szCs w:val="18"/>
        </w:rPr>
        <w:br w:type="page"/>
      </w:r>
      <w:r>
        <w:rPr>
          <w:rFonts w:ascii="Times New Roman" w:hAnsi="仿宋" w:eastAsia="仿宋"/>
          <w:b/>
          <w:bCs/>
          <w:sz w:val="28"/>
          <w:szCs w:val="28"/>
        </w:rPr>
        <w:t>丰都县</w:t>
      </w:r>
      <w:r>
        <w:rPr>
          <w:rFonts w:ascii="Times New Roman" w:hAnsi="Times New Roman" w:eastAsia="仿宋"/>
          <w:b/>
          <w:bCs/>
          <w:sz w:val="28"/>
          <w:szCs w:val="28"/>
        </w:rPr>
        <w:t>1-5</w:t>
      </w:r>
      <w:r>
        <w:rPr>
          <w:rFonts w:ascii="Times New Roman" w:hAnsi="仿宋" w:eastAsia="仿宋"/>
          <w:b/>
          <w:bCs/>
          <w:sz w:val="28"/>
          <w:szCs w:val="28"/>
        </w:rPr>
        <w:t>级旱地基准地价修正因素指标说明表</w:t>
      </w:r>
    </w:p>
    <w:tbl>
      <w:tblPr>
        <w:tblStyle w:val="3"/>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5"/>
        <w:gridCol w:w="734"/>
        <w:gridCol w:w="1035"/>
        <w:gridCol w:w="1377"/>
        <w:gridCol w:w="1377"/>
        <w:gridCol w:w="1377"/>
        <w:gridCol w:w="1377"/>
        <w:gridCol w:w="1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4" w:type="dxa"/>
            <w:gridSpan w:val="3"/>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修正因素</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优</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较优</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较劣</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区位因素</w:t>
            </w:r>
          </w:p>
        </w:tc>
        <w:tc>
          <w:tcPr>
            <w:tcW w:w="734"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区位条件</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城镇影响度</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1000-1500</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1500-2000</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2000-3000</w:t>
            </w:r>
          </w:p>
        </w:tc>
        <w:tc>
          <w:tcPr>
            <w:tcW w:w="136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交通条件</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道路通达度</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国道、省道能能通达</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县道能通达</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乡道能通达</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只有村道能通达</w:t>
            </w:r>
          </w:p>
        </w:tc>
        <w:tc>
          <w:tcPr>
            <w:tcW w:w="136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无道路通达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路网密度</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≥5%</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3.5%-5%</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2.5%-3.5%</w:t>
            </w:r>
          </w:p>
        </w:tc>
        <w:tc>
          <w:tcPr>
            <w:tcW w:w="1377"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1%-2.5%</w:t>
            </w:r>
          </w:p>
        </w:tc>
        <w:tc>
          <w:tcPr>
            <w:tcW w:w="136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restart"/>
            <w:vAlign w:val="center"/>
          </w:tcPr>
          <w:p>
            <w:pPr>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社会经济因素</w:t>
            </w:r>
          </w:p>
        </w:tc>
        <w:tc>
          <w:tcPr>
            <w:tcW w:w="734" w:type="dxa"/>
            <w:vMerge w:val="restart"/>
            <w:vAlign w:val="center"/>
          </w:tcPr>
          <w:p>
            <w:pPr>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基本设施状况</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田面坡度</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2°-6°</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6°-15°</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15°-25°</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灌溉保证率</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充分满足，可随时灌溉</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基本满足，在关键需水期能保证灌溉</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一般满足，但大旱年不能保证</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有灌溉条件，但无法保证</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无灌溉条件，包括望天田和旱地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排水条件</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有健全的干、支排水沟道</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，无洪涝灾害</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基本健全，丰水年暴雨后有短期洪涝发生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1</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2</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一般，丰水年大雨后有洪涝发生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2</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较差，丰水年大雨后有洪涝发生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，一般年份在大雨后发生洪涝</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田间路网密度</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0.2</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0.1</w:t>
            </w:r>
            <w:r>
              <w:rPr>
                <w:rFonts w:ascii="Times New Roman" w:hAnsi="仿宋" w:eastAsia="仿宋"/>
                <w:color w:val="000000"/>
                <w:kern w:val="0"/>
                <w:sz w:val="18"/>
                <w:szCs w:val="18"/>
              </w:rPr>
              <w:t>，</w:t>
            </w:r>
            <w:r>
              <w:rPr>
                <w:rFonts w:ascii="Times New Roman" w:hAnsi="Times New Roman" w:eastAsia="仿宋"/>
                <w:color w:val="000000"/>
                <w:kern w:val="0"/>
                <w:sz w:val="18"/>
                <w:szCs w:val="18"/>
              </w:rPr>
              <w:t>0.2</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0.05</w:t>
            </w:r>
            <w:r>
              <w:rPr>
                <w:rFonts w:ascii="Times New Roman" w:hAnsi="仿宋" w:eastAsia="仿宋"/>
                <w:color w:val="000000"/>
                <w:kern w:val="0"/>
                <w:sz w:val="18"/>
                <w:szCs w:val="18"/>
              </w:rPr>
              <w:t>，</w:t>
            </w:r>
            <w:r>
              <w:rPr>
                <w:rFonts w:ascii="Times New Roman" w:hAnsi="Times New Roman" w:eastAsia="仿宋"/>
                <w:color w:val="000000"/>
                <w:kern w:val="0"/>
                <w:sz w:val="18"/>
                <w:szCs w:val="18"/>
              </w:rPr>
              <w:t>0.1</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0.01</w:t>
            </w:r>
            <w:r>
              <w:rPr>
                <w:rFonts w:ascii="Times New Roman" w:hAnsi="仿宋" w:eastAsia="仿宋"/>
                <w:color w:val="000000"/>
                <w:kern w:val="0"/>
                <w:sz w:val="18"/>
                <w:szCs w:val="18"/>
              </w:rPr>
              <w:t>，</w:t>
            </w:r>
            <w:r>
              <w:rPr>
                <w:rFonts w:ascii="Times New Roman" w:hAnsi="Times New Roman" w:eastAsia="仿宋"/>
                <w:color w:val="000000"/>
                <w:kern w:val="0"/>
                <w:sz w:val="18"/>
                <w:szCs w:val="18"/>
              </w:rPr>
              <w:t>0.05</w:t>
            </w:r>
            <w:r>
              <w:rPr>
                <w:rFonts w:ascii="Times New Roman" w:hAnsi="仿宋"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便利条件</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宜机化</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田块规整度高，布局合理，田间道路完善，无作业死角，土地综合条件适宜大中型农业机械作业。</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田块规整度较高，布局较合理，具备田间道路，土地综合条件满足部分大中型农业机械作业。</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现有田块、布局、田间道路等条件适宜小型农机具作业，具备进一步宜机化改造潜力。</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现有田块、布局、田间道路等条件不能开展或仅能开展半机械化作业，但具备宜机化改造潜力。</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现有田块、布局、田间道路等条件不能开展或仅能开展半机械化作业，且不具备宜机化改造潜力。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耕作距离</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≤500</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r>
              <w:rPr>
                <w:rFonts w:ascii="Times New Roman" w:hAnsi="仿宋" w:eastAsia="仿宋"/>
                <w:color w:val="000000"/>
                <w:kern w:val="0"/>
                <w:sz w:val="18"/>
                <w:szCs w:val="18"/>
              </w:rPr>
              <w:t>，</w:t>
            </w:r>
            <w:r>
              <w:rPr>
                <w:rFonts w:ascii="Times New Roman" w:hAnsi="Times New Roman" w:eastAsia="仿宋"/>
                <w:color w:val="000000"/>
                <w:kern w:val="0"/>
                <w:sz w:val="18"/>
                <w:szCs w:val="18"/>
              </w:rPr>
              <w:t>2000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2000</w:t>
            </w:r>
            <w:r>
              <w:rPr>
                <w:rFonts w:ascii="Times New Roman" w:hAnsi="仿宋" w:eastAsia="仿宋"/>
                <w:color w:val="000000"/>
                <w:kern w:val="0"/>
                <w:sz w:val="18"/>
                <w:szCs w:val="18"/>
              </w:rPr>
              <w:t>，</w:t>
            </w:r>
            <w:r>
              <w:rPr>
                <w:rFonts w:ascii="Times New Roman" w:hAnsi="Times New Roman" w:eastAsia="仿宋"/>
                <w:color w:val="000000"/>
                <w:kern w:val="0"/>
                <w:sz w:val="18"/>
                <w:szCs w:val="18"/>
              </w:rPr>
              <w:t>3000</w:t>
            </w:r>
            <w:r>
              <w:rPr>
                <w:rFonts w:ascii="Times New Roman" w:hAnsi="仿宋"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自然因素</w:t>
            </w:r>
          </w:p>
        </w:tc>
        <w:tc>
          <w:tcPr>
            <w:tcW w:w="73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土壤条件</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表层土壤质地</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壤土</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砂壤土</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粘土</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砂土</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砾质土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土层厚度</w:t>
            </w:r>
            <w:r>
              <w:rPr>
                <w:rFonts w:ascii="Times New Roman" w:hAnsi="Times New Roman" w:eastAsia="仿宋"/>
                <w:color w:val="000000"/>
                <w:kern w:val="0"/>
                <w:sz w:val="18"/>
                <w:szCs w:val="18"/>
              </w:rPr>
              <w:t>(cm)</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80</w:t>
            </w:r>
            <w:r>
              <w:rPr>
                <w:rFonts w:ascii="Times New Roman" w:hAnsi="仿宋" w:eastAsia="仿宋"/>
                <w:color w:val="000000"/>
                <w:kern w:val="0"/>
                <w:sz w:val="18"/>
                <w:szCs w:val="18"/>
              </w:rPr>
              <w:t>，</w:t>
            </w:r>
            <w:r>
              <w:rPr>
                <w:rFonts w:ascii="Times New Roman" w:hAnsi="Times New Roman" w:eastAsia="仿宋"/>
                <w:color w:val="000000"/>
                <w:kern w:val="0"/>
                <w:sz w:val="18"/>
                <w:szCs w:val="18"/>
              </w:rPr>
              <w:t>100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r>
              <w:rPr>
                <w:rFonts w:ascii="Times New Roman" w:hAnsi="Times New Roman" w:eastAsia="仿宋"/>
                <w:color w:val="000000"/>
                <w:kern w:val="0"/>
                <w:sz w:val="18"/>
                <w:szCs w:val="18"/>
              </w:rPr>
              <w:t>80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w:t>
            </w: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有机质</w:t>
            </w:r>
          </w:p>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含量（</w:t>
            </w:r>
            <w:r>
              <w:rPr>
                <w:rFonts w:ascii="Times New Roman" w:hAnsi="Times New Roman" w:eastAsia="仿宋"/>
                <w:color w:val="000000"/>
                <w:kern w:val="0"/>
                <w:sz w:val="18"/>
                <w:szCs w:val="18"/>
              </w:rPr>
              <w:t>%</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r>
              <w:rPr>
                <w:rFonts w:ascii="Times New Roman" w:hAnsi="仿宋" w:eastAsia="仿宋"/>
                <w:color w:val="000000"/>
                <w:kern w:val="0"/>
                <w:sz w:val="18"/>
                <w:szCs w:val="18"/>
              </w:rPr>
              <w:t>，</w:t>
            </w:r>
            <w:r>
              <w:rPr>
                <w:rFonts w:ascii="Times New Roman" w:hAnsi="Times New Roman" w:eastAsia="仿宋"/>
                <w:color w:val="000000"/>
                <w:kern w:val="0"/>
                <w:sz w:val="18"/>
                <w:szCs w:val="18"/>
              </w:rPr>
              <w:t>3</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w:t>
            </w: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0.6</w:t>
            </w:r>
            <w:r>
              <w:rPr>
                <w:rFonts w:ascii="Times New Roman" w:hAnsi="仿宋" w:eastAsia="仿宋"/>
                <w:color w:val="000000"/>
                <w:kern w:val="0"/>
                <w:sz w:val="18"/>
                <w:szCs w:val="18"/>
              </w:rPr>
              <w:t>，</w:t>
            </w:r>
            <w:r>
              <w:rPr>
                <w:rFonts w:ascii="Times New Roman" w:hAnsi="Times New Roman" w:eastAsia="仿宋"/>
                <w:color w:val="000000"/>
                <w:kern w:val="0"/>
                <w:sz w:val="18"/>
                <w:szCs w:val="18"/>
              </w:rPr>
              <w:t>1</w:t>
            </w:r>
            <w:r>
              <w:rPr>
                <w:rFonts w:ascii="Times New Roman" w:hAnsi="仿宋"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w:t>
            </w:r>
            <w:r>
              <w:rPr>
                <w:rFonts w:ascii="Times New Roman" w:hAnsi="仿宋" w:eastAsia="仿宋"/>
                <w:color w:val="000000"/>
                <w:kern w:val="0"/>
                <w:sz w:val="18"/>
                <w:szCs w:val="18"/>
              </w:rPr>
              <w:t>，</w:t>
            </w:r>
            <w:r>
              <w:rPr>
                <w:rFonts w:ascii="Times New Roman" w:hAnsi="Times New Roman" w:eastAsia="仿宋"/>
                <w:color w:val="000000"/>
                <w:kern w:val="0"/>
                <w:sz w:val="18"/>
                <w:szCs w:val="18"/>
              </w:rPr>
              <w:t>0.6</w:t>
            </w:r>
            <w:r>
              <w:rPr>
                <w:rFonts w:ascii="Times New Roman"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土壤酸碱度（</w:t>
            </w:r>
            <w:r>
              <w:rPr>
                <w:rFonts w:ascii="Times New Roman" w:hAnsi="Times New Roman" w:eastAsia="仿宋"/>
                <w:color w:val="000000"/>
                <w:kern w:val="0"/>
                <w:sz w:val="18"/>
                <w:szCs w:val="18"/>
              </w:rPr>
              <w:t>PH</w:t>
            </w:r>
            <w:r>
              <w:rPr>
                <w:rFonts w:ascii="Times New Roman" w:hAnsi="仿宋" w:eastAsia="仿宋"/>
                <w:color w:val="000000"/>
                <w:kern w:val="0"/>
                <w:sz w:val="18"/>
                <w:szCs w:val="18"/>
              </w:rPr>
              <w:t>值）</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5.5</w:t>
            </w: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w:t>
            </w:r>
            <w:r>
              <w:rPr>
                <w:rFonts w:ascii="Times New Roman" w:hAnsi="仿宋" w:eastAsia="仿宋"/>
                <w:color w:val="000000"/>
                <w:kern w:val="0"/>
                <w:sz w:val="18"/>
                <w:szCs w:val="18"/>
              </w:rPr>
              <w:t>，</w:t>
            </w:r>
            <w:r>
              <w:rPr>
                <w:rFonts w:ascii="Times New Roman" w:hAnsi="Times New Roman" w:eastAsia="仿宋"/>
                <w:color w:val="000000"/>
                <w:kern w:val="0"/>
                <w:sz w:val="18"/>
                <w:szCs w:val="18"/>
              </w:rPr>
              <w:t>5.5</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4.5</w:t>
            </w:r>
            <w:r>
              <w:rPr>
                <w:rFonts w:ascii="Times New Roman" w:hAnsi="仿宋" w:eastAsia="仿宋"/>
                <w:color w:val="000000"/>
                <w:kern w:val="0"/>
                <w:sz w:val="18"/>
                <w:szCs w:val="18"/>
              </w:rPr>
              <w:t>，</w:t>
            </w:r>
            <w:r>
              <w:rPr>
                <w:rFonts w:ascii="Times New Roman" w:hAnsi="Times New Roman" w:eastAsia="仿宋"/>
                <w:color w:val="000000"/>
                <w:kern w:val="0"/>
                <w:sz w:val="18"/>
                <w:szCs w:val="18"/>
              </w:rPr>
              <w:t>5.0</w:t>
            </w:r>
            <w:r>
              <w:rPr>
                <w:rFonts w:ascii="Times New Roman" w:hAnsi="仿宋"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地形条件</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海拔（米）</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w:t>
            </w: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r>
              <w:rPr>
                <w:rFonts w:ascii="Times New Roman" w:hAnsi="Times New Roman" w:eastAsia="仿宋"/>
                <w:color w:val="000000"/>
                <w:kern w:val="0"/>
                <w:sz w:val="18"/>
                <w:szCs w:val="18"/>
              </w:rPr>
              <w:t>700</w:t>
            </w:r>
            <w:r>
              <w:rPr>
                <w:rFonts w:ascii="Times New Roman" w:hAnsi="仿宋" w:eastAsia="仿宋"/>
                <w:color w:val="000000"/>
                <w:kern w:val="0"/>
                <w:sz w:val="18"/>
                <w:szCs w:val="18"/>
              </w:rPr>
              <w:t>）</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700</w:t>
            </w:r>
            <w:r>
              <w:rPr>
                <w:rFonts w:ascii="Times New Roman" w:hAnsi="仿宋" w:eastAsia="仿宋"/>
                <w:color w:val="000000"/>
                <w:kern w:val="0"/>
                <w:sz w:val="18"/>
                <w:szCs w:val="18"/>
              </w:rPr>
              <w:t>，</w:t>
            </w:r>
            <w:r>
              <w:rPr>
                <w:rFonts w:ascii="Times New Roman" w:hAnsi="Times New Roman" w:eastAsia="仿宋"/>
                <w:color w:val="000000"/>
                <w:kern w:val="0"/>
                <w:sz w:val="18"/>
                <w:szCs w:val="18"/>
              </w:rPr>
              <w:t>900</w:t>
            </w:r>
            <w:r>
              <w:rPr>
                <w:rFonts w:ascii="Times New Roman" w:hAnsi="仿宋" w:eastAsia="仿宋"/>
                <w:color w:val="000000"/>
                <w:kern w:val="0"/>
                <w:sz w:val="18"/>
                <w:szCs w:val="18"/>
              </w:rPr>
              <w:t>）</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坡度</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2°-6°</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6°-15°</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15°-25°</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生态环境</w:t>
            </w:r>
          </w:p>
        </w:tc>
        <w:tc>
          <w:tcPr>
            <w:tcW w:w="734"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污染状况</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环境污染</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无污染</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达到警戒线</w:t>
            </w:r>
            <w:r>
              <w:rPr>
                <w:rFonts w:ascii="Times New Roman" w:hAnsi="Times New Roman" w:eastAsia="仿宋"/>
                <w:color w:val="000000"/>
                <w:kern w:val="0"/>
                <w:sz w:val="18"/>
                <w:szCs w:val="18"/>
              </w:rPr>
              <w:t>,</w:t>
            </w:r>
            <w:r>
              <w:rPr>
                <w:rFonts w:ascii="Times New Roman" w:hAnsi="仿宋" w:eastAsia="仿宋"/>
                <w:color w:val="000000"/>
                <w:kern w:val="0"/>
                <w:sz w:val="18"/>
                <w:szCs w:val="18"/>
              </w:rPr>
              <w:t>对个别作物有轻微影响</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轻度污染，不适合个别农作物种植</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中度污染，不适合部分农作物种植</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重度污染，不适合大部分农作物种植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34"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035"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特殊气候</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有利的特殊小气候，部分作物产量有利</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较有利的特殊小气候，个别作物产量有利</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无特殊</w:t>
            </w:r>
          </w:p>
        </w:tc>
        <w:tc>
          <w:tcPr>
            <w:tcW w:w="1377"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较为不利小气候，个别作物产量不利</w:t>
            </w:r>
          </w:p>
        </w:tc>
        <w:tc>
          <w:tcPr>
            <w:tcW w:w="136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灾害性小气候，部分作物产量有利</w:t>
            </w:r>
          </w:p>
        </w:tc>
      </w:tr>
    </w:tbl>
    <w:p>
      <w:pPr>
        <w:widowControl/>
        <w:ind w:firstLine="360" w:firstLineChars="200"/>
        <w:jc w:val="left"/>
        <w:rPr>
          <w:rFonts w:ascii="Times New Roman" w:hAnsi="Times New Roman" w:eastAsia="仿宋"/>
          <w:kern w:val="0"/>
          <w:sz w:val="18"/>
          <w:szCs w:val="18"/>
        </w:rPr>
      </w:pPr>
      <w:r>
        <w:rPr>
          <w:rFonts w:ascii="Times New Roman" w:hAnsi="仿宋" w:eastAsia="仿宋"/>
          <w:kern w:val="0"/>
          <w:sz w:val="18"/>
          <w:szCs w:val="18"/>
        </w:rPr>
        <w:t>备注：田间路网密度是指为满足耕作、农机具的应用及农资运输等生产活动需要而修建的道路占田块面积的比重，反映耕地地块内部耕作便利情况。</w:t>
      </w:r>
    </w:p>
    <w:p>
      <w:pPr>
        <w:pStyle w:val="4"/>
        <w:spacing w:line="500" w:lineRule="exact"/>
        <w:ind w:firstLine="0" w:firstLineChars="0"/>
        <w:jc w:val="center"/>
        <w:rPr>
          <w:rFonts w:ascii="Times New Roman" w:hAnsi="Times New Roman" w:eastAsia="仿宋"/>
          <w:b/>
          <w:bCs/>
          <w:sz w:val="28"/>
          <w:szCs w:val="28"/>
        </w:rPr>
      </w:pPr>
      <w:r>
        <w:rPr>
          <w:rFonts w:ascii="Times New Roman" w:hAnsi="Times New Roman" w:eastAsia="仿宋"/>
          <w:sz w:val="18"/>
          <w:szCs w:val="18"/>
        </w:rPr>
        <w:br w:type="page"/>
      </w:r>
      <w:r>
        <w:rPr>
          <w:rFonts w:ascii="Times New Roman" w:hAnsi="仿宋" w:eastAsia="仿宋"/>
          <w:b/>
          <w:bCs/>
          <w:sz w:val="28"/>
          <w:szCs w:val="28"/>
        </w:rPr>
        <w:t>丰都县</w:t>
      </w:r>
      <w:r>
        <w:rPr>
          <w:rFonts w:ascii="Times New Roman" w:hAnsi="Times New Roman" w:eastAsia="仿宋"/>
          <w:b/>
          <w:bCs/>
          <w:sz w:val="28"/>
          <w:szCs w:val="28"/>
        </w:rPr>
        <w:t>1-5</w:t>
      </w:r>
      <w:r>
        <w:rPr>
          <w:rFonts w:ascii="Times New Roman" w:hAnsi="仿宋" w:eastAsia="仿宋"/>
          <w:b/>
          <w:bCs/>
          <w:sz w:val="28"/>
          <w:szCs w:val="28"/>
        </w:rPr>
        <w:t>级旱地基准地价修正系数表</w:t>
      </w:r>
      <w:r>
        <w:rPr>
          <w:rFonts w:ascii="Times New Roman" w:hAnsi="Times New Roman" w:eastAsia="仿宋"/>
          <w:b/>
          <w:bCs/>
          <w:sz w:val="28"/>
          <w:szCs w:val="28"/>
        </w:rPr>
        <w:t>(%)</w:t>
      </w:r>
    </w:p>
    <w:tbl>
      <w:tblPr>
        <w:tblStyle w:val="3"/>
        <w:tblW w:w="89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18"/>
        <w:gridCol w:w="1600"/>
        <w:gridCol w:w="1129"/>
        <w:gridCol w:w="1129"/>
        <w:gridCol w:w="1129"/>
        <w:gridCol w:w="1129"/>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312" w:type="dxa"/>
            <w:gridSpan w:val="3"/>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修正因素</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优</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较优</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较劣</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区位因素</w:t>
            </w:r>
          </w:p>
        </w:tc>
        <w:tc>
          <w:tcPr>
            <w:tcW w:w="1018"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城镇影响度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0.99</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交通条件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道路通达度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0.77</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0.39</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-0.42</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路网密度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restart"/>
            <w:vAlign w:val="center"/>
          </w:tcPr>
          <w:p>
            <w:pPr>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社会经济因素</w:t>
            </w:r>
          </w:p>
        </w:tc>
        <w:tc>
          <w:tcPr>
            <w:tcW w:w="1018" w:type="dxa"/>
            <w:vMerge w:val="restart"/>
            <w:vAlign w:val="center"/>
          </w:tcPr>
          <w:p>
            <w:pPr>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基本设施状况</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田面坡度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灌溉保证率</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排水条件</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田间路网密度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便利条件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宜机化</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0.22</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耕作距离</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0.77</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0.39</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-0.42</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自然因素</w:t>
            </w: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表层土壤质地</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0.99</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土层厚度</w:t>
            </w:r>
            <w:r>
              <w:rPr>
                <w:rFonts w:ascii="Times New Roman" w:hAnsi="Times New Roman" w:eastAsia="仿宋"/>
                <w:color w:val="000000"/>
                <w:kern w:val="0"/>
                <w:sz w:val="18"/>
                <w:szCs w:val="18"/>
              </w:rPr>
              <w:t>(cm)</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0.44</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有机质含量</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土壤酸碱度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地形条件</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海拔</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Merge w:val="continue"/>
            <w:vAlign w:val="center"/>
          </w:tcPr>
          <w:p>
            <w:pPr>
              <w:widowControl/>
              <w:jc w:val="center"/>
              <w:rPr>
                <w:rFonts w:ascii="Times New Roman" w:hAnsi="Times New Roman" w:eastAsia="仿宋"/>
                <w:color w:val="000000"/>
                <w:kern w:val="0"/>
                <w:sz w:val="18"/>
                <w:szCs w:val="18"/>
              </w:rPr>
            </w:pP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坡度</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0.17</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生态环境</w:t>
            </w:r>
          </w:p>
        </w:tc>
        <w:tc>
          <w:tcPr>
            <w:tcW w:w="1018"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污染状况</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环境污染</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0.55</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94" w:type="dxa"/>
            <w:vMerge w:val="continue"/>
            <w:vAlign w:val="center"/>
          </w:tcPr>
          <w:p>
            <w:pPr>
              <w:widowControl/>
              <w:jc w:val="center"/>
              <w:rPr>
                <w:rFonts w:ascii="Times New Roman" w:hAnsi="Times New Roman" w:eastAsia="仿宋"/>
                <w:color w:val="000000"/>
                <w:kern w:val="0"/>
                <w:sz w:val="18"/>
                <w:szCs w:val="18"/>
              </w:rPr>
            </w:pPr>
          </w:p>
        </w:tc>
        <w:tc>
          <w:tcPr>
            <w:tcW w:w="1018"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60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特殊气候</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0.33</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0.17</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-0.18</w:t>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312" w:type="dxa"/>
            <w:gridSpan w:val="3"/>
            <w:vAlign w:val="center"/>
          </w:tcPr>
          <w:p>
            <w:pPr>
              <w:widowControl/>
              <w:jc w:val="center"/>
              <w:rPr>
                <w:rFonts w:ascii="Times New Roman" w:hAnsi="Times New Roman" w:eastAsia="仿宋"/>
                <w:color w:val="000000"/>
                <w:kern w:val="0"/>
                <w:sz w:val="22"/>
                <w:szCs w:val="22"/>
              </w:rPr>
            </w:pPr>
            <w:r>
              <w:rPr>
                <w:rFonts w:ascii="Times New Roman" w:hAnsi="仿宋" w:eastAsia="仿宋"/>
                <w:color w:val="000000"/>
                <w:kern w:val="0"/>
                <w:sz w:val="18"/>
                <w:szCs w:val="18"/>
              </w:rPr>
              <w:t>调整幅度合计</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11</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5.56</w:t>
            </w:r>
            <w:r>
              <w:rPr>
                <w:rFonts w:ascii="Times New Roman" w:hAnsi="Times New Roman" w:eastAsia="仿宋"/>
                <w:color w:val="000000"/>
                <w:kern w:val="0"/>
                <w:sz w:val="18"/>
                <w:szCs w:val="18"/>
              </w:rPr>
              <w:fldChar w:fldCharType="end"/>
            </w:r>
          </w:p>
        </w:tc>
        <w:tc>
          <w:tcPr>
            <w:tcW w:w="1129"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-6</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c>
          <w:tcPr>
            <w:tcW w:w="1129"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-12</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r>
    </w:tbl>
    <w:p>
      <w:pPr>
        <w:widowControl/>
        <w:spacing w:line="360" w:lineRule="auto"/>
        <w:jc w:val="center"/>
        <w:rPr>
          <w:rFonts w:ascii="Times New Roman" w:hAnsi="Times New Roman" w:eastAsia="仿宋"/>
          <w:bCs/>
          <w:kern w:val="0"/>
          <w:sz w:val="18"/>
          <w:szCs w:val="18"/>
        </w:rPr>
      </w:pPr>
    </w:p>
    <w:p>
      <w:pPr>
        <w:widowControl/>
        <w:jc w:val="center"/>
        <w:rPr>
          <w:rFonts w:ascii="Times New Roman" w:hAnsi="Times New Roman" w:eastAsia="仿宋"/>
          <w:b/>
          <w:bCs/>
          <w:sz w:val="28"/>
          <w:szCs w:val="28"/>
        </w:rPr>
      </w:pPr>
      <w:r>
        <w:rPr>
          <w:rFonts w:ascii="Times New Roman" w:hAnsi="Times New Roman" w:eastAsia="仿宋"/>
          <w:bCs/>
          <w:sz w:val="18"/>
          <w:szCs w:val="18"/>
        </w:rPr>
        <w:br w:type="page"/>
      </w:r>
      <w:r>
        <w:rPr>
          <w:rFonts w:ascii="Times New Roman" w:hAnsi="仿宋" w:eastAsia="仿宋"/>
          <w:b/>
          <w:bCs/>
          <w:sz w:val="28"/>
          <w:szCs w:val="28"/>
        </w:rPr>
        <w:t>丰都县</w:t>
      </w:r>
      <w:r>
        <w:rPr>
          <w:rFonts w:ascii="Times New Roman" w:hAnsi="Times New Roman" w:eastAsia="仿宋"/>
          <w:b/>
          <w:bCs/>
          <w:sz w:val="28"/>
          <w:szCs w:val="28"/>
        </w:rPr>
        <w:t>1-5</w:t>
      </w:r>
      <w:r>
        <w:rPr>
          <w:rFonts w:ascii="Times New Roman" w:hAnsi="仿宋" w:eastAsia="仿宋"/>
          <w:b/>
          <w:bCs/>
          <w:sz w:val="28"/>
          <w:szCs w:val="28"/>
        </w:rPr>
        <w:t>级果园基准地价修正因素指标说明表</w:t>
      </w:r>
    </w:p>
    <w:tbl>
      <w:tblPr>
        <w:tblStyle w:val="3"/>
        <w:tblW w:w="913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40"/>
        <w:gridCol w:w="1056"/>
        <w:gridCol w:w="1388"/>
        <w:gridCol w:w="1388"/>
        <w:gridCol w:w="1388"/>
        <w:gridCol w:w="1388"/>
        <w:gridCol w:w="1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214" w:type="dxa"/>
            <w:gridSpan w:val="3"/>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修正因素</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优</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较优</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较劣</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区位因素</w:t>
            </w:r>
          </w:p>
        </w:tc>
        <w:tc>
          <w:tcPr>
            <w:tcW w:w="740"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区位条件</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城镇影响度</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1000</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1000-1500</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1500-2000</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2000-3000</w:t>
            </w:r>
          </w:p>
        </w:tc>
        <w:tc>
          <w:tcPr>
            <w:tcW w:w="1366"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交通条件</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道路通达度</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国道、省道能能通达</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县道能通达</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乡道能通达</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只有村道能通达</w:t>
            </w:r>
          </w:p>
        </w:tc>
        <w:tc>
          <w:tcPr>
            <w:tcW w:w="1366"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仿宋" w:eastAsia="仿宋"/>
                <w:color w:val="000000"/>
                <w:kern w:val="0"/>
                <w:sz w:val="18"/>
                <w:szCs w:val="18"/>
              </w:rPr>
              <w:t>无道路通达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路网密度</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≥5%</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3.5%-5%</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2.5%-3.5%</w:t>
            </w:r>
          </w:p>
        </w:tc>
        <w:tc>
          <w:tcPr>
            <w:tcW w:w="1388"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1%-2.5%</w:t>
            </w:r>
          </w:p>
        </w:tc>
        <w:tc>
          <w:tcPr>
            <w:tcW w:w="1366" w:type="dxa"/>
            <w:vAlign w:val="center"/>
          </w:tcPr>
          <w:p>
            <w:pPr>
              <w:widowControl/>
              <w:adjustRightInd w:val="0"/>
              <w:snapToGrid w:val="0"/>
              <w:spacing w:line="220" w:lineRule="exact"/>
              <w:jc w:val="center"/>
              <w:rPr>
                <w:rFonts w:ascii="Times New Roman" w:hAnsi="Times New Roman" w:eastAsia="仿宋"/>
                <w:b/>
                <w:color w:val="000000"/>
                <w:kern w:val="0"/>
                <w:sz w:val="18"/>
                <w:szCs w:val="18"/>
              </w:rPr>
            </w:pPr>
            <w:r>
              <w:rPr>
                <w:rFonts w:ascii="Times New Roman" w:hAnsi="Times New Roman" w:eastAsia="仿宋"/>
                <w:color w:val="000000"/>
                <w:kern w:val="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社会经济因素</w:t>
            </w:r>
          </w:p>
        </w:tc>
        <w:tc>
          <w:tcPr>
            <w:tcW w:w="740"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基本设施状况</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灌溉保证率</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充分满足，可随时灌溉</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基本满足，在关键需水期能保证灌溉</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一般满足，但大旱年不能保证</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有灌溉条件，但无法保证</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无灌溉条件，包括望天田和旱地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排水条件</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有健全的干、支排水沟道</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，无洪涝灾害</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基本健全，丰水年暴雨后有短期洪涝发生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1</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2</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一般，丰水年大雨后有洪涝发生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2</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较差，丰水年大雨后有洪涝发生</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无排水体系</w:t>
            </w:r>
            <w:r>
              <w:rPr>
                <w:rFonts w:ascii="Times New Roman" w:hAnsi="Times New Roman" w:eastAsia="仿宋"/>
                <w:color w:val="000000"/>
                <w:kern w:val="0"/>
                <w:sz w:val="18"/>
                <w:szCs w:val="18"/>
              </w:rPr>
              <w:t>(</w:t>
            </w:r>
            <w:r>
              <w:rPr>
                <w:rFonts w:ascii="Times New Roman" w:hAnsi="仿宋" w:eastAsia="仿宋"/>
                <w:color w:val="000000"/>
                <w:kern w:val="0"/>
                <w:sz w:val="18"/>
                <w:szCs w:val="18"/>
              </w:rPr>
              <w:t>包括抽排</w:t>
            </w:r>
            <w:r>
              <w:rPr>
                <w:rFonts w:ascii="Times New Roman" w:hAnsi="Times New Roman" w:eastAsia="仿宋"/>
                <w:color w:val="000000"/>
                <w:kern w:val="0"/>
                <w:sz w:val="18"/>
                <w:szCs w:val="18"/>
              </w:rPr>
              <w:t>)</w:t>
            </w:r>
            <w:r>
              <w:rPr>
                <w:rFonts w:ascii="Times New Roman" w:hAnsi="仿宋" w:eastAsia="仿宋"/>
                <w:color w:val="000000"/>
                <w:kern w:val="0"/>
                <w:sz w:val="18"/>
                <w:szCs w:val="18"/>
              </w:rPr>
              <w:t>，一般年份在大雨后发生洪涝</w:t>
            </w:r>
            <w:r>
              <w:rPr>
                <w:rFonts w:ascii="Times New Roman" w:hAnsi="Times New Roman" w:eastAsia="仿宋"/>
                <w:color w:val="000000"/>
                <w:kern w:val="0"/>
                <w:sz w:val="18"/>
                <w:szCs w:val="18"/>
              </w:rPr>
              <w:t>(</w:t>
            </w:r>
            <w:r>
              <w:rPr>
                <w:rFonts w:ascii="Times New Roman" w:hAnsi="仿宋" w:eastAsia="仿宋"/>
                <w:color w:val="000000"/>
                <w:kern w:val="0"/>
                <w:sz w:val="18"/>
                <w:szCs w:val="18"/>
              </w:rPr>
              <w:t>田面积水</w:t>
            </w:r>
            <w:r>
              <w:rPr>
                <w:rFonts w:ascii="Times New Roman" w:hAnsi="Times New Roman" w:eastAsia="仿宋"/>
                <w:color w:val="000000"/>
                <w:kern w:val="0"/>
                <w:sz w:val="18"/>
                <w:szCs w:val="18"/>
              </w:rPr>
              <w:t>≥3</w:t>
            </w:r>
            <w:r>
              <w:rPr>
                <w:rFonts w:ascii="Times New Roman" w:hAnsi="仿宋" w:eastAsia="仿宋"/>
                <w:color w:val="000000"/>
                <w:kern w:val="0"/>
                <w:sz w:val="18"/>
                <w:szCs w:val="18"/>
              </w:rPr>
              <w:t>天</w:t>
            </w:r>
            <w:r>
              <w:rPr>
                <w:rFonts w:ascii="Times New Roman" w:hAnsi="Times New Roman"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田间路网密度</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0.2</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0.1</w:t>
            </w:r>
            <w:r>
              <w:rPr>
                <w:rFonts w:ascii="Times New Roman" w:hAnsi="仿宋" w:eastAsia="仿宋"/>
                <w:color w:val="000000"/>
                <w:kern w:val="0"/>
                <w:sz w:val="18"/>
                <w:szCs w:val="18"/>
              </w:rPr>
              <w:t>，</w:t>
            </w:r>
            <w:r>
              <w:rPr>
                <w:rFonts w:ascii="Times New Roman" w:hAnsi="Times New Roman" w:eastAsia="仿宋"/>
                <w:color w:val="000000"/>
                <w:kern w:val="0"/>
                <w:sz w:val="18"/>
                <w:szCs w:val="18"/>
              </w:rPr>
              <w:t>0.2</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0.05</w:t>
            </w:r>
            <w:r>
              <w:rPr>
                <w:rFonts w:ascii="Times New Roman" w:hAnsi="仿宋" w:eastAsia="仿宋"/>
                <w:color w:val="000000"/>
                <w:kern w:val="0"/>
                <w:sz w:val="18"/>
                <w:szCs w:val="18"/>
              </w:rPr>
              <w:t>，</w:t>
            </w:r>
            <w:r>
              <w:rPr>
                <w:rFonts w:ascii="Times New Roman" w:hAnsi="Times New Roman" w:eastAsia="仿宋"/>
                <w:color w:val="000000"/>
                <w:kern w:val="0"/>
                <w:sz w:val="18"/>
                <w:szCs w:val="18"/>
              </w:rPr>
              <w:t>0.1</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0.01</w:t>
            </w:r>
            <w:r>
              <w:rPr>
                <w:rFonts w:ascii="Times New Roman" w:hAnsi="仿宋" w:eastAsia="仿宋"/>
                <w:color w:val="000000"/>
                <w:kern w:val="0"/>
                <w:sz w:val="18"/>
                <w:szCs w:val="18"/>
              </w:rPr>
              <w:t>，</w:t>
            </w:r>
            <w:r>
              <w:rPr>
                <w:rFonts w:ascii="Times New Roman" w:hAnsi="Times New Roman" w:eastAsia="仿宋"/>
                <w:color w:val="000000"/>
                <w:kern w:val="0"/>
                <w:sz w:val="18"/>
                <w:szCs w:val="18"/>
              </w:rPr>
              <w:t>0.05</w:t>
            </w:r>
            <w:r>
              <w:rPr>
                <w:rFonts w:ascii="Times New Roman" w:hAnsi="仿宋"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便利条件</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宜机化</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田块规整度高，布局合理，田间道路完善，无作业死角，土地综合条件适宜大中型农业机械作业。</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田块规整度较高，布局较合理，具备田间道路，土地综合条件满足部分大中型农业机械作业。</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现有田块、布局、田间道路等条件适宜小型农机具作业，具备进一步宜机化改造潜力。</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现有田块、布局、田间道路等条件不能开展或仅能开展半机械化作业，但具备宜机化改造潜力。</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现有田块、布局、田间道路等条件不能开展或仅能开展半机械化作业，且不具备宜机化改造潜力。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规划定位</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农业产业定位</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生态观光农业</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有机农业</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普通农业</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自然因素</w:t>
            </w:r>
          </w:p>
        </w:tc>
        <w:tc>
          <w:tcPr>
            <w:tcW w:w="740"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土壤条件</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表层土壤质地</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壤土</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砂壤土</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粘土</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砂土</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砾质土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土层厚度</w:t>
            </w:r>
            <w:r>
              <w:rPr>
                <w:rFonts w:ascii="Times New Roman" w:hAnsi="Times New Roman" w:eastAsia="仿宋"/>
                <w:color w:val="000000"/>
                <w:kern w:val="0"/>
                <w:sz w:val="18"/>
                <w:szCs w:val="18"/>
              </w:rPr>
              <w:t>(cm)</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100</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80</w:t>
            </w:r>
            <w:r>
              <w:rPr>
                <w:rFonts w:ascii="Times New Roman" w:hAnsi="仿宋" w:eastAsia="仿宋"/>
                <w:color w:val="000000"/>
                <w:kern w:val="0"/>
                <w:sz w:val="18"/>
                <w:szCs w:val="18"/>
              </w:rPr>
              <w:t>，</w:t>
            </w:r>
            <w:r>
              <w:rPr>
                <w:rFonts w:ascii="Times New Roman" w:hAnsi="Times New Roman" w:eastAsia="仿宋"/>
                <w:color w:val="000000"/>
                <w:kern w:val="0"/>
                <w:sz w:val="18"/>
                <w:szCs w:val="18"/>
              </w:rPr>
              <w:t>100</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r>
              <w:rPr>
                <w:rFonts w:ascii="Times New Roman" w:hAnsi="Times New Roman" w:eastAsia="仿宋"/>
                <w:color w:val="000000"/>
                <w:kern w:val="0"/>
                <w:sz w:val="18"/>
                <w:szCs w:val="18"/>
              </w:rPr>
              <w:t>80</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w:t>
            </w: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有机质</w:t>
            </w:r>
          </w:p>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含量（</w:t>
            </w:r>
            <w:r>
              <w:rPr>
                <w:rFonts w:ascii="Times New Roman" w:hAnsi="Times New Roman" w:eastAsia="仿宋"/>
                <w:color w:val="000000"/>
                <w:kern w:val="0"/>
                <w:sz w:val="18"/>
                <w:szCs w:val="18"/>
              </w:rPr>
              <w:t>%</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r>
              <w:rPr>
                <w:rFonts w:ascii="Times New Roman" w:hAnsi="仿宋" w:eastAsia="仿宋"/>
                <w:color w:val="000000"/>
                <w:kern w:val="0"/>
                <w:sz w:val="18"/>
                <w:szCs w:val="18"/>
              </w:rPr>
              <w:t>，</w:t>
            </w:r>
            <w:r>
              <w:rPr>
                <w:rFonts w:ascii="Times New Roman" w:hAnsi="Times New Roman" w:eastAsia="仿宋"/>
                <w:color w:val="000000"/>
                <w:kern w:val="0"/>
                <w:sz w:val="18"/>
                <w:szCs w:val="18"/>
              </w:rPr>
              <w:t>3</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1</w:t>
            </w: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0.6</w:t>
            </w:r>
            <w:r>
              <w:rPr>
                <w:rFonts w:ascii="Times New Roman" w:hAnsi="仿宋" w:eastAsia="仿宋"/>
                <w:color w:val="000000"/>
                <w:kern w:val="0"/>
                <w:sz w:val="18"/>
                <w:szCs w:val="18"/>
              </w:rPr>
              <w:t>，</w:t>
            </w:r>
            <w:r>
              <w:rPr>
                <w:rFonts w:ascii="Times New Roman" w:hAnsi="Times New Roman" w:eastAsia="仿宋"/>
                <w:color w:val="000000"/>
                <w:kern w:val="0"/>
                <w:sz w:val="18"/>
                <w:szCs w:val="18"/>
              </w:rPr>
              <w:t>1</w:t>
            </w:r>
            <w:r>
              <w:rPr>
                <w:rFonts w:ascii="Times New Roman" w:hAnsi="仿宋"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0</w:t>
            </w:r>
            <w:r>
              <w:rPr>
                <w:rFonts w:ascii="Times New Roman" w:hAnsi="仿宋" w:eastAsia="仿宋"/>
                <w:color w:val="000000"/>
                <w:kern w:val="0"/>
                <w:sz w:val="18"/>
                <w:szCs w:val="18"/>
              </w:rPr>
              <w:t>，</w:t>
            </w:r>
            <w:r>
              <w:rPr>
                <w:rFonts w:ascii="Times New Roman" w:hAnsi="Times New Roman" w:eastAsia="仿宋"/>
                <w:color w:val="000000"/>
                <w:kern w:val="0"/>
                <w:sz w:val="18"/>
                <w:szCs w:val="18"/>
              </w:rPr>
              <w:t>0.6</w:t>
            </w:r>
            <w:r>
              <w:rPr>
                <w:rFonts w:ascii="Times New Roman" w:hAnsi="仿宋" w:eastAsia="仿宋"/>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土壤酸碱度（</w:t>
            </w:r>
            <w:r>
              <w:rPr>
                <w:rFonts w:ascii="Times New Roman" w:hAnsi="Times New Roman" w:eastAsia="仿宋"/>
                <w:color w:val="000000"/>
                <w:kern w:val="0"/>
                <w:sz w:val="18"/>
                <w:szCs w:val="18"/>
              </w:rPr>
              <w:t>PH</w:t>
            </w:r>
            <w:r>
              <w:rPr>
                <w:rFonts w:ascii="Times New Roman" w:hAnsi="仿宋" w:eastAsia="仿宋"/>
                <w:color w:val="000000"/>
                <w:kern w:val="0"/>
                <w:sz w:val="18"/>
                <w:szCs w:val="18"/>
              </w:rPr>
              <w:t>值）</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5.5</w:t>
            </w:r>
            <w:r>
              <w:rPr>
                <w:rFonts w:ascii="Times New Roman" w:hAnsi="仿宋" w:eastAsia="仿宋"/>
                <w:color w:val="000000"/>
                <w:kern w:val="0"/>
                <w:sz w:val="18"/>
                <w:szCs w:val="18"/>
              </w:rPr>
              <w:t>，</w:t>
            </w:r>
            <w:r>
              <w:rPr>
                <w:rFonts w:ascii="Times New Roman" w:hAnsi="Times New Roman" w:eastAsia="仿宋"/>
                <w:color w:val="000000"/>
                <w:kern w:val="0"/>
                <w:sz w:val="18"/>
                <w:szCs w:val="18"/>
              </w:rPr>
              <w:t>6.0</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w:t>
            </w:r>
            <w:r>
              <w:rPr>
                <w:rFonts w:ascii="Times New Roman" w:hAnsi="仿宋" w:eastAsia="仿宋"/>
                <w:color w:val="000000"/>
                <w:kern w:val="0"/>
                <w:sz w:val="18"/>
                <w:szCs w:val="18"/>
              </w:rPr>
              <w:t>，</w:t>
            </w:r>
            <w:r>
              <w:rPr>
                <w:rFonts w:ascii="Times New Roman" w:hAnsi="Times New Roman" w:eastAsia="仿宋"/>
                <w:color w:val="000000"/>
                <w:kern w:val="0"/>
                <w:sz w:val="18"/>
                <w:szCs w:val="18"/>
              </w:rPr>
              <w:t>5.5</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4.5</w:t>
            </w:r>
            <w:r>
              <w:rPr>
                <w:rFonts w:ascii="Times New Roman" w:hAnsi="仿宋" w:eastAsia="仿宋"/>
                <w:color w:val="000000"/>
                <w:kern w:val="0"/>
                <w:sz w:val="18"/>
                <w:szCs w:val="18"/>
              </w:rPr>
              <w:t>，</w:t>
            </w:r>
            <w:r>
              <w:rPr>
                <w:rFonts w:ascii="Times New Roman" w:hAnsi="Times New Roman" w:eastAsia="仿宋"/>
                <w:color w:val="000000"/>
                <w:kern w:val="0"/>
                <w:sz w:val="18"/>
                <w:szCs w:val="18"/>
              </w:rPr>
              <w:t>5.0</w:t>
            </w:r>
            <w:r>
              <w:rPr>
                <w:rFonts w:ascii="Times New Roman" w:hAnsi="仿宋"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地形条件</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海拔（米）</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300</w:t>
            </w: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500</w:t>
            </w:r>
            <w:r>
              <w:rPr>
                <w:rFonts w:ascii="Times New Roman" w:hAnsi="仿宋" w:eastAsia="仿宋"/>
                <w:color w:val="000000"/>
                <w:kern w:val="0"/>
                <w:sz w:val="18"/>
                <w:szCs w:val="18"/>
              </w:rPr>
              <w:t>，</w:t>
            </w:r>
            <w:r>
              <w:rPr>
                <w:rFonts w:ascii="Times New Roman" w:hAnsi="Times New Roman" w:eastAsia="仿宋"/>
                <w:color w:val="000000"/>
                <w:kern w:val="0"/>
                <w:sz w:val="18"/>
                <w:szCs w:val="18"/>
              </w:rPr>
              <w:t>700</w:t>
            </w:r>
            <w:r>
              <w:rPr>
                <w:rFonts w:ascii="Times New Roman" w:hAnsi="仿宋" w:eastAsia="仿宋"/>
                <w:color w:val="000000"/>
                <w:kern w:val="0"/>
                <w:sz w:val="18"/>
                <w:szCs w:val="18"/>
              </w:rPr>
              <w:t>）</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700</w:t>
            </w:r>
            <w:r>
              <w:rPr>
                <w:rFonts w:ascii="Times New Roman" w:hAnsi="仿宋" w:eastAsia="仿宋"/>
                <w:color w:val="000000"/>
                <w:kern w:val="0"/>
                <w:sz w:val="18"/>
                <w:szCs w:val="18"/>
              </w:rPr>
              <w:t>，</w:t>
            </w:r>
            <w:r>
              <w:rPr>
                <w:rFonts w:ascii="Times New Roman" w:hAnsi="Times New Roman" w:eastAsia="仿宋"/>
                <w:color w:val="000000"/>
                <w:kern w:val="0"/>
                <w:sz w:val="18"/>
                <w:szCs w:val="18"/>
              </w:rPr>
              <w:t>900</w:t>
            </w:r>
            <w:r>
              <w:rPr>
                <w:rFonts w:ascii="Times New Roman" w:hAnsi="仿宋" w:eastAsia="仿宋"/>
                <w:color w:val="000000"/>
                <w:kern w:val="0"/>
                <w:sz w:val="18"/>
                <w:szCs w:val="18"/>
              </w:rPr>
              <w:t>）</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坡度</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w:t>
            </w:r>
            <w:r>
              <w:rPr>
                <w:rFonts w:ascii="Times New Roman" w:hAnsi="Times New Roman" w:eastAsia="仿宋"/>
                <w:color w:val="000000"/>
                <w:kern w:val="0"/>
                <w:sz w:val="18"/>
                <w:szCs w:val="18"/>
              </w:rPr>
              <w:t>2°</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2°-6°</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6°-15°</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15°-25°</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坡向</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南</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西南、东南</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西、西北</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东、东北</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生态环境</w:t>
            </w:r>
          </w:p>
        </w:tc>
        <w:tc>
          <w:tcPr>
            <w:tcW w:w="740"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污染状况</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环境污染</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无污染</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达到警戒线</w:t>
            </w:r>
            <w:r>
              <w:rPr>
                <w:rFonts w:ascii="Times New Roman" w:hAnsi="Times New Roman" w:eastAsia="仿宋"/>
                <w:color w:val="000000"/>
                <w:kern w:val="0"/>
                <w:sz w:val="18"/>
                <w:szCs w:val="18"/>
              </w:rPr>
              <w:t>,</w:t>
            </w:r>
            <w:r>
              <w:rPr>
                <w:rFonts w:ascii="Times New Roman" w:hAnsi="仿宋" w:eastAsia="仿宋"/>
                <w:color w:val="000000"/>
                <w:kern w:val="0"/>
                <w:sz w:val="18"/>
                <w:szCs w:val="18"/>
              </w:rPr>
              <w:t>对个别作物有轻微影响</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轻度污染，不适合个别农作物种植</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中度污染，不适合部分农作物种植</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重度污染，不适合大部分农作物种植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restart"/>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特殊气候</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有利的特殊小气候，部分作物产量有利</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较有利的特殊小气候，个别作物产量有利</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无特殊</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较为不利小气候，个别作物产量不利</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灾害性小气候，部分作物产量有利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18"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740" w:type="dxa"/>
            <w:vMerge w:val="continue"/>
            <w:vAlign w:val="center"/>
          </w:tcPr>
          <w:p>
            <w:pPr>
              <w:widowControl/>
              <w:adjustRightInd w:val="0"/>
              <w:snapToGrid w:val="0"/>
              <w:spacing w:line="220" w:lineRule="exact"/>
              <w:jc w:val="center"/>
              <w:rPr>
                <w:rFonts w:ascii="Times New Roman" w:hAnsi="Times New Roman" w:eastAsia="仿宋"/>
                <w:color w:val="000000"/>
                <w:kern w:val="0"/>
                <w:sz w:val="18"/>
                <w:szCs w:val="18"/>
              </w:rPr>
            </w:pPr>
          </w:p>
        </w:tc>
        <w:tc>
          <w:tcPr>
            <w:tcW w:w="105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水土流失</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无水土流失状况和隐患地区</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基本不发生水土流失地区</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低度易发水土流失地区</w:t>
            </w:r>
          </w:p>
        </w:tc>
        <w:tc>
          <w:tcPr>
            <w:tcW w:w="1388"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中度易发水土流失地区</w:t>
            </w:r>
          </w:p>
        </w:tc>
        <w:tc>
          <w:tcPr>
            <w:tcW w:w="1366" w:type="dxa"/>
            <w:vAlign w:val="center"/>
          </w:tcPr>
          <w:p>
            <w:pPr>
              <w:widowControl/>
              <w:adjustRightInd w:val="0"/>
              <w:snapToGrid w:val="0"/>
              <w:spacing w:line="220" w:lineRule="exact"/>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高度易发水土流失地区</w:t>
            </w:r>
          </w:p>
        </w:tc>
      </w:tr>
    </w:tbl>
    <w:p>
      <w:pPr>
        <w:widowControl/>
        <w:adjustRightInd w:val="0"/>
        <w:snapToGrid w:val="0"/>
        <w:ind w:firstLine="360" w:firstLineChars="200"/>
        <w:jc w:val="left"/>
        <w:rPr>
          <w:rFonts w:ascii="Times New Roman" w:hAnsi="Times New Roman" w:eastAsia="仿宋"/>
          <w:kern w:val="0"/>
          <w:sz w:val="18"/>
          <w:szCs w:val="18"/>
        </w:rPr>
      </w:pPr>
      <w:r>
        <w:rPr>
          <w:rFonts w:ascii="Times New Roman" w:hAnsi="仿宋" w:eastAsia="仿宋"/>
          <w:kern w:val="0"/>
          <w:sz w:val="18"/>
          <w:szCs w:val="18"/>
        </w:rPr>
        <w:t>备注：田间路网密度是指为满足耕作、农机具的应用及农资运输等生产活动需要而修建的道路占田块面积的比重，反映耕地地块内部耕作便利情况。</w:t>
      </w:r>
    </w:p>
    <w:p>
      <w:pPr>
        <w:widowControl/>
        <w:jc w:val="center"/>
        <w:rPr>
          <w:rFonts w:ascii="Times New Roman" w:hAnsi="Times New Roman" w:eastAsia="仿宋"/>
          <w:b/>
          <w:bCs/>
          <w:sz w:val="28"/>
          <w:szCs w:val="28"/>
        </w:rPr>
      </w:pPr>
      <w:r>
        <w:rPr>
          <w:rFonts w:ascii="Times New Roman" w:hAnsi="Times New Roman" w:eastAsia="仿宋"/>
          <w:b/>
          <w:bCs/>
          <w:color w:val="FF0000"/>
          <w:kern w:val="0"/>
          <w:sz w:val="28"/>
        </w:rPr>
        <w:br w:type="page"/>
      </w:r>
      <w:r>
        <w:rPr>
          <w:rFonts w:ascii="Times New Roman" w:hAnsi="仿宋" w:eastAsia="仿宋"/>
          <w:b/>
          <w:bCs/>
          <w:sz w:val="28"/>
          <w:szCs w:val="28"/>
        </w:rPr>
        <w:t>丰都县</w:t>
      </w:r>
      <w:r>
        <w:rPr>
          <w:rFonts w:ascii="Times New Roman" w:hAnsi="Times New Roman" w:eastAsia="仿宋"/>
          <w:b/>
          <w:bCs/>
          <w:sz w:val="28"/>
          <w:szCs w:val="28"/>
        </w:rPr>
        <w:t>1-5</w:t>
      </w:r>
      <w:r>
        <w:rPr>
          <w:rFonts w:ascii="Times New Roman" w:hAnsi="仿宋" w:eastAsia="仿宋"/>
          <w:b/>
          <w:bCs/>
          <w:sz w:val="28"/>
          <w:szCs w:val="28"/>
        </w:rPr>
        <w:t>级果园基准地价修正系数表</w:t>
      </w:r>
      <w:r>
        <w:rPr>
          <w:rFonts w:ascii="Times New Roman" w:hAnsi="Times New Roman" w:eastAsia="仿宋"/>
          <w:b/>
          <w:bCs/>
          <w:sz w:val="28"/>
          <w:szCs w:val="28"/>
        </w:rPr>
        <w:t>(%)</w:t>
      </w:r>
    </w:p>
    <w:tbl>
      <w:tblPr>
        <w:tblStyle w:val="3"/>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30"/>
        <w:gridCol w:w="1620"/>
        <w:gridCol w:w="1142"/>
        <w:gridCol w:w="1142"/>
        <w:gridCol w:w="1142"/>
        <w:gridCol w:w="1142"/>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52" w:type="dxa"/>
            <w:gridSpan w:val="3"/>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修正因素</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优</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较优</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一般</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较劣</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区位因素</w:t>
            </w:r>
          </w:p>
        </w:tc>
        <w:tc>
          <w:tcPr>
            <w:tcW w:w="103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区位条件</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城镇影响度</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交通条件</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道路通达度</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-0.27</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路网密度</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社会经济因素</w:t>
            </w:r>
          </w:p>
        </w:tc>
        <w:tc>
          <w:tcPr>
            <w:tcW w:w="1030"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基本设施状况</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灌溉保证率</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排水条件</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田间路网密度</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便利条件</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宜机化</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-0.18</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规划定位</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农业产业定位</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0.90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-0.41</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自然因素</w:t>
            </w:r>
          </w:p>
        </w:tc>
        <w:tc>
          <w:tcPr>
            <w:tcW w:w="1030"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土壤条件</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表层土壤质地</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0.80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土层厚度</w:t>
            </w:r>
            <w:r>
              <w:rPr>
                <w:rFonts w:ascii="Times New Roman" w:hAnsi="Times New Roman" w:eastAsia="仿宋"/>
                <w:color w:val="000000"/>
                <w:kern w:val="0"/>
                <w:sz w:val="18"/>
                <w:szCs w:val="18"/>
              </w:rPr>
              <w:t>(cm)</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0.70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-0.32</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有机质含量</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土壤酸碱度</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地形条件</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海拔</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-0.18</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坡度</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Merge w:val="continue"/>
            <w:vAlign w:val="center"/>
          </w:tcPr>
          <w:p>
            <w:pPr>
              <w:widowControl/>
              <w:jc w:val="left"/>
              <w:rPr>
                <w:rFonts w:ascii="Times New Roman" w:hAnsi="Times New Roman" w:eastAsia="仿宋"/>
                <w:color w:val="000000"/>
                <w:kern w:val="0"/>
                <w:sz w:val="18"/>
                <w:szCs w:val="18"/>
              </w:rPr>
            </w:pP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坡向</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生态环境</w:t>
            </w:r>
          </w:p>
        </w:tc>
        <w:tc>
          <w:tcPr>
            <w:tcW w:w="103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污染状况</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环境污染</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-0.14</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特殊气候</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0.50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-0.23</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vAlign w:val="center"/>
          </w:tcPr>
          <w:p>
            <w:pPr>
              <w:widowControl/>
              <w:jc w:val="left"/>
              <w:rPr>
                <w:rFonts w:ascii="Times New Roman" w:hAnsi="Times New Roman" w:eastAsia="仿宋"/>
                <w:color w:val="000000"/>
                <w:kern w:val="0"/>
                <w:sz w:val="18"/>
                <w:szCs w:val="18"/>
              </w:rPr>
            </w:pPr>
          </w:p>
        </w:tc>
        <w:tc>
          <w:tcPr>
            <w:tcW w:w="103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环境状况</w:t>
            </w:r>
          </w:p>
        </w:tc>
        <w:tc>
          <w:tcPr>
            <w:tcW w:w="1620" w:type="dxa"/>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水土流失</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0.30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0.15</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-0.14</w:t>
            </w:r>
          </w:p>
        </w:tc>
        <w:tc>
          <w:tcPr>
            <w:tcW w:w="1140"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52" w:type="dxa"/>
            <w:gridSpan w:val="3"/>
            <w:vAlign w:val="center"/>
          </w:tcPr>
          <w:p>
            <w:pPr>
              <w:widowControl/>
              <w:jc w:val="center"/>
              <w:rPr>
                <w:rFonts w:ascii="Times New Roman" w:hAnsi="Times New Roman" w:eastAsia="仿宋"/>
                <w:color w:val="000000"/>
                <w:kern w:val="0"/>
                <w:sz w:val="18"/>
                <w:szCs w:val="18"/>
              </w:rPr>
            </w:pPr>
            <w:r>
              <w:rPr>
                <w:rFonts w:ascii="Times New Roman" w:hAnsi="仿宋" w:eastAsia="仿宋"/>
                <w:color w:val="000000"/>
                <w:kern w:val="0"/>
                <w:sz w:val="18"/>
                <w:szCs w:val="18"/>
              </w:rPr>
              <w:t>调整幅度合计</w:t>
            </w:r>
          </w:p>
        </w:tc>
        <w:tc>
          <w:tcPr>
            <w:tcW w:w="1142"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10</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c>
          <w:tcPr>
            <w:tcW w:w="1142"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5</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c>
          <w:tcPr>
            <w:tcW w:w="1142" w:type="dxa"/>
            <w:vAlign w:val="center"/>
          </w:tcPr>
          <w:p>
            <w:pPr>
              <w:widowControl/>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0</w:t>
            </w:r>
          </w:p>
        </w:tc>
        <w:tc>
          <w:tcPr>
            <w:tcW w:w="1142"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-4.56</w:t>
            </w:r>
            <w:r>
              <w:rPr>
                <w:rFonts w:ascii="Times New Roman" w:hAnsi="Times New Roman" w:eastAsia="仿宋"/>
                <w:color w:val="000000"/>
                <w:kern w:val="0"/>
                <w:sz w:val="18"/>
                <w:szCs w:val="18"/>
              </w:rPr>
              <w:fldChar w:fldCharType="end"/>
            </w:r>
          </w:p>
        </w:tc>
        <w:tc>
          <w:tcPr>
            <w:tcW w:w="1140" w:type="dxa"/>
            <w:vAlign w:val="center"/>
          </w:tcPr>
          <w:p>
            <w:pPr>
              <w:widowControl/>
              <w:jc w:val="center"/>
              <w:rPr>
                <w:rFonts w:ascii="Times New Roman" w:hAnsi="Times New Roman" w:eastAsia="仿宋"/>
                <w:color w:val="000000"/>
                <w:kern w:val="0"/>
                <w:sz w:val="18"/>
                <w:szCs w:val="18"/>
              </w:rPr>
            </w:pPr>
            <w:r>
              <w:fldChar w:fldCharType="begin"/>
            </w:r>
            <w:r>
              <w:rPr>
                <w:rFonts w:ascii="Times New Roman" w:hAnsi="Times New Roman" w:eastAsia="仿宋"/>
                <w:color w:val="000000"/>
                <w:kern w:val="0"/>
                <w:sz w:val="18"/>
                <w:szCs w:val="18"/>
              </w:rPr>
              <w:instrText xml:space="preserve"> =SUM(ABOVE) </w:instrText>
            </w:r>
            <w:r>
              <w:rPr>
                <w:rFonts w:ascii="Times New Roman" w:hAnsi="Times New Roman" w:eastAsia="仿宋"/>
                <w:color w:val="000000"/>
                <w:kern w:val="0"/>
                <w:sz w:val="18"/>
                <w:szCs w:val="18"/>
              </w:rPr>
              <w:fldChar w:fldCharType="separate"/>
            </w:r>
            <w:r>
              <w:rPr>
                <w:rFonts w:ascii="Times New Roman" w:hAnsi="Times New Roman" w:eastAsia="仿宋"/>
                <w:color w:val="000000"/>
                <w:kern w:val="0"/>
                <w:sz w:val="18"/>
                <w:szCs w:val="18"/>
              </w:rPr>
              <w:t>-9</w:t>
            </w:r>
            <w:r>
              <w:rPr>
                <w:rFonts w:ascii="Times New Roman" w:hAnsi="Times New Roman" w:eastAsia="仿宋"/>
                <w:color w:val="000000"/>
                <w:kern w:val="0"/>
                <w:sz w:val="18"/>
                <w:szCs w:val="18"/>
              </w:rPr>
              <w:fldChar w:fldCharType="end"/>
            </w:r>
            <w:r>
              <w:rPr>
                <w:rFonts w:ascii="Times New Roman" w:hAnsi="Times New Roman" w:eastAsia="仿宋"/>
                <w:color w:val="000000"/>
                <w:kern w:val="0"/>
                <w:sz w:val="18"/>
                <w:szCs w:val="18"/>
              </w:rPr>
              <w:t>.00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5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2 Char"/>
    <w:basedOn w:val="1"/>
    <w:qFormat/>
    <w:uiPriority w:val="0"/>
    <w:pPr>
      <w:spacing w:line="360" w:lineRule="auto"/>
      <w:ind w:firstLine="520" w:firstLineChars="200"/>
    </w:pPr>
    <w:rPr>
      <w:rFonts w:ascii="宋体" w:hAnsi="宋体"/>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2022-02-24T03:52:56Z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