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eastAsia="方正黑体_GBK"/>
          <w:b w:val="0"/>
          <w:sz w:val="32"/>
          <w:szCs w:val="32"/>
        </w:rPr>
      </w:pPr>
      <w:bookmarkStart w:id="0" w:name="_Toc45101639"/>
      <w:r>
        <w:rPr>
          <w:rFonts w:eastAsia="方正黑体_GBK"/>
          <w:b w:val="0"/>
          <w:sz w:val="32"/>
          <w:szCs w:val="32"/>
        </w:rPr>
        <w:t>附件2</w:t>
      </w:r>
    </w:p>
    <w:p>
      <w:pPr>
        <w:rPr>
          <w:rFonts w:ascii="Times New Roman" w:hAnsi="Times New Roman"/>
        </w:rPr>
      </w:pPr>
    </w:p>
    <w:p>
      <w:pPr>
        <w:widowControl/>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丰都县集体建设用地使用权基准地价说明</w:t>
      </w:r>
      <w:bookmarkEnd w:id="0"/>
    </w:p>
    <w:p>
      <w:pPr>
        <w:adjustRightInd w:val="0"/>
        <w:snapToGrid w:val="0"/>
        <w:spacing w:line="560" w:lineRule="exact"/>
        <w:ind w:firstLine="562" w:firstLineChars="200"/>
        <w:rPr>
          <w:rFonts w:hint="eastAsia" w:ascii="Times New Roman" w:hAnsi="Times New Roman" w:eastAsia="仿宋_GB2312"/>
          <w:b/>
          <w:sz w:val="28"/>
          <w:szCs w:val="28"/>
        </w:rPr>
      </w:pPr>
    </w:p>
    <w:p>
      <w:pPr>
        <w:adjustRightInd w:val="0"/>
        <w:snapToGrid w:val="0"/>
        <w:spacing w:line="56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一、适用范围</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丰都县集体建设用地使用权基准地价（以下简称基准地价）适用于丰都县三合街道、名山街道、虎威镇、双路镇、高家镇、兴义镇、龙孔镇、社坛镇、仁沙镇、保合镇、兴龙镇、龙河镇、江池镇、许明寺镇、董家镇、树人镇、十直镇、暨龙镇、武平镇、湛普镇、包鸾镇、三元镇、南天湖镇、仙女湖镇、双龙镇、青龙乡、三建乡、栗子乡、都督乡、太平坝乡所辖的2900.86平方公里范围内的集体建设用地。</w:t>
      </w:r>
    </w:p>
    <w:p>
      <w:pPr>
        <w:adjustRightInd w:val="0"/>
        <w:snapToGrid w:val="0"/>
        <w:spacing w:line="56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二、基准地价内涵</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基准地价的内涵为集体建设用地使用权不同级别、不同用途、设定容积率和土地开发程度下，特定设定年限的区域平均价格。基准地价的价格表现形式为地面地价，是指集体建设用地使用权的平均价格（单位：元/平方米）。</w:t>
      </w:r>
    </w:p>
    <w:p>
      <w:pPr>
        <w:adjustRightInd w:val="0"/>
        <w:snapToGrid w:val="0"/>
        <w:spacing w:line="560" w:lineRule="exact"/>
        <w:ind w:firstLine="640" w:firstLineChars="200"/>
        <w:rPr>
          <w:rFonts w:hint="eastAsia" w:ascii="方正楷体_GBK" w:hAnsi="Times New Roman" w:eastAsia="方正楷体_GBK"/>
          <w:sz w:val="32"/>
          <w:szCs w:val="32"/>
        </w:rPr>
      </w:pPr>
      <w:r>
        <w:rPr>
          <w:rFonts w:hint="eastAsia" w:ascii="方正楷体_GBK" w:hAnsi="Times New Roman" w:eastAsia="方正楷体_GBK"/>
          <w:sz w:val="32"/>
          <w:szCs w:val="32"/>
        </w:rPr>
        <w:t>（一）基准地价期日</w:t>
      </w:r>
    </w:p>
    <w:p>
      <w:pPr>
        <w:widowControl/>
        <w:ind w:firstLine="640" w:firstLineChars="200"/>
        <w:rPr>
          <w:rFonts w:ascii="Times New Roman" w:hAnsi="Times New Roman" w:eastAsia="方正仿宋_GBK"/>
          <w:sz w:val="32"/>
          <w:szCs w:val="32"/>
        </w:rPr>
      </w:pPr>
      <w:r>
        <w:rPr>
          <w:rFonts w:ascii="Times New Roman" w:hAnsi="Times New Roman" w:eastAsia="方正仿宋_GBK"/>
          <w:sz w:val="32"/>
          <w:szCs w:val="32"/>
        </w:rPr>
        <w:t>2021年1月1日。</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（二）基准地价土地使用权类型</w:t>
      </w:r>
    </w:p>
    <w:p>
      <w:pPr>
        <w:widowControl/>
        <w:ind w:firstLine="640" w:firstLineChars="200"/>
        <w:rPr>
          <w:rFonts w:ascii="Times New Roman" w:hAnsi="Times New Roman" w:eastAsia="方正仿宋_GBK"/>
          <w:sz w:val="32"/>
          <w:szCs w:val="32"/>
        </w:rPr>
      </w:pPr>
      <w:r>
        <w:rPr>
          <w:rFonts w:ascii="Times New Roman" w:hAnsi="Times New Roman" w:eastAsia="方正仿宋_GBK"/>
          <w:sz w:val="32"/>
          <w:szCs w:val="32"/>
        </w:rPr>
        <w:t>土地使用权类型为出让。</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（三）基准地价土地用途</w:t>
      </w:r>
    </w:p>
    <w:p>
      <w:pPr>
        <w:widowControl/>
        <w:ind w:firstLine="640" w:firstLineChars="200"/>
        <w:rPr>
          <w:rFonts w:ascii="Times New Roman" w:hAnsi="Times New Roman" w:eastAsia="方正仿宋_GBK"/>
          <w:sz w:val="32"/>
          <w:szCs w:val="32"/>
        </w:rPr>
      </w:pPr>
      <w:r>
        <w:rPr>
          <w:rFonts w:ascii="Times New Roman" w:hAnsi="Times New Roman" w:eastAsia="方正仿宋_GBK"/>
          <w:sz w:val="32"/>
          <w:szCs w:val="32"/>
        </w:rPr>
        <w:t>商服用地、工矿仓储用地、公共管理与公共服务用地。</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（四）基准地价容积率</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商服用地为1.5；工矿仓储用地为1.0、公共管理与公共服务用地1.0。</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（五）基准地价土地开发程度</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基准地价土地开发程度为“三通一平”，指宗地外通路、通电、通上水及宗地内场地平整。</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（六）基准地价使用年限</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商服用地40年，工矿仓储用地50年，公共管理与公共服务用地50年。</w:t>
      </w:r>
    </w:p>
    <w:p>
      <w:pPr>
        <w:adjustRightInd w:val="0"/>
        <w:snapToGrid w:val="0"/>
        <w:spacing w:line="560"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三、基准地价的应用</w:t>
      </w:r>
    </w:p>
    <w:p>
      <w:pPr>
        <w:widowControl/>
        <w:ind w:firstLine="640" w:firstLineChars="200"/>
        <w:rPr>
          <w:rFonts w:ascii="Times New Roman" w:hAnsi="Times New Roman" w:eastAsia="方正仿宋_GBK"/>
          <w:sz w:val="32"/>
          <w:szCs w:val="32"/>
        </w:rPr>
      </w:pPr>
      <w:r>
        <w:rPr>
          <w:rFonts w:ascii="Times New Roman" w:hAnsi="Times New Roman" w:eastAsia="方正仿宋_GBK"/>
          <w:sz w:val="32"/>
          <w:szCs w:val="32"/>
        </w:rPr>
        <w:t>运用基准地价系数修正法进行宗地价格评估时应适用对应用途级别的基准地价，并根据宗地实际情况进行期日、年期、容积率、区域和个别因素及土地开发程度等修正。评估多用途混合的宗地价格时，应按各具体用途分别修正后加权测算。</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（一）宗地价格计算公式</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地面地价=适用的基准地价×土地用途修正系数×期日修正系数×年期修正系数×容积率修正系数×区域和个别因素修正系数±土地开发程度修正值</w:t>
      </w:r>
    </w:p>
    <w:p>
      <w:pPr>
        <w:adjustRightInd w:val="0"/>
        <w:snapToGrid w:val="0"/>
        <w:spacing w:line="560" w:lineRule="exact"/>
        <w:ind w:firstLine="640" w:firstLineChars="200"/>
        <w:rPr>
          <w:rFonts w:ascii="方正楷体_GBK" w:hAnsi="Times New Roman" w:eastAsia="方正楷体_GBK"/>
          <w:sz w:val="32"/>
          <w:szCs w:val="32"/>
        </w:rPr>
      </w:pPr>
      <w:r>
        <w:rPr>
          <w:rFonts w:ascii="方正楷体_GBK" w:hAnsi="Times New Roman" w:eastAsia="方正楷体_GBK"/>
          <w:sz w:val="32"/>
          <w:szCs w:val="32"/>
        </w:rPr>
        <w:t>（二）宗地价格测算中有关参数的确定</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1．适用的基准地价的确定</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根据宗地的法定用途，按照本说明第三条规定的基准地价分类，确定适用的基准地价用途后，根据规划和自然资源局公布执行的土地级别，确定对应用途级别应适用的基准地价。</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2．期日修正系数的确定</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期日修正系数=宗地估价期日的地价指数÷基准地价期日的地价指数</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3．年期修正系数的确定</w:t>
      </w:r>
    </w:p>
    <w:p>
      <w:pPr>
        <w:adjustRightInd w:val="0"/>
        <w:snapToGri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年期修正系数</w:t>
      </w:r>
      <w:r>
        <w:rPr>
          <w:rFonts w:ascii="仿宋_GB2312" w:hAnsi="Times New Roman" w:eastAsia="仿宋_GB2312"/>
          <w:sz w:val="28"/>
          <w:szCs w:val="28"/>
        </w:rPr>
        <w:t>年期修正系数</w:t>
      </w:r>
      <w:r>
        <w:fldChar w:fldCharType="begin"/>
      </w:r>
      <w:r>
        <w:instrText xml:space="preserve"> INCLUDEPICTURE "C:\\DOCUME~1\\ADMINI~1\\LOCALS~1\\Temp\\ksohtml4244\\wps1.jpg" \* MERGEFORMATINET </w:instrText>
      </w:r>
      <w:r>
        <w:fldChar w:fldCharType="separate"/>
      </w:r>
      <w:r>
        <w:drawing>
          <wp:inline distT="0" distB="0" distL="114300" distR="114300">
            <wp:extent cx="1544320" cy="554990"/>
            <wp:effectExtent l="0" t="0" r="17780" b="1651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1544320" cy="554990"/>
                    </a:xfrm>
                    <a:prstGeom prst="rect">
                      <a:avLst/>
                    </a:prstGeom>
                    <a:noFill/>
                    <a:ln w="9525">
                      <a:noFill/>
                    </a:ln>
                  </pic:spPr>
                </pic:pic>
              </a:graphicData>
            </a:graphic>
          </wp:inline>
        </w:drawing>
      </w:r>
      <w:r>
        <w:fldChar w:fldCharType="end"/>
      </w:r>
      <w:r>
        <w:fldChar w:fldCharType="begin"/>
      </w:r>
      <w:r>
        <w:rPr>
          <w:rFonts w:ascii="Times New Roman" w:hAnsi="Times New Roman" w:eastAsia="方正仿宋_GBK"/>
          <w:sz w:val="32"/>
          <w:szCs w:val="32"/>
        </w:rPr>
        <w:instrText xml:space="preserve"> QUOTE </w:instrText>
      </w:r>
      <m:oMath>
        <m:r>
          <m:rPr>
            <m:sty m:val="p"/>
          </m:rPr>
          <w:rPr>
            <w:rFonts w:ascii="Cambria Math" w:hAnsi="Cambria Math" w:eastAsia="仿宋_GB2312"/>
            <w:color w:val="000000"/>
            <w:sz w:val="32"/>
            <w:szCs w:val="32"/>
          </w:rPr>
          <m:t xml:space="preserve">=</m:t>
        </m:r>
        <m:f>
          <m:fPr>
            <m:ctrlPr>
              <w:rPr>
                <w:rFonts w:ascii="Cambria Math" w:hAnsi="Cambria Math" w:eastAsia="仿宋_GB2312"/>
                <w:color w:val="000000"/>
                <w:sz w:val="36"/>
                <w:szCs w:val="36"/>
              </w:rPr>
            </m:ctrlPr>
          </m:fPr>
          <m:num>
            <m:r>
              <m:rPr>
                <m:sty m:val="p"/>
              </m:rPr>
              <w:rPr>
                <w:rFonts w:ascii="Cambria Math" w:hAnsi="Cambria Math" w:eastAsia="仿宋_GB2312"/>
                <w:color w:val="000000"/>
                <w:sz w:val="36"/>
                <w:szCs w:val="36"/>
              </w:rPr>
              <m:t xml:space="preserve">1</m:t>
            </m:r>
            <m:r>
              <m:rPr>
                <m:sty m:val="p"/>
              </m:rPr>
              <w:rPr>
                <w:rFonts w:ascii="Cambria Math" w:hAnsi="Cambria Math" w:eastAsia="MS Mincho"/>
                <w:color w:val="000000"/>
                <w:sz w:val="36"/>
                <w:szCs w:val="36"/>
              </w:rPr>
              <m:t xml:space="preserve">-</m:t>
            </m:r>
            <m:sSup>
              <m:sSupPr>
                <m:ctrlPr>
                  <w:rPr>
                    <w:rFonts w:ascii="Cambria Math" w:hAnsi="Cambria Math" w:eastAsia="仿宋_GB2312"/>
                    <w:color w:val="000000"/>
                    <w:sz w:val="36"/>
                    <w:szCs w:val="36"/>
                  </w:rPr>
                </m:ctrlPr>
              </m:sSupPr>
              <m:e>
                <m:d>
                  <m:dPr>
                    <m:begChr m:val="["/>
                    <m:endChr m:val="]"/>
                    <m:ctrlPr>
                      <w:rPr>
                        <w:rFonts w:ascii="Cambria Math" w:hAnsi="Cambria Math" w:eastAsia="仿宋_GB2312"/>
                        <w:color w:val="000000"/>
                        <w:sz w:val="36"/>
                        <w:szCs w:val="36"/>
                      </w:rPr>
                    </m:ctrlPr>
                  </m:dPr>
                  <m:e>
                    <m:r>
                      <m:rPr>
                        <m:sty m:val="p"/>
                      </m:rPr>
                      <w:rPr>
                        <w:rFonts w:ascii="Cambria Math" w:hAnsi="Cambria Math" w:eastAsia="仿宋_GB2312"/>
                        <w:color w:val="000000"/>
                        <w:sz w:val="36"/>
                        <w:szCs w:val="36"/>
                      </w:rPr>
                      <m:t xml:space="preserve">1/</m:t>
                    </m:r>
                    <m:d>
                      <m:dPr>
                        <m:ctrlPr>
                          <w:rPr>
                            <w:rFonts w:ascii="Cambria Math" w:hAnsi="Cambria Math" w:eastAsia="仿宋_GB2312"/>
                            <w:color w:val="000000"/>
                            <w:sz w:val="36"/>
                            <w:szCs w:val="36"/>
                          </w:rPr>
                        </m:ctrlPr>
                      </m:dPr>
                      <m:e>
                        <m:r>
                          <m:rPr>
                            <m:sty m:val="p"/>
                          </m:rPr>
                          <w:rPr>
                            <w:rFonts w:ascii="Cambria Math" w:hAnsi="Cambria Math" w:eastAsia="仿宋_GB2312"/>
                            <w:color w:val="000000"/>
                            <w:sz w:val="36"/>
                            <w:szCs w:val="36"/>
                          </w:rPr>
                          <m:t xml:space="preserve">1+</m:t>
                        </m:r>
                        <m:r>
                          <w:rPr>
                            <w:rFonts w:ascii="Cambria Math" w:hAnsi="Cambria Math" w:eastAsia="仿宋_GB2312"/>
                            <w:color w:val="000000"/>
                            <w:sz w:val="36"/>
                            <w:szCs w:val="36"/>
                          </w:rPr>
                          <m:t xml:space="preserve">r</m:t>
                        </m:r>
                      </m:e>
                    </m:d>
                    <m:ctrlPr>
                      <w:rPr>
                        <w:rFonts w:ascii="Cambria Math" w:hAnsi="Cambria Math" w:eastAsia="仿宋_GB2312"/>
                        <w:color w:val="000000"/>
                        <w:sz w:val="36"/>
                        <w:szCs w:val="36"/>
                      </w:rPr>
                    </m:ctrlPr>
                  </m:e>
                </m:d>
                <m:ctrlPr>
                  <w:rPr>
                    <w:rFonts w:ascii="Cambria Math" w:hAnsi="Cambria Math" w:eastAsia="仿宋_GB2312"/>
                    <w:color w:val="000000"/>
                    <w:sz w:val="36"/>
                    <w:szCs w:val="36"/>
                  </w:rPr>
                </m:ctrlPr>
              </m:e>
              <m:sup>
                <m:r>
                  <w:rPr>
                    <w:rFonts w:ascii="Cambria Math" w:hAnsi="Cambria Math" w:eastAsia="仿宋_GB2312"/>
                    <w:color w:val="000000"/>
                    <w:sz w:val="36"/>
                    <w:szCs w:val="36"/>
                  </w:rPr>
                  <m:t xml:space="preserve">n</m:t>
                </m:r>
                <m:ctrlPr>
                  <w:rPr>
                    <w:rFonts w:ascii="Cambria Math" w:hAnsi="Cambria Math" w:eastAsia="仿宋_GB2312"/>
                    <w:color w:val="000000"/>
                    <w:sz w:val="36"/>
                    <w:szCs w:val="36"/>
                  </w:rPr>
                </m:ctrlPr>
              </m:sup>
            </m:sSup>
            <m:ctrlPr>
              <w:rPr>
                <w:rFonts w:ascii="Cambria Math" w:hAnsi="Cambria Math" w:eastAsia="仿宋_GB2312"/>
                <w:color w:val="000000"/>
                <w:sz w:val="36"/>
                <w:szCs w:val="36"/>
              </w:rPr>
            </m:ctrlPr>
          </m:num>
          <m:den>
            <m:r>
              <m:rPr>
                <m:sty m:val="p"/>
              </m:rPr>
              <w:rPr>
                <w:rFonts w:ascii="Cambria Math" w:hAnsi="Cambria Math" w:eastAsia="仿宋_GB2312"/>
                <w:color w:val="000000"/>
                <w:sz w:val="36"/>
                <w:szCs w:val="36"/>
              </w:rPr>
              <m:t xml:space="preserve">1</m:t>
            </m:r>
            <m:r>
              <m:rPr>
                <m:sty m:val="p"/>
              </m:rPr>
              <w:rPr>
                <w:rFonts w:ascii="Cambria Math" w:hAnsi="Cambria Math" w:eastAsia="MS Mincho"/>
                <w:color w:val="000000"/>
                <w:sz w:val="36"/>
                <w:szCs w:val="36"/>
              </w:rPr>
              <m:t xml:space="preserve">-</m:t>
            </m:r>
            <m:sSup>
              <m:sSupPr>
                <m:ctrlPr>
                  <w:rPr>
                    <w:rFonts w:ascii="Cambria Math" w:hAnsi="Cambria Math" w:eastAsia="仿宋_GB2312"/>
                    <w:color w:val="000000"/>
                    <w:sz w:val="36"/>
                    <w:szCs w:val="36"/>
                  </w:rPr>
                </m:ctrlPr>
              </m:sSupPr>
              <m:e>
                <m:d>
                  <m:dPr>
                    <m:begChr m:val="["/>
                    <m:endChr m:val="]"/>
                    <m:ctrlPr>
                      <w:rPr>
                        <w:rFonts w:ascii="Cambria Math" w:hAnsi="Cambria Math" w:eastAsia="仿宋_GB2312"/>
                        <w:color w:val="000000"/>
                        <w:sz w:val="36"/>
                        <w:szCs w:val="36"/>
                      </w:rPr>
                    </m:ctrlPr>
                  </m:dPr>
                  <m:e>
                    <m:r>
                      <m:rPr>
                        <m:sty m:val="p"/>
                      </m:rPr>
                      <w:rPr>
                        <w:rFonts w:ascii="Cambria Math" w:hAnsi="Cambria Math" w:eastAsia="仿宋_GB2312"/>
                        <w:color w:val="000000"/>
                        <w:sz w:val="36"/>
                        <w:szCs w:val="36"/>
                      </w:rPr>
                      <m:t xml:space="preserve">1/</m:t>
                    </m:r>
                    <m:d>
                      <m:dPr>
                        <m:ctrlPr>
                          <w:rPr>
                            <w:rFonts w:ascii="Cambria Math" w:hAnsi="Cambria Math" w:eastAsia="仿宋_GB2312"/>
                            <w:color w:val="000000"/>
                            <w:sz w:val="36"/>
                            <w:szCs w:val="36"/>
                          </w:rPr>
                        </m:ctrlPr>
                      </m:dPr>
                      <m:e>
                        <m:r>
                          <m:rPr>
                            <m:sty m:val="p"/>
                          </m:rPr>
                          <w:rPr>
                            <w:rFonts w:ascii="Cambria Math" w:hAnsi="Cambria Math" w:eastAsia="仿宋_GB2312"/>
                            <w:color w:val="000000"/>
                            <w:sz w:val="36"/>
                            <w:szCs w:val="36"/>
                          </w:rPr>
                          <m:t xml:space="preserve">1+</m:t>
                        </m:r>
                        <m:r>
                          <w:rPr>
                            <w:rFonts w:ascii="Cambria Math" w:hAnsi="Cambria Math" w:eastAsia="仿宋_GB2312"/>
                            <w:color w:val="000000"/>
                            <w:sz w:val="36"/>
                            <w:szCs w:val="36"/>
                          </w:rPr>
                          <m:t xml:space="preserve">r</m:t>
                        </m:r>
                      </m:e>
                    </m:d>
                    <m:ctrlPr>
                      <w:rPr>
                        <w:rFonts w:ascii="Cambria Math" w:hAnsi="Cambria Math" w:eastAsia="仿宋_GB2312"/>
                        <w:color w:val="000000"/>
                        <w:sz w:val="36"/>
                        <w:szCs w:val="36"/>
                      </w:rPr>
                    </m:ctrlPr>
                  </m:e>
                </m:d>
                <m:ctrlPr>
                  <w:rPr>
                    <w:rFonts w:ascii="Cambria Math" w:hAnsi="Cambria Math" w:eastAsia="仿宋_GB2312"/>
                    <w:color w:val="000000"/>
                    <w:sz w:val="36"/>
                    <w:szCs w:val="36"/>
                  </w:rPr>
                </m:ctrlPr>
              </m:e>
              <m:sup>
                <m:r>
                  <w:rPr>
                    <w:rFonts w:ascii="Cambria Math" w:hAnsi="Cambria Math" w:eastAsia="仿宋_GB2312"/>
                    <w:color w:val="000000"/>
                    <w:sz w:val="36"/>
                    <w:szCs w:val="36"/>
                  </w:rPr>
                  <m:t xml:space="preserve">m</m:t>
                </m:r>
                <m:ctrlPr>
                  <w:rPr>
                    <w:rFonts w:ascii="Cambria Math" w:hAnsi="Cambria Math" w:eastAsia="仿宋_GB2312"/>
                    <w:color w:val="000000"/>
                    <w:sz w:val="36"/>
                    <w:szCs w:val="36"/>
                  </w:rPr>
                </m:ctrlPr>
              </m:sup>
            </m:sSup>
            <m:ctrlPr>
              <w:rPr>
                <w:rFonts w:ascii="Cambria Math" w:hAnsi="Cambria Math" w:eastAsia="仿宋_GB2312"/>
                <w:color w:val="000000"/>
                <w:sz w:val="36"/>
                <w:szCs w:val="36"/>
              </w:rPr>
            </m:ctrlPr>
          </m:den>
        </m:f>
      </m:oMath>
      <w:r>
        <w:rPr>
          <w:rFonts w:ascii="Times New Roman" w:hAnsi="Times New Roman" w:eastAsia="方正仿宋_GBK"/>
          <w:sz w:val="32"/>
          <w:szCs w:val="32"/>
        </w:rPr>
        <w:instrText xml:space="preserve"> </w:instrText>
      </w:r>
      <w:r>
        <w:rPr>
          <w:rFonts w:ascii="Times New Roman" w:hAnsi="Times New Roman" w:eastAsia="方正仿宋_GBK"/>
          <w:sz w:val="32"/>
          <w:szCs w:val="32"/>
        </w:rPr>
        <w:fldChar w:fldCharType="separate"/>
      </w:r>
      <w:r>
        <w:rPr>
          <w:rFonts w:ascii="Times New Roman" w:hAnsi="Times New Roman" w:eastAsia="方正仿宋_GBK"/>
          <w:sz w:val="32"/>
          <w:szCs w:val="32"/>
        </w:rPr>
        <w:fldChar w:fldCharType="end"/>
      </w:r>
    </w:p>
    <w:p>
      <w:pPr>
        <w:adjustRightInd w:val="0"/>
        <w:snapToGrid w:val="0"/>
        <w:spacing w:line="560" w:lineRule="exact"/>
        <w:ind w:firstLine="560" w:firstLineChars="200"/>
        <w:rPr>
          <w:rFonts w:ascii="Times New Roman" w:hAnsi="Times New Roman" w:eastAsia="方正仿宋_GBK"/>
          <w:sz w:val="32"/>
          <w:szCs w:val="32"/>
        </w:rPr>
      </w:pPr>
      <m:oMath>
        <m:r>
          <w:rPr>
            <w:rFonts w:ascii="Cambria Math" w:hAnsi="Cambria Math" w:eastAsia="仿宋_GB2312"/>
            <w:color w:val="000000"/>
            <w:sz w:val="28"/>
            <w:szCs w:val="28"/>
          </w:rPr>
          <m:t>r</m:t>
        </m:r>
      </m:oMath>
      <w:r>
        <w:rPr>
          <w:rFonts w:ascii="Times New Roman" w:hAnsi="Times New Roman" w:eastAsia="方正仿宋_GBK"/>
          <w:sz w:val="32"/>
          <w:szCs w:val="32"/>
        </w:rPr>
        <w:t>为土地还原率（商服、工矿仓储、公共管理与公共服务分别为7.97%、6.5%、6.75%）；</w:t>
      </w:r>
      <m:oMath>
        <m:r>
          <w:rPr>
            <w:rFonts w:ascii="Cambria Math" w:hAnsi="Cambria Math" w:eastAsia="仿宋_GB2312"/>
            <w:color w:val="000000"/>
            <w:sz w:val="28"/>
            <w:szCs w:val="28"/>
          </w:rPr>
          <m:t>n</m:t>
        </m:r>
      </m:oMath>
      <w:r>
        <w:rPr>
          <w:rFonts w:ascii="Times New Roman" w:hAnsi="Times New Roman" w:eastAsia="方正仿宋_GBK"/>
          <w:sz w:val="32"/>
          <w:szCs w:val="32"/>
        </w:rPr>
        <w:t>为宗地剩余使用年限；</w:t>
      </w:r>
      <m:oMath>
        <m:r>
          <w:rPr>
            <w:rFonts w:ascii="Cambria Math" w:hAnsi="Cambria Math" w:eastAsia="仿宋_GB2312"/>
            <w:color w:val="000000"/>
            <w:sz w:val="28"/>
            <w:szCs w:val="28"/>
          </w:rPr>
          <m:t>m</m:t>
        </m:r>
      </m:oMath>
      <w:r>
        <w:rPr>
          <w:rFonts w:ascii="Times New Roman" w:hAnsi="Times New Roman" w:eastAsia="方正仿宋_GBK"/>
          <w:sz w:val="32"/>
          <w:szCs w:val="32"/>
        </w:rPr>
        <w:t>为基准地价规定的相应用途土地使用年限。</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4．容积率修正系数的确定</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宗地的法定容积率（R），根据《容积率修正系数表》确定容积率修正系数。商服用地和公共管理与公共服务用地容积率小于1.0时，按容积率1.0确定修正系数；商服用地和公共管理与公共服务用地容积率大于3时，按容积率3确定修正系数；工矿仓储用地、公共管理与公共服务用地中公用设施用地不进行容积率修正。</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当R</w:t>
      </w:r>
      <w:r>
        <w:rPr>
          <w:rFonts w:ascii="Times New Roman" w:hAnsi="Times New Roman" w:eastAsia="方正仿宋_GBK"/>
          <w:sz w:val="32"/>
          <w:szCs w:val="32"/>
          <w:vertAlign w:val="subscript"/>
        </w:rPr>
        <w:t>1</w:t>
      </w:r>
      <w:r>
        <w:rPr>
          <w:rFonts w:ascii="Times New Roman" w:hAnsi="Times New Roman" w:eastAsia="方正仿宋_GBK"/>
          <w:sz w:val="32"/>
          <w:szCs w:val="32"/>
        </w:rPr>
        <w:t>&lt;R&lt;R</w:t>
      </w:r>
      <w:r>
        <w:rPr>
          <w:rFonts w:ascii="Times New Roman" w:hAnsi="Times New Roman" w:eastAsia="方正仿宋_GBK"/>
          <w:sz w:val="32"/>
          <w:szCs w:val="32"/>
          <w:vertAlign w:val="subscript"/>
        </w:rPr>
        <w:t>2</w:t>
      </w:r>
      <w:r>
        <w:rPr>
          <w:rFonts w:ascii="Times New Roman" w:hAnsi="Times New Roman" w:eastAsia="方正仿宋_GBK"/>
          <w:sz w:val="32"/>
          <w:szCs w:val="32"/>
        </w:rPr>
        <w:t>（R</w:t>
      </w:r>
      <w:r>
        <w:rPr>
          <w:rFonts w:ascii="Times New Roman" w:hAnsi="Times New Roman" w:eastAsia="方正仿宋_GBK"/>
          <w:sz w:val="32"/>
          <w:szCs w:val="32"/>
          <w:vertAlign w:val="subscript"/>
        </w:rPr>
        <w:t>1</w:t>
      </w:r>
      <w:r>
        <w:rPr>
          <w:rFonts w:ascii="Times New Roman" w:hAnsi="Times New Roman" w:eastAsia="方正仿宋_GBK"/>
          <w:sz w:val="32"/>
          <w:szCs w:val="32"/>
        </w:rPr>
        <w:t>、R</w:t>
      </w:r>
      <w:r>
        <w:rPr>
          <w:rFonts w:ascii="Times New Roman" w:hAnsi="Times New Roman" w:eastAsia="方正仿宋_GBK"/>
          <w:sz w:val="32"/>
          <w:szCs w:val="32"/>
          <w:vertAlign w:val="subscript"/>
        </w:rPr>
        <w:t>2</w:t>
      </w:r>
      <w:r>
        <w:rPr>
          <w:rFonts w:ascii="Times New Roman" w:hAnsi="Times New Roman" w:eastAsia="方正仿宋_GBK"/>
          <w:sz w:val="32"/>
          <w:szCs w:val="32"/>
        </w:rPr>
        <w:t>为上述《容积率修正系数表》中所列的相邻容积率）时，按下列公式计算容积率修正系数（X）：</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X=X</w:t>
      </w:r>
      <w:r>
        <w:rPr>
          <w:rFonts w:ascii="Times New Roman" w:hAnsi="Times New Roman" w:eastAsia="方正仿宋_GBK"/>
          <w:sz w:val="32"/>
          <w:szCs w:val="32"/>
          <w:vertAlign w:val="subscript"/>
        </w:rPr>
        <w:t>1</w:t>
      </w:r>
      <w:r>
        <w:rPr>
          <w:rFonts w:ascii="Times New Roman" w:hAnsi="Times New Roman" w:eastAsia="方正仿宋_GBK"/>
          <w:sz w:val="32"/>
          <w:szCs w:val="32"/>
        </w:rPr>
        <w:t>+（X</w:t>
      </w:r>
      <w:r>
        <w:rPr>
          <w:rFonts w:ascii="Times New Roman" w:hAnsi="Times New Roman" w:eastAsia="方正仿宋_GBK"/>
          <w:sz w:val="32"/>
          <w:szCs w:val="32"/>
          <w:vertAlign w:val="subscript"/>
        </w:rPr>
        <w:t>2</w:t>
      </w:r>
      <w:r>
        <w:rPr>
          <w:rFonts w:ascii="Times New Roman" w:hAnsi="Times New Roman" w:eastAsia="方正仿宋_GBK"/>
          <w:sz w:val="32"/>
          <w:szCs w:val="32"/>
        </w:rPr>
        <w:t>-X</w:t>
      </w:r>
      <w:r>
        <w:rPr>
          <w:rFonts w:ascii="Times New Roman" w:hAnsi="Times New Roman" w:eastAsia="方正仿宋_GBK"/>
          <w:sz w:val="32"/>
          <w:szCs w:val="32"/>
          <w:vertAlign w:val="subscript"/>
        </w:rPr>
        <w:t>1</w:t>
      </w:r>
      <w:r>
        <w:rPr>
          <w:rFonts w:ascii="Times New Roman" w:hAnsi="Times New Roman" w:eastAsia="方正仿宋_GBK"/>
          <w:sz w:val="32"/>
          <w:szCs w:val="32"/>
        </w:rPr>
        <w:t>）×（R-R</w:t>
      </w:r>
      <w:r>
        <w:rPr>
          <w:rFonts w:ascii="Times New Roman" w:hAnsi="Times New Roman" w:eastAsia="方正仿宋_GBK"/>
          <w:sz w:val="32"/>
          <w:szCs w:val="32"/>
          <w:vertAlign w:val="subscript"/>
        </w:rPr>
        <w:t>1</w:t>
      </w:r>
      <w:r>
        <w:rPr>
          <w:rFonts w:ascii="Times New Roman" w:hAnsi="Times New Roman" w:eastAsia="方正仿宋_GBK"/>
          <w:sz w:val="32"/>
          <w:szCs w:val="32"/>
        </w:rPr>
        <w:t>）/（R</w:t>
      </w:r>
      <w:r>
        <w:rPr>
          <w:rFonts w:ascii="Times New Roman" w:hAnsi="Times New Roman" w:eastAsia="方正仿宋_GBK"/>
          <w:sz w:val="32"/>
          <w:szCs w:val="32"/>
          <w:vertAlign w:val="subscript"/>
        </w:rPr>
        <w:t>2</w:t>
      </w:r>
      <w:r>
        <w:rPr>
          <w:rFonts w:ascii="Times New Roman" w:hAnsi="Times New Roman" w:eastAsia="方正仿宋_GBK"/>
          <w:sz w:val="32"/>
          <w:szCs w:val="32"/>
        </w:rPr>
        <w:t>-R</w:t>
      </w:r>
      <w:r>
        <w:rPr>
          <w:rFonts w:ascii="Times New Roman" w:hAnsi="Times New Roman" w:eastAsia="方正仿宋_GBK"/>
          <w:sz w:val="32"/>
          <w:szCs w:val="32"/>
          <w:vertAlign w:val="subscript"/>
        </w:rPr>
        <w:t>1</w:t>
      </w:r>
      <w:r>
        <w:rPr>
          <w:rFonts w:ascii="Times New Roman" w:hAnsi="Times New Roman" w:eastAsia="方正仿宋_GBK"/>
          <w:sz w:val="32"/>
          <w:szCs w:val="32"/>
        </w:rPr>
        <w:t>）</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X</w:t>
      </w:r>
      <w:r>
        <w:rPr>
          <w:rFonts w:ascii="Times New Roman" w:hAnsi="Times New Roman" w:eastAsia="方正仿宋_GBK"/>
          <w:sz w:val="32"/>
          <w:szCs w:val="32"/>
          <w:vertAlign w:val="subscript"/>
        </w:rPr>
        <w:t>1</w:t>
      </w:r>
      <w:r>
        <w:rPr>
          <w:rFonts w:ascii="Times New Roman" w:hAnsi="Times New Roman" w:eastAsia="方正仿宋_GBK"/>
          <w:sz w:val="32"/>
          <w:szCs w:val="32"/>
        </w:rPr>
        <w:t>、X</w:t>
      </w:r>
      <w:r>
        <w:rPr>
          <w:rFonts w:ascii="Times New Roman" w:hAnsi="Times New Roman" w:eastAsia="方正仿宋_GBK"/>
          <w:sz w:val="32"/>
          <w:szCs w:val="32"/>
          <w:vertAlign w:val="subscript"/>
        </w:rPr>
        <w:t>2</w:t>
      </w:r>
      <w:r>
        <w:rPr>
          <w:rFonts w:ascii="Times New Roman" w:hAnsi="Times New Roman" w:eastAsia="方正仿宋_GBK"/>
          <w:sz w:val="32"/>
          <w:szCs w:val="32"/>
        </w:rPr>
        <w:t>为R</w:t>
      </w:r>
      <w:r>
        <w:rPr>
          <w:rFonts w:ascii="Times New Roman" w:hAnsi="Times New Roman" w:eastAsia="方正仿宋_GBK"/>
          <w:sz w:val="32"/>
          <w:szCs w:val="32"/>
          <w:vertAlign w:val="subscript"/>
        </w:rPr>
        <w:t>1</w:t>
      </w:r>
      <w:r>
        <w:rPr>
          <w:rFonts w:ascii="Times New Roman" w:hAnsi="Times New Roman" w:eastAsia="方正仿宋_GBK"/>
          <w:sz w:val="32"/>
          <w:szCs w:val="32"/>
        </w:rPr>
        <w:t>、R</w:t>
      </w:r>
      <w:r>
        <w:rPr>
          <w:rFonts w:ascii="Times New Roman" w:hAnsi="Times New Roman" w:eastAsia="方正仿宋_GBK"/>
          <w:sz w:val="32"/>
          <w:szCs w:val="32"/>
          <w:vertAlign w:val="subscript"/>
        </w:rPr>
        <w:t>2</w:t>
      </w:r>
      <w:r>
        <w:rPr>
          <w:rFonts w:ascii="Times New Roman" w:hAnsi="Times New Roman" w:eastAsia="方正仿宋_GBK"/>
          <w:sz w:val="32"/>
          <w:szCs w:val="32"/>
        </w:rPr>
        <w:t>所对应的容积率修正系数。</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5．土地开发程度修正值的确定</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当宗地的土地开发程度与基准地价设定的土地开发程度不一致时，应根据《土地开发程度修正值表》确定开发程度修正值。</w:t>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上述《土地开发程度修正值表》中的土地开发程度修正值为土地面积单价。</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6．区域和个别因素修正系数的确定</w:t>
      </w:r>
    </w:p>
    <w:p>
      <w:pPr>
        <w:adjustRightInd w:val="0"/>
        <w:snapToGri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区域和个别因素修正系数</w:t>
      </w:r>
      <w:r>
        <w:fldChar w:fldCharType="begin"/>
      </w:r>
      <w:r>
        <w:rPr>
          <w:rFonts w:ascii="Times New Roman" w:hAnsi="Times New Roman" w:eastAsia="方正仿宋_GBK"/>
          <w:sz w:val="32"/>
          <w:szCs w:val="32"/>
        </w:rPr>
        <w:instrText xml:space="preserve"> QUOTE </w:instrText>
      </w:r>
      <w:r>
        <w:rPr>
          <w:rFonts w:ascii="Times New Roman" w:hAnsi="Times New Roman" w:eastAsia="方正仿宋_GBK"/>
          <w:sz w:val="32"/>
          <w:szCs w:val="32"/>
        </w:rPr>
        <w:drawing>
          <wp:inline distT="0" distB="0" distL="114300" distR="114300">
            <wp:extent cx="876300" cy="561975"/>
            <wp:effectExtent l="0" t="0" r="0" b="952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876300" cy="561975"/>
                    </a:xfrm>
                    <a:prstGeom prst="rect">
                      <a:avLst/>
                    </a:prstGeom>
                    <a:noFill/>
                    <a:ln w="9525">
                      <a:noFill/>
                    </a:ln>
                  </pic:spPr>
                </pic:pic>
              </a:graphicData>
            </a:graphic>
          </wp:inline>
        </w:drawing>
      </w:r>
      <w:r>
        <w:rPr>
          <w:rFonts w:ascii="Times New Roman" w:hAnsi="Times New Roman" w:eastAsia="方正仿宋_GBK"/>
          <w:sz w:val="32"/>
          <w:szCs w:val="32"/>
        </w:rPr>
        <w:instrText xml:space="preserve"> </w:instrText>
      </w:r>
      <w:r>
        <w:rPr>
          <w:rFonts w:ascii="Times New Roman" w:hAnsi="Times New Roman" w:eastAsia="方正仿宋_GBK"/>
          <w:sz w:val="32"/>
          <w:szCs w:val="32"/>
        </w:rPr>
        <w:fldChar w:fldCharType="separate"/>
      </w:r>
      <w:r>
        <w:rPr>
          <w:rFonts w:ascii="Times New Roman" w:hAnsi="Times New Roman" w:eastAsia="方正仿宋_GBK"/>
          <w:sz w:val="32"/>
          <w:szCs w:val="32"/>
        </w:rPr>
        <w:drawing>
          <wp:inline distT="0" distB="0" distL="114300" distR="114300">
            <wp:extent cx="1026795" cy="488950"/>
            <wp:effectExtent l="0" t="0" r="1905" b="635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026795" cy="488950"/>
                    </a:xfrm>
                    <a:prstGeom prst="rect">
                      <a:avLst/>
                    </a:prstGeom>
                    <a:noFill/>
                    <a:ln w="9525">
                      <a:noFill/>
                    </a:ln>
                  </pic:spPr>
                </pic:pic>
              </a:graphicData>
            </a:graphic>
          </wp:inline>
        </w:drawing>
      </w:r>
      <w:r>
        <w:rPr>
          <w:rFonts w:ascii="Times New Roman" w:hAnsi="Times New Roman" w:eastAsia="方正仿宋_GBK"/>
          <w:sz w:val="32"/>
          <w:szCs w:val="32"/>
        </w:rPr>
        <w:fldChar w:fldCharType="end"/>
      </w: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按照《区域和个别因素修正系数表》，根据宗地各种因素情况确定每种因素的修正系数，应用上述公式测算宗地的区域和个别因素修正系数。</w:t>
      </w:r>
      <m:oMath>
        <m:sSub>
          <m:sSubPr>
            <m:ctrlPr>
              <w:rPr>
                <w:rFonts w:ascii="Cambria Math" w:hAnsi="Cambria Math" w:eastAsia="仿宋_GB2312"/>
                <w:sz w:val="28"/>
                <w:szCs w:val="28"/>
              </w:rPr>
            </m:ctrlPr>
          </m:sSubPr>
          <m:e>
            <m:r>
              <w:rPr>
                <w:rFonts w:ascii="Cambria Math" w:hAnsi="Cambria Math" w:eastAsia="仿宋_GB2312"/>
                <w:sz w:val="28"/>
                <w:szCs w:val="28"/>
              </w:rPr>
              <m:t>K</m:t>
            </m:r>
          </m:e>
          <m:sub>
            <m:r>
              <w:rPr>
                <w:rFonts w:ascii="Cambria Math" w:hAnsi="Cambria Math" w:eastAsia="仿宋_GB2312"/>
                <w:sz w:val="28"/>
                <w:szCs w:val="28"/>
              </w:rPr>
              <m:t>i</m:t>
            </m:r>
          </m:sub>
        </m:sSub>
      </m:oMath>
      <w:r>
        <w:rPr>
          <w:rFonts w:ascii="Times New Roman" w:hAnsi="Times New Roman" w:eastAsia="方正仿宋_GBK"/>
          <w:sz w:val="32"/>
          <w:szCs w:val="32"/>
        </w:rPr>
        <w:t>为第i种因素的修正系数。</w:t>
      </w:r>
    </w:p>
    <w:p>
      <w:pPr>
        <w:adjustRightInd w:val="0"/>
        <w:snapToGrid w:val="0"/>
        <w:spacing w:line="560" w:lineRule="exact"/>
        <w:ind w:firstLine="640" w:firstLineChars="200"/>
        <w:rPr>
          <w:rFonts w:ascii="Times New Roman" w:hAnsi="Times New Roman" w:eastAsia="方正仿宋_GBK"/>
          <w:sz w:val="32"/>
          <w:szCs w:val="32"/>
        </w:rPr>
      </w:pPr>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附表：1．容积率修正系数表</w:t>
      </w:r>
    </w:p>
    <w:p>
      <w:pPr>
        <w:adjustRightInd w:val="0"/>
        <w:snapToGrid w:val="0"/>
        <w:spacing w:line="560" w:lineRule="exact"/>
        <w:ind w:firstLine="1622" w:firstLineChars="507"/>
        <w:rPr>
          <w:rFonts w:ascii="Times New Roman" w:hAnsi="Times New Roman" w:eastAsia="方正仿宋_GBK"/>
          <w:sz w:val="32"/>
          <w:szCs w:val="32"/>
        </w:rPr>
      </w:pPr>
      <w:r>
        <w:rPr>
          <w:rFonts w:ascii="Times New Roman" w:hAnsi="Times New Roman" w:eastAsia="方正仿宋_GBK"/>
          <w:sz w:val="32"/>
          <w:szCs w:val="32"/>
        </w:rPr>
        <w:t>2．土地开发程度修正值表</w:t>
      </w:r>
    </w:p>
    <w:p>
      <w:pPr>
        <w:adjustRightInd w:val="0"/>
        <w:snapToGrid w:val="0"/>
        <w:spacing w:line="560" w:lineRule="exact"/>
        <w:ind w:firstLine="1622" w:firstLineChars="507"/>
        <w:rPr>
          <w:rFonts w:ascii="Times New Roman" w:hAnsi="Times New Roman" w:eastAsia="方正仿宋_GBK"/>
          <w:sz w:val="32"/>
          <w:szCs w:val="32"/>
        </w:rPr>
      </w:pPr>
      <w:r>
        <w:rPr>
          <w:rFonts w:ascii="Times New Roman" w:hAnsi="Times New Roman" w:eastAsia="方正仿宋_GBK"/>
          <w:sz w:val="32"/>
          <w:szCs w:val="32"/>
        </w:rPr>
        <w:t>3.  土地使用年期修正指数</w:t>
      </w:r>
    </w:p>
    <w:p>
      <w:pPr>
        <w:adjustRightInd w:val="0"/>
        <w:snapToGrid w:val="0"/>
        <w:spacing w:line="560" w:lineRule="exact"/>
        <w:ind w:firstLine="1622" w:firstLineChars="507"/>
        <w:rPr>
          <w:rFonts w:ascii="Times New Roman" w:hAnsi="Times New Roman" w:eastAsia="方正仿宋_GBK"/>
          <w:sz w:val="32"/>
          <w:szCs w:val="32"/>
        </w:rPr>
      </w:pPr>
      <w:r>
        <w:rPr>
          <w:rFonts w:ascii="Times New Roman" w:hAnsi="Times New Roman" w:eastAsia="方正仿宋_GBK"/>
          <w:sz w:val="32"/>
          <w:szCs w:val="32"/>
        </w:rPr>
        <w:t xml:space="preserve">4．区域和个别因素修正系数表 </w:t>
      </w:r>
    </w:p>
    <w:p>
      <w:pPr>
        <w:adjustRightInd w:val="0"/>
        <w:snapToGrid w:val="0"/>
        <w:spacing w:line="560" w:lineRule="exact"/>
        <w:rPr>
          <w:rFonts w:hint="eastAsia" w:ascii="Times New Roman" w:hAnsi="Times New Roman" w:eastAsia="仿宋"/>
          <w:bCs/>
          <w:kern w:val="0"/>
          <w:sz w:val="28"/>
          <w:szCs w:val="28"/>
        </w:rPr>
      </w:pPr>
    </w:p>
    <w:p>
      <w:pPr>
        <w:adjustRightInd w:val="0"/>
        <w:snapToGrid w:val="0"/>
        <w:spacing w:line="560" w:lineRule="exact"/>
        <w:rPr>
          <w:rFonts w:hint="eastAsia" w:ascii="Times New Roman" w:hAnsi="Times New Roman" w:eastAsia="仿宋"/>
          <w:bCs/>
          <w:kern w:val="0"/>
          <w:sz w:val="28"/>
          <w:szCs w:val="28"/>
        </w:rPr>
      </w:pPr>
    </w:p>
    <w:p>
      <w:pPr>
        <w:adjustRightInd w:val="0"/>
        <w:snapToGrid w:val="0"/>
        <w:spacing w:line="560" w:lineRule="exact"/>
        <w:rPr>
          <w:rFonts w:hint="eastAsia" w:ascii="Times New Roman" w:hAnsi="Times New Roman" w:eastAsia="仿宋"/>
          <w:bCs/>
          <w:kern w:val="0"/>
          <w:sz w:val="28"/>
          <w:szCs w:val="28"/>
        </w:rPr>
      </w:pPr>
    </w:p>
    <w:p>
      <w:pPr>
        <w:adjustRightInd w:val="0"/>
        <w:snapToGrid w:val="0"/>
        <w:spacing w:line="560" w:lineRule="exact"/>
        <w:rPr>
          <w:rFonts w:hint="eastAsia" w:ascii="Times New Roman" w:hAnsi="Times New Roman" w:eastAsia="仿宋"/>
          <w:bCs/>
          <w:kern w:val="0"/>
          <w:sz w:val="28"/>
          <w:szCs w:val="28"/>
        </w:rPr>
      </w:pPr>
    </w:p>
    <w:p>
      <w:pPr>
        <w:adjustRightInd w:val="0"/>
        <w:snapToGrid w:val="0"/>
        <w:spacing w:line="560" w:lineRule="exact"/>
        <w:rPr>
          <w:rFonts w:hint="eastAsia" w:ascii="Times New Roman" w:hAnsi="Times New Roman" w:eastAsia="仿宋"/>
          <w:bCs/>
          <w:kern w:val="0"/>
          <w:sz w:val="28"/>
          <w:szCs w:val="28"/>
        </w:rPr>
      </w:pPr>
    </w:p>
    <w:p>
      <w:pPr>
        <w:adjustRightInd w:val="0"/>
        <w:snapToGrid w:val="0"/>
        <w:spacing w:line="560" w:lineRule="exact"/>
        <w:rPr>
          <w:rFonts w:hint="eastAsia" w:ascii="方正黑体_GBK" w:hAnsi="Times New Roman" w:eastAsia="方正黑体_GBK"/>
          <w:bCs/>
          <w:kern w:val="0"/>
          <w:sz w:val="32"/>
          <w:szCs w:val="32"/>
        </w:rPr>
      </w:pPr>
    </w:p>
    <w:p>
      <w:pPr>
        <w:adjustRightInd w:val="0"/>
        <w:snapToGrid w:val="0"/>
        <w:spacing w:line="560" w:lineRule="exact"/>
        <w:rPr>
          <w:rFonts w:hint="eastAsia" w:ascii="方正黑体_GBK" w:hAnsi="Times New Roman" w:eastAsia="方正黑体_GBK"/>
          <w:bCs/>
          <w:kern w:val="0"/>
          <w:sz w:val="32"/>
          <w:szCs w:val="32"/>
        </w:rPr>
      </w:pPr>
    </w:p>
    <w:p>
      <w:pPr>
        <w:adjustRightInd w:val="0"/>
        <w:snapToGrid w:val="0"/>
        <w:spacing w:line="560" w:lineRule="exact"/>
        <w:rPr>
          <w:rFonts w:hint="eastAsia" w:ascii="方正黑体_GBK" w:hAnsi="Times New Roman" w:eastAsia="方正黑体_GBK"/>
          <w:bCs/>
          <w:kern w:val="0"/>
          <w:sz w:val="32"/>
          <w:szCs w:val="32"/>
        </w:rPr>
      </w:pPr>
      <w:r>
        <w:rPr>
          <w:rFonts w:hint="eastAsia" w:ascii="方正黑体_GBK" w:hAnsi="Times New Roman" w:eastAsia="方正黑体_GBK"/>
          <w:bCs/>
          <w:kern w:val="0"/>
          <w:sz w:val="32"/>
          <w:szCs w:val="32"/>
        </w:rPr>
        <w:t>附表1</w:t>
      </w:r>
    </w:p>
    <w:p>
      <w:pPr>
        <w:adjustRightInd w:val="0"/>
        <w:snapToGrid w:val="0"/>
        <w:spacing w:line="560" w:lineRule="exact"/>
        <w:ind w:firstLine="720" w:firstLineChars="200"/>
        <w:jc w:val="center"/>
        <w:rPr>
          <w:rFonts w:hint="eastAsia" w:ascii="方正小标宋_GBK" w:hAnsi="Times New Roman" w:eastAsia="方正小标宋_GBK"/>
          <w:bCs/>
          <w:sz w:val="36"/>
          <w:szCs w:val="36"/>
        </w:rPr>
      </w:pPr>
      <w:r>
        <w:rPr>
          <w:rFonts w:hint="eastAsia" w:ascii="方正小标宋_GBK" w:hAnsi="Times New Roman" w:eastAsia="方正小标宋_GBK"/>
          <w:sz w:val="36"/>
          <w:szCs w:val="36"/>
        </w:rPr>
        <w:t>商服用地容积率修正系数表</w:t>
      </w:r>
    </w:p>
    <w:tbl>
      <w:tblPr>
        <w:tblStyle w:val="4"/>
        <w:tblW w:w="913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472"/>
        <w:gridCol w:w="1472"/>
        <w:gridCol w:w="1472"/>
        <w:gridCol w:w="1472"/>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77"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容积率</w:t>
            </w:r>
          </w:p>
        </w:tc>
        <w:tc>
          <w:tcPr>
            <w:tcW w:w="1472"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472"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472"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1472"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1469"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77"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1472"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0.83</w:t>
            </w:r>
          </w:p>
        </w:tc>
        <w:tc>
          <w:tcPr>
            <w:tcW w:w="1472"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1.00</w:t>
            </w:r>
          </w:p>
        </w:tc>
        <w:tc>
          <w:tcPr>
            <w:tcW w:w="1472"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1.12</w:t>
            </w:r>
          </w:p>
        </w:tc>
        <w:tc>
          <w:tcPr>
            <w:tcW w:w="1472"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1.30</w:t>
            </w:r>
          </w:p>
        </w:tc>
        <w:tc>
          <w:tcPr>
            <w:tcW w:w="1469"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1.44</w:t>
            </w:r>
          </w:p>
        </w:tc>
      </w:tr>
    </w:tbl>
    <w:p>
      <w:pPr>
        <w:adjustRightInd w:val="0"/>
        <w:snapToGrid w:val="0"/>
        <w:spacing w:line="560" w:lineRule="exact"/>
        <w:ind w:firstLine="562" w:firstLineChars="200"/>
        <w:jc w:val="center"/>
        <w:rPr>
          <w:rFonts w:ascii="Times New Roman" w:hAnsi="Times New Roman" w:eastAsia="仿宋_GB2312"/>
          <w:b/>
          <w:sz w:val="28"/>
          <w:szCs w:val="28"/>
        </w:rPr>
      </w:pPr>
    </w:p>
    <w:p>
      <w:pPr>
        <w:adjustRightInd w:val="0"/>
        <w:snapToGrid w:val="0"/>
        <w:spacing w:line="560" w:lineRule="exact"/>
        <w:ind w:firstLine="720" w:firstLineChars="200"/>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公共管理与公共服务用地容积率修正系数表</w:t>
      </w:r>
    </w:p>
    <w:tbl>
      <w:tblPr>
        <w:tblStyle w:val="4"/>
        <w:tblW w:w="913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1474"/>
        <w:gridCol w:w="1474"/>
        <w:gridCol w:w="1474"/>
        <w:gridCol w:w="1474"/>
        <w:gridCol w:w="1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jc w:val="center"/>
        </w:trPr>
        <w:tc>
          <w:tcPr>
            <w:tcW w:w="176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黑体" w:eastAsia="黑体"/>
                <w:kern w:val="0"/>
                <w:sz w:val="18"/>
                <w:szCs w:val="18"/>
              </w:rPr>
              <w:t>容积率</w:t>
            </w:r>
          </w:p>
        </w:tc>
        <w:tc>
          <w:tcPr>
            <w:tcW w:w="1474"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474"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474"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1474"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1471"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jc w:val="center"/>
        </w:trPr>
        <w:tc>
          <w:tcPr>
            <w:tcW w:w="1767" w:type="dxa"/>
            <w:tcBorders>
              <w:bottom w:val="single" w:color="auto" w:sz="12" w:space="0"/>
            </w:tcBorders>
            <w:vAlign w:val="center"/>
          </w:tcPr>
          <w:p>
            <w:pPr>
              <w:widowControl/>
              <w:jc w:val="center"/>
              <w:rPr>
                <w:rFonts w:ascii="Times New Roman" w:hAnsi="Times New Roman" w:eastAsia="黑体"/>
                <w:kern w:val="0"/>
                <w:sz w:val="18"/>
                <w:szCs w:val="18"/>
              </w:rPr>
            </w:pPr>
            <w:r>
              <w:rPr>
                <w:rFonts w:ascii="Times New Roman" w:hAnsi="黑体" w:eastAsia="黑体"/>
                <w:kern w:val="0"/>
                <w:sz w:val="18"/>
                <w:szCs w:val="18"/>
              </w:rPr>
              <w:t>修正系数</w:t>
            </w:r>
          </w:p>
        </w:tc>
        <w:tc>
          <w:tcPr>
            <w:tcW w:w="1474"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1.00</w:t>
            </w:r>
          </w:p>
        </w:tc>
        <w:tc>
          <w:tcPr>
            <w:tcW w:w="1474"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1.14</w:t>
            </w:r>
          </w:p>
        </w:tc>
        <w:tc>
          <w:tcPr>
            <w:tcW w:w="1474"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1.26</w:t>
            </w:r>
          </w:p>
        </w:tc>
        <w:tc>
          <w:tcPr>
            <w:tcW w:w="1474"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1.35</w:t>
            </w:r>
          </w:p>
        </w:tc>
        <w:tc>
          <w:tcPr>
            <w:tcW w:w="1471"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1.47</w:t>
            </w:r>
          </w:p>
        </w:tc>
      </w:tr>
    </w:tbl>
    <w:p>
      <w:pPr>
        <w:widowControl/>
        <w:spacing w:line="360" w:lineRule="auto"/>
        <w:rPr>
          <w:rFonts w:ascii="Times New Roman" w:hAnsi="Times New Roman" w:eastAsia="仿宋"/>
          <w:bCs/>
          <w:kern w:val="0"/>
          <w:sz w:val="28"/>
          <w:szCs w:val="28"/>
        </w:rPr>
      </w:pPr>
    </w:p>
    <w:p>
      <w:pPr>
        <w:widowControl/>
        <w:spacing w:line="360" w:lineRule="auto"/>
        <w:rPr>
          <w:rFonts w:hint="eastAsia" w:ascii="方正黑体_GBK" w:hAnsi="Times New Roman" w:eastAsia="方正黑体_GBK"/>
          <w:bCs/>
          <w:kern w:val="0"/>
          <w:sz w:val="32"/>
          <w:szCs w:val="32"/>
        </w:rPr>
      </w:pPr>
      <w:r>
        <w:rPr>
          <w:rFonts w:hint="eastAsia" w:ascii="方正黑体_GBK" w:hAnsi="Times New Roman" w:eastAsia="方正黑体_GBK"/>
          <w:bCs/>
          <w:kern w:val="0"/>
          <w:sz w:val="32"/>
          <w:szCs w:val="32"/>
        </w:rPr>
        <w:t xml:space="preserve">附表2  </w:t>
      </w:r>
    </w:p>
    <w:p>
      <w:pPr>
        <w:widowControl/>
        <w:spacing w:line="360" w:lineRule="auto"/>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土</w:t>
      </w:r>
      <w:bookmarkStart w:id="1" w:name="_Toc461105356"/>
      <w:r>
        <w:rPr>
          <w:rFonts w:hint="eastAsia" w:ascii="方正小标宋_GBK" w:hAnsi="Times New Roman" w:eastAsia="方正小标宋_GBK"/>
          <w:sz w:val="36"/>
          <w:szCs w:val="36"/>
        </w:rPr>
        <w:t>地开发程度修正值表</w:t>
      </w:r>
    </w:p>
    <w:bookmarkEnd w:id="1"/>
    <w:p>
      <w:pPr>
        <w:wordWrap w:val="0"/>
        <w:adjustRightInd w:val="0"/>
        <w:snapToGrid w:val="0"/>
        <w:jc w:val="right"/>
        <w:rPr>
          <w:rFonts w:ascii="Times New Roman" w:hAnsi="Times New Roman" w:eastAsia="黑体"/>
          <w:sz w:val="18"/>
          <w:szCs w:val="18"/>
        </w:rPr>
      </w:pPr>
      <w:r>
        <w:rPr>
          <w:rFonts w:ascii="Times New Roman" w:hAnsi="Times New Roman" w:eastAsia="黑体"/>
          <w:b/>
          <w:bCs/>
          <w:sz w:val="18"/>
          <w:szCs w:val="18"/>
        </w:rPr>
        <w:t xml:space="preserve">       </w:t>
      </w:r>
      <w:r>
        <w:rPr>
          <w:rFonts w:ascii="Times New Roman" w:hAnsi="Times New Roman" w:eastAsia="黑体"/>
          <w:bCs/>
          <w:sz w:val="18"/>
          <w:szCs w:val="18"/>
        </w:rPr>
        <w:t xml:space="preserve">   </w:t>
      </w:r>
      <w:r>
        <w:rPr>
          <w:rFonts w:ascii="Times New Roman" w:hAnsi="黑体" w:eastAsia="黑体"/>
          <w:bCs/>
          <w:sz w:val="18"/>
          <w:szCs w:val="18"/>
        </w:rPr>
        <w:t>单位：元</w:t>
      </w:r>
      <w:r>
        <w:rPr>
          <w:rFonts w:ascii="Times New Roman" w:hAnsi="Times New Roman" w:eastAsia="黑体"/>
          <w:bCs/>
          <w:sz w:val="18"/>
          <w:szCs w:val="18"/>
        </w:rPr>
        <w:t>/</w:t>
      </w:r>
      <w:r>
        <w:rPr>
          <w:rFonts w:ascii="Times New Roman" w:hAnsi="黑体" w:eastAsia="黑体"/>
          <w:bCs/>
          <w:sz w:val="18"/>
          <w:szCs w:val="18"/>
        </w:rPr>
        <w:t>平方米</w:t>
      </w:r>
    </w:p>
    <w:tbl>
      <w:tblPr>
        <w:tblStyle w:val="4"/>
        <w:tblW w:w="8874" w:type="dxa"/>
        <w:jc w:val="center"/>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719"/>
        <w:gridCol w:w="1333"/>
        <w:gridCol w:w="1333"/>
        <w:gridCol w:w="1331"/>
        <w:gridCol w:w="1791"/>
        <w:gridCol w:w="1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719"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开发程度</w:t>
            </w:r>
          </w:p>
        </w:tc>
        <w:tc>
          <w:tcPr>
            <w:tcW w:w="1333"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通路</w:t>
            </w:r>
          </w:p>
        </w:tc>
        <w:tc>
          <w:tcPr>
            <w:tcW w:w="1333"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通上水</w:t>
            </w:r>
          </w:p>
        </w:tc>
        <w:tc>
          <w:tcPr>
            <w:tcW w:w="1331"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通电</w:t>
            </w:r>
          </w:p>
        </w:tc>
        <w:tc>
          <w:tcPr>
            <w:tcW w:w="1791"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场地平整</w:t>
            </w:r>
          </w:p>
        </w:tc>
        <w:tc>
          <w:tcPr>
            <w:tcW w:w="1367" w:type="dxa"/>
            <w:tcBorders>
              <w:top w:val="single" w:color="auto" w:sz="12" w:space="0"/>
            </w:tcBorders>
            <w:vAlign w:val="center"/>
          </w:tcPr>
          <w:p>
            <w:pPr>
              <w:adjustRightInd w:val="0"/>
              <w:spacing w:line="300" w:lineRule="exact"/>
              <w:jc w:val="center"/>
              <w:rPr>
                <w:rFonts w:ascii="Times New Roman" w:hAnsi="Times New Roman" w:eastAsia="仿宋"/>
                <w:sz w:val="18"/>
                <w:szCs w:val="18"/>
              </w:rPr>
            </w:pPr>
            <w:r>
              <w:rPr>
                <w:rFonts w:ascii="Times New Roman" w:hAnsi="Times New Roman" w:eastAsia="仿宋"/>
                <w:sz w:val="18"/>
                <w:szCs w:val="18"/>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719"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开发费用</w:t>
            </w:r>
          </w:p>
        </w:tc>
        <w:tc>
          <w:tcPr>
            <w:tcW w:w="1333"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20</w:t>
            </w:r>
          </w:p>
        </w:tc>
        <w:tc>
          <w:tcPr>
            <w:tcW w:w="1333"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10</w:t>
            </w:r>
          </w:p>
        </w:tc>
        <w:tc>
          <w:tcPr>
            <w:tcW w:w="1331"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10</w:t>
            </w:r>
          </w:p>
        </w:tc>
        <w:tc>
          <w:tcPr>
            <w:tcW w:w="1791"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25</w:t>
            </w:r>
          </w:p>
        </w:tc>
        <w:tc>
          <w:tcPr>
            <w:tcW w:w="1367" w:type="dxa"/>
            <w:tcBorders>
              <w:bottom w:val="single" w:color="auto" w:sz="12" w:space="0"/>
            </w:tcBorders>
            <w:vAlign w:val="center"/>
          </w:tcPr>
          <w:p>
            <w:pPr>
              <w:spacing w:line="300" w:lineRule="exact"/>
              <w:jc w:val="center"/>
              <w:rPr>
                <w:rFonts w:ascii="Times New Roman" w:hAnsi="Times New Roman" w:eastAsia="仿宋"/>
                <w:sz w:val="18"/>
                <w:szCs w:val="18"/>
              </w:rPr>
            </w:pPr>
            <w:r>
              <w:rPr>
                <w:rFonts w:ascii="Times New Roman" w:hAnsi="Times New Roman" w:eastAsia="仿宋"/>
                <w:sz w:val="18"/>
                <w:szCs w:val="18"/>
              </w:rPr>
              <w:t>65</w:t>
            </w:r>
          </w:p>
        </w:tc>
      </w:tr>
    </w:tbl>
    <w:p>
      <w:pPr>
        <w:widowControl/>
        <w:spacing w:line="360" w:lineRule="auto"/>
        <w:jc w:val="center"/>
        <w:rPr>
          <w:rFonts w:ascii="Times New Roman" w:hAnsi="Times New Roman" w:eastAsia="黑体"/>
          <w:bCs/>
          <w:kern w:val="0"/>
          <w:sz w:val="18"/>
          <w:szCs w:val="18"/>
        </w:rPr>
      </w:pPr>
    </w:p>
    <w:p>
      <w:pPr>
        <w:widowControl/>
        <w:spacing w:line="360" w:lineRule="auto"/>
        <w:rPr>
          <w:rFonts w:hint="eastAsia" w:ascii="方正黑体_GBK" w:hAnsi="Times New Roman" w:eastAsia="方正黑体_GBK"/>
          <w:bCs/>
          <w:kern w:val="0"/>
          <w:sz w:val="32"/>
          <w:szCs w:val="32"/>
        </w:rPr>
      </w:pPr>
      <w:r>
        <w:rPr>
          <w:rFonts w:hint="eastAsia" w:ascii="方正黑体_GBK" w:hAnsi="Times New Roman" w:eastAsia="方正黑体_GBK"/>
          <w:bCs/>
          <w:kern w:val="0"/>
          <w:sz w:val="32"/>
          <w:szCs w:val="32"/>
        </w:rPr>
        <w:t>附表3</w:t>
      </w:r>
    </w:p>
    <w:p>
      <w:pPr>
        <w:adjustRightInd w:val="0"/>
        <w:snapToGrid w:val="0"/>
        <w:spacing w:line="56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商服用地宗地评估土地使用年期修正系数</w:t>
      </w:r>
    </w:p>
    <w:tbl>
      <w:tblPr>
        <w:tblStyle w:val="4"/>
        <w:tblW w:w="85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756"/>
        <w:gridCol w:w="756"/>
        <w:gridCol w:w="756"/>
        <w:gridCol w:w="756"/>
        <w:gridCol w:w="756"/>
        <w:gridCol w:w="756"/>
        <w:gridCol w:w="756"/>
        <w:gridCol w:w="756"/>
        <w:gridCol w:w="756"/>
        <w:gridCol w:w="7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4</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5</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6</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7</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8</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9</w:t>
            </w:r>
          </w:p>
        </w:tc>
        <w:tc>
          <w:tcPr>
            <w:tcW w:w="757"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0.0774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0.1491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0.2155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0.2771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0.3340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0.3868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0.4357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0.4809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0.5228</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0.5617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19</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0.5976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0.6309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0.6618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0.6904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0.7168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0.7413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0.7640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0.7850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0.8045</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0.8226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29</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0.8393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0.8547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0.8691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0.8823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0.8946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0.9060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0.9165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0.9263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0.9353</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0.9437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39</w:t>
            </w:r>
          </w:p>
        </w:tc>
        <w:tc>
          <w:tcPr>
            <w:tcW w:w="757" w:type="dxa"/>
            <w:vAlign w:val="center"/>
          </w:tcPr>
          <w:p>
            <w:pPr>
              <w:jc w:val="center"/>
              <w:rPr>
                <w:rFonts w:ascii="Times New Roman" w:hAnsi="Times New Roman"/>
                <w:color w:val="000000"/>
                <w:sz w:val="18"/>
                <w:szCs w:val="18"/>
              </w:rPr>
            </w:pPr>
            <w:r>
              <w:rPr>
                <w:rFonts w:ascii="Times New Roman" w:hAnsi="Times New Roman"/>
                <w:color w:val="00000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959"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0.9515</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0.9587</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0.9653</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0.9715</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0.9772</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0.9825</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0.9874</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0.9919</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0.9961</w:t>
            </w:r>
          </w:p>
        </w:tc>
        <w:tc>
          <w:tcPr>
            <w:tcW w:w="757"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1.0000</w:t>
            </w:r>
          </w:p>
        </w:tc>
      </w:tr>
    </w:tbl>
    <w:p>
      <w:pPr>
        <w:adjustRightInd w:val="0"/>
        <w:snapToGrid w:val="0"/>
        <w:spacing w:line="560" w:lineRule="exact"/>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工矿仓储用地宗地评估土地使用年期修正系数</w:t>
      </w:r>
    </w:p>
    <w:tbl>
      <w:tblPr>
        <w:tblStyle w:val="4"/>
        <w:tblW w:w="85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756"/>
        <w:gridCol w:w="756"/>
        <w:gridCol w:w="756"/>
        <w:gridCol w:w="756"/>
        <w:gridCol w:w="756"/>
        <w:gridCol w:w="756"/>
        <w:gridCol w:w="756"/>
        <w:gridCol w:w="756"/>
        <w:gridCol w:w="756"/>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960"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4</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5</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6</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7</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8</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9</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0.0638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0.1236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0.1799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0.2327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0.2822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0.3288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0.3725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0.4135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0.4520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0.4882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0.5222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0.5541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0.5840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0.6122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0.6386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0.6634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0.6866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0.7085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0.7290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0.7483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0.7664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0.7834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0.7994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0.8143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0.8284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0.8416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0.8540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0.8657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0.8766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0.8965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0.9056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0.9141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0.9220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0.9295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0.9366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0.9432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0.9494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0.9552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0.9658</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0.9706</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0.9752</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0.9794</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0.9834</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0.9872</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0.9907</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0.9940</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0.9971</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1.0000</w:t>
            </w:r>
          </w:p>
        </w:tc>
      </w:tr>
    </w:tbl>
    <w:p>
      <w:pPr>
        <w:adjustRightInd w:val="0"/>
        <w:snapToGrid w:val="0"/>
        <w:spacing w:line="560" w:lineRule="exact"/>
        <w:jc w:val="center"/>
        <w:rPr>
          <w:rFonts w:ascii="Times New Roman" w:hAnsi="Times New Roman" w:eastAsia="仿宋_GB2312"/>
          <w:b/>
          <w:sz w:val="28"/>
          <w:szCs w:val="28"/>
        </w:rPr>
      </w:pPr>
    </w:p>
    <w:p>
      <w:pPr>
        <w:widowControl/>
        <w:jc w:val="center"/>
        <w:rPr>
          <w:rFonts w:hint="eastAsia" w:ascii="方正小标宋_GBK" w:hAnsi="Times New Roman" w:eastAsia="方正小标宋_GBK"/>
          <w:sz w:val="36"/>
          <w:szCs w:val="36"/>
        </w:rPr>
      </w:pPr>
      <w:r>
        <w:rPr>
          <w:rFonts w:hint="eastAsia" w:ascii="方正小标宋_GBK" w:hAnsi="Times New Roman" w:eastAsia="方正小标宋_GBK"/>
          <w:sz w:val="34"/>
          <w:szCs w:val="36"/>
        </w:rPr>
        <w:t>公共管理与公共服务用地宗地评估土地使用年期修正系数</w:t>
      </w:r>
    </w:p>
    <w:tbl>
      <w:tblPr>
        <w:tblStyle w:val="4"/>
        <w:tblW w:w="85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0"/>
        <w:gridCol w:w="756"/>
        <w:gridCol w:w="756"/>
        <w:gridCol w:w="756"/>
        <w:gridCol w:w="756"/>
        <w:gridCol w:w="756"/>
        <w:gridCol w:w="756"/>
        <w:gridCol w:w="756"/>
        <w:gridCol w:w="756"/>
        <w:gridCol w:w="756"/>
        <w:gridCol w:w="7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960"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4</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5</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6</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7</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8</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9</w:t>
            </w:r>
          </w:p>
        </w:tc>
        <w:tc>
          <w:tcPr>
            <w:tcW w:w="756" w:type="dxa"/>
            <w:tcBorders>
              <w:top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0.0657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0.1273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0.1850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0.2391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0.2897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0.3371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0.3815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0.4231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0.4621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19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0.5329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0.5649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0.5949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0.6230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0.6494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0.6741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0.6972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0.7188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0.7391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29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0.7759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0.7926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0.8082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0.8229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0.8366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0.8494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0.8615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0.8727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0.8833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0.8932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39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0.9024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0.9111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0.9192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0.9269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0.9340</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0.9407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0.9469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0.9528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0.9583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0.9634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使用年期</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41</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42</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43</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44</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45</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46</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47</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48</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49</w:t>
            </w:r>
          </w:p>
        </w:tc>
        <w:tc>
          <w:tcPr>
            <w:tcW w:w="756" w:type="dxa"/>
            <w:vAlign w:val="center"/>
          </w:tcPr>
          <w:p>
            <w:pPr>
              <w:jc w:val="center"/>
              <w:rPr>
                <w:rFonts w:ascii="Times New Roman" w:hAnsi="Times New Roman"/>
                <w:color w:val="000000"/>
                <w:sz w:val="18"/>
                <w:szCs w:val="18"/>
              </w:rPr>
            </w:pPr>
            <w:r>
              <w:rPr>
                <w:rFonts w:ascii="Times New Roman" w:hAnsi="Times New Roman"/>
                <w:color w:val="000000"/>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60"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修正系数</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0.9683</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0.9728</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0.9770</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0.9810</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0.9847</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0.9882</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0.9914</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0.9945</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0.9973</w:t>
            </w:r>
          </w:p>
        </w:tc>
        <w:tc>
          <w:tcPr>
            <w:tcW w:w="756" w:type="dxa"/>
            <w:tcBorders>
              <w:bottom w:val="single" w:color="auto" w:sz="12"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1.0000</w:t>
            </w:r>
          </w:p>
        </w:tc>
      </w:tr>
    </w:tbl>
    <w:p>
      <w:pPr>
        <w:widowControl/>
        <w:jc w:val="left"/>
        <w:rPr>
          <w:rFonts w:ascii="Times New Roman" w:hAnsi="Times New Roman" w:eastAsia="仿宋"/>
          <w:bCs/>
          <w:kern w:val="0"/>
          <w:sz w:val="28"/>
          <w:szCs w:val="28"/>
        </w:rPr>
      </w:pPr>
    </w:p>
    <w:p>
      <w:pPr>
        <w:widowControl/>
        <w:spacing w:line="360" w:lineRule="auto"/>
        <w:jc w:val="center"/>
        <w:rPr>
          <w:rFonts w:ascii="Times New Roman" w:hAnsi="Times New Roman" w:eastAsia="黑体"/>
          <w:bCs/>
          <w:kern w:val="0"/>
          <w:sz w:val="18"/>
          <w:szCs w:val="18"/>
        </w:rPr>
      </w:pPr>
    </w:p>
    <w:p>
      <w:pPr>
        <w:widowControl/>
        <w:jc w:val="left"/>
        <w:rPr>
          <w:rFonts w:hint="eastAsia" w:ascii="方正黑体_GBK" w:hAnsi="Times New Roman" w:eastAsia="方正黑体_GBK"/>
          <w:bCs/>
          <w:kern w:val="0"/>
          <w:sz w:val="32"/>
          <w:szCs w:val="32"/>
        </w:rPr>
      </w:pPr>
      <w:r>
        <w:rPr>
          <w:rFonts w:ascii="Times New Roman" w:hAnsi="Times New Roman" w:eastAsia="仿宋"/>
          <w:bCs/>
          <w:kern w:val="0"/>
          <w:sz w:val="28"/>
          <w:szCs w:val="28"/>
        </w:rPr>
        <w:br w:type="page"/>
      </w:r>
      <w:r>
        <w:rPr>
          <w:rFonts w:hint="eastAsia" w:ascii="方正黑体_GBK" w:hAnsi="Times New Roman" w:eastAsia="方正黑体_GBK"/>
          <w:bCs/>
          <w:kern w:val="0"/>
          <w:sz w:val="32"/>
          <w:szCs w:val="32"/>
        </w:rPr>
        <w:t>附表4</w:t>
      </w:r>
    </w:p>
    <w:p>
      <w:pPr>
        <w:widowControl/>
        <w:jc w:val="center"/>
        <w:rPr>
          <w:rFonts w:hint="eastAsia" w:ascii="方正小标宋_GBK" w:hAnsi="Times New Roman" w:eastAsia="方正小标宋_GBK"/>
          <w:sz w:val="36"/>
          <w:szCs w:val="36"/>
        </w:rPr>
      </w:pPr>
      <w:r>
        <w:rPr>
          <w:rFonts w:hint="eastAsia" w:ascii="方正小标宋_GBK" w:hAnsi="Times New Roman" w:eastAsia="方正小标宋_GBK"/>
          <w:sz w:val="36"/>
          <w:szCs w:val="36"/>
        </w:rPr>
        <w:t>区域和个别因素修正系数表</w:t>
      </w:r>
    </w:p>
    <w:p>
      <w:pPr>
        <w:widowControl/>
        <w:spacing w:line="360" w:lineRule="auto"/>
        <w:jc w:val="center"/>
        <w:rPr>
          <w:rFonts w:ascii="Times New Roman" w:hAnsi="Times New Roman" w:eastAsia="仿宋"/>
          <w:bCs/>
          <w:kern w:val="0"/>
          <w:sz w:val="24"/>
          <w:szCs w:val="24"/>
        </w:rPr>
      </w:pPr>
      <w:r>
        <w:rPr>
          <w:rFonts w:ascii="Times New Roman" w:hAnsi="Times New Roman" w:eastAsia="仿宋"/>
          <w:bCs/>
          <w:kern w:val="0"/>
          <w:sz w:val="24"/>
          <w:szCs w:val="24"/>
        </w:rPr>
        <w:t>1-3级商服用地基准地价修正因素指标说明表</w:t>
      </w:r>
    </w:p>
    <w:tbl>
      <w:tblPr>
        <w:tblStyle w:val="4"/>
        <w:tblW w:w="91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
        <w:gridCol w:w="650"/>
        <w:gridCol w:w="1625"/>
        <w:gridCol w:w="1268"/>
        <w:gridCol w:w="1372"/>
        <w:gridCol w:w="1269"/>
        <w:gridCol w:w="1268"/>
        <w:gridCol w:w="1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2689" w:type="dxa"/>
            <w:gridSpan w:val="3"/>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宗地修正因素</w:t>
            </w:r>
          </w:p>
        </w:tc>
        <w:tc>
          <w:tcPr>
            <w:tcW w:w="1268" w:type="dxa"/>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优</w:t>
            </w:r>
          </w:p>
        </w:tc>
        <w:tc>
          <w:tcPr>
            <w:tcW w:w="1372" w:type="dxa"/>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较优</w:t>
            </w:r>
          </w:p>
        </w:tc>
        <w:tc>
          <w:tcPr>
            <w:tcW w:w="1269" w:type="dxa"/>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一般</w:t>
            </w:r>
          </w:p>
        </w:tc>
        <w:tc>
          <w:tcPr>
            <w:tcW w:w="1268" w:type="dxa"/>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较差</w:t>
            </w:r>
          </w:p>
        </w:tc>
        <w:tc>
          <w:tcPr>
            <w:tcW w:w="1266" w:type="dxa"/>
            <w:tcBorders>
              <w:top w:val="single" w:color="auto" w:sz="12" w:space="0"/>
            </w:tcBorders>
            <w:vAlign w:val="center"/>
          </w:tcPr>
          <w:p>
            <w:pPr>
              <w:widowControl/>
              <w:adjustRightInd w:val="0"/>
              <w:snapToGrid w:val="0"/>
              <w:spacing w:line="240" w:lineRule="atLeast"/>
              <w:jc w:val="center"/>
              <w:rPr>
                <w:rFonts w:ascii="Times New Roman" w:hAnsi="Times New Roman" w:eastAsia="黑体"/>
                <w:kern w:val="0"/>
                <w:sz w:val="18"/>
                <w:szCs w:val="18"/>
              </w:rPr>
            </w:pPr>
            <w:r>
              <w:rPr>
                <w:rFonts w:ascii="Times New Roman" w:hAnsi="Times New Roman" w:eastAsia="黑体"/>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restart"/>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650" w:type="dxa"/>
            <w:vMerge w:val="restart"/>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商服繁华度</w:t>
            </w: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距离商服中心距离</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＜500米</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500-1000米</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2000-4000米</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＞4000米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商服网点密度</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密集</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较密集</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较不密集</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不密集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restart"/>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有生活型主干道通过</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有混合型主干道通过</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有生活型次干道通过</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交通型道路通过</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公交便捷度</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3条以上公交线路通过</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3条公交线路</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2条公交线路</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1条公交线路</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无公交线路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距火车站距离</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＜2000米</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2000-3000米</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3000-4500米</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4500-6000米</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＞6000米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距汽车客运站距离</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＜1000米</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2000-3000米</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3000-5000米</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距高速路出入口距离</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＜1000米</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2000-3000米</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3000-5000米</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restart"/>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高</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较高</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较低</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100-125</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125-150</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150-200</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650" w:type="dxa"/>
            <w:vAlign w:val="center"/>
          </w:tcPr>
          <w:p>
            <w:pPr>
              <w:widowControl/>
              <w:adjustRightInd w:val="0"/>
              <w:snapToGrid w:val="0"/>
              <w:spacing w:line="240" w:lineRule="atLeast"/>
              <w:jc w:val="left"/>
              <w:rPr>
                <w:rFonts w:ascii="Times New Roman" w:hAnsi="Times New Roman" w:eastAsia="仿宋"/>
                <w:kern w:val="0"/>
                <w:sz w:val="18"/>
                <w:szCs w:val="18"/>
              </w:rPr>
            </w:pPr>
            <w:r>
              <w:rPr>
                <w:rFonts w:ascii="Times New Roman" w:hAnsi="Times New Roman" w:eastAsia="仿宋"/>
                <w:kern w:val="0"/>
                <w:sz w:val="18"/>
                <w:szCs w:val="18"/>
              </w:rPr>
              <w:t>基础设施</w:t>
            </w:r>
          </w:p>
        </w:tc>
        <w:tc>
          <w:tcPr>
            <w:tcW w:w="1625"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供水、供电设施齐备，保障度高</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供水、供电设施齐备，保障度较高</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供水、供电设施基本齐备，有一定保障</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供水、供电设施不齐备，保障度较低</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人口状况（客流量万人次/日）</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高</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较高</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较低</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规划状况</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有利</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较有利</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无影响</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较不利</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restart"/>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距公交站点的距离</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＜300米</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300-500米</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500-800米</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800-1000米</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＞1000米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tcBorders>
              <w:bottom w:val="single" w:color="auto" w:sz="12" w:space="0"/>
            </w:tcBorders>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临街道路类型</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主干道</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次干道</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支路</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小区道路</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规划道路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tcBorders>
              <w:bottom w:val="single" w:color="auto" w:sz="12" w:space="0"/>
            </w:tcBorders>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宗地临街状况</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三面临街</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两面临街</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一面临街</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袋地</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袋地（严重影响利用）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tcBorders>
              <w:bottom w:val="single" w:color="auto" w:sz="12" w:space="0"/>
            </w:tcBorders>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宗地形状</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形状规则，且长边临街</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形状规则，短边临街</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形状较规则，对利用无影响</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形状不规则，对利用有一定影响</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形状不规则，严重影响土地利用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tcBorders>
              <w:bottom w:val="single" w:color="auto" w:sz="12" w:space="0"/>
            </w:tcBorders>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宗地面积</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面积适中利于布局</w:t>
            </w:r>
          </w:p>
        </w:tc>
        <w:tc>
          <w:tcPr>
            <w:tcW w:w="1372"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面积适中较利于布局</w:t>
            </w:r>
          </w:p>
        </w:tc>
        <w:tc>
          <w:tcPr>
            <w:tcW w:w="1269"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适中，对利用无影响</w:t>
            </w:r>
          </w:p>
        </w:tc>
        <w:tc>
          <w:tcPr>
            <w:tcW w:w="1268"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偏大（小），对利用有一定影响</w:t>
            </w:r>
          </w:p>
        </w:tc>
        <w:tc>
          <w:tcPr>
            <w:tcW w:w="1266" w:type="dxa"/>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偏大（小），严重影响土地利用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414" w:type="dxa"/>
            <w:vMerge w:val="continue"/>
            <w:tcBorders>
              <w:bottom w:val="single" w:color="auto" w:sz="12" w:space="0"/>
            </w:tcBorders>
            <w:vAlign w:val="center"/>
          </w:tcPr>
          <w:p>
            <w:pPr>
              <w:widowControl/>
              <w:adjustRightInd w:val="0"/>
              <w:snapToGrid w:val="0"/>
              <w:spacing w:line="240" w:lineRule="atLeast"/>
              <w:jc w:val="left"/>
              <w:rPr>
                <w:rFonts w:ascii="Times New Roman" w:hAnsi="Times New Roman" w:eastAsia="仿宋"/>
                <w:kern w:val="0"/>
                <w:sz w:val="18"/>
                <w:szCs w:val="18"/>
              </w:rPr>
            </w:pPr>
          </w:p>
        </w:tc>
        <w:tc>
          <w:tcPr>
            <w:tcW w:w="2275" w:type="dxa"/>
            <w:gridSpan w:val="2"/>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毗邻土地利用类型</w:t>
            </w:r>
          </w:p>
        </w:tc>
        <w:tc>
          <w:tcPr>
            <w:tcW w:w="1268" w:type="dxa"/>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商业用地</w:t>
            </w:r>
          </w:p>
        </w:tc>
        <w:tc>
          <w:tcPr>
            <w:tcW w:w="1372" w:type="dxa"/>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商住混合用地或住宅用地</w:t>
            </w:r>
          </w:p>
        </w:tc>
        <w:tc>
          <w:tcPr>
            <w:tcW w:w="1269" w:type="dxa"/>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文教机关科研用地</w:t>
            </w:r>
          </w:p>
        </w:tc>
        <w:tc>
          <w:tcPr>
            <w:tcW w:w="1268" w:type="dxa"/>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工业</w:t>
            </w:r>
          </w:p>
        </w:tc>
        <w:tc>
          <w:tcPr>
            <w:tcW w:w="1266" w:type="dxa"/>
            <w:tcBorders>
              <w:bottom w:val="single" w:color="auto" w:sz="12" w:space="0"/>
            </w:tcBorders>
            <w:vAlign w:val="center"/>
          </w:tcPr>
          <w:p>
            <w:pPr>
              <w:widowControl/>
              <w:adjustRightInd w:val="0"/>
              <w:snapToGrid w:val="0"/>
              <w:spacing w:line="240" w:lineRule="atLeast"/>
              <w:jc w:val="center"/>
              <w:rPr>
                <w:rFonts w:ascii="Times New Roman" w:hAnsi="Times New Roman" w:eastAsia="仿宋"/>
                <w:kern w:val="0"/>
                <w:sz w:val="18"/>
                <w:szCs w:val="18"/>
              </w:rPr>
            </w:pPr>
            <w:r>
              <w:rPr>
                <w:rFonts w:ascii="Times New Roman" w:hAnsi="Times New Roman" w:eastAsia="仿宋"/>
                <w:kern w:val="0"/>
                <w:sz w:val="18"/>
                <w:szCs w:val="18"/>
              </w:rPr>
              <w:t>未开发土地</w:t>
            </w:r>
          </w:p>
        </w:tc>
      </w:tr>
    </w:tbl>
    <w:p>
      <w:pPr>
        <w:widowControl/>
        <w:spacing w:line="360" w:lineRule="auto"/>
        <w:jc w:val="center"/>
        <w:rPr>
          <w:rFonts w:ascii="Times New Roman" w:hAnsi="Times New Roman"/>
          <w:b/>
          <w:bCs/>
          <w:kern w:val="0"/>
          <w:szCs w:val="26"/>
        </w:rPr>
      </w:pPr>
    </w:p>
    <w:p>
      <w:pPr>
        <w:widowControl/>
        <w:spacing w:line="360" w:lineRule="auto"/>
        <w:jc w:val="center"/>
        <w:rPr>
          <w:rFonts w:ascii="Times New Roman" w:hAnsi="Times New Roman" w:eastAsia="仿宋"/>
          <w:b/>
          <w:bCs/>
          <w:kern w:val="0"/>
          <w:sz w:val="24"/>
          <w:szCs w:val="24"/>
        </w:rPr>
      </w:pPr>
      <w:r>
        <w:rPr>
          <w:rFonts w:ascii="Times New Roman" w:hAnsi="Times New Roman" w:eastAsia="仿宋"/>
          <w:b/>
          <w:bCs/>
          <w:kern w:val="0"/>
          <w:sz w:val="24"/>
          <w:szCs w:val="24"/>
        </w:rPr>
        <w:t xml:space="preserve"> 1-3级商服用地基准地价修正系数表(%)</w:t>
      </w:r>
    </w:p>
    <w:tbl>
      <w:tblPr>
        <w:tblStyle w:val="4"/>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629"/>
        <w:gridCol w:w="2252"/>
        <w:gridCol w:w="1145"/>
        <w:gridCol w:w="1145"/>
        <w:gridCol w:w="1145"/>
        <w:gridCol w:w="1145"/>
        <w:gridCol w:w="1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338" w:type="dxa"/>
            <w:gridSpan w:val="3"/>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宗地修正因素</w:t>
            </w:r>
          </w:p>
        </w:tc>
        <w:tc>
          <w:tcPr>
            <w:tcW w:w="1145"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优</w:t>
            </w:r>
          </w:p>
        </w:tc>
        <w:tc>
          <w:tcPr>
            <w:tcW w:w="1145"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较优</w:t>
            </w:r>
          </w:p>
        </w:tc>
        <w:tc>
          <w:tcPr>
            <w:tcW w:w="1145"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145"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较差</w:t>
            </w:r>
          </w:p>
        </w:tc>
        <w:tc>
          <w:tcPr>
            <w:tcW w:w="1142" w:type="dxa"/>
            <w:tcBorders>
              <w:top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629"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商服繁华度</w:t>
            </w: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距离商服中心距离(m)</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3.5</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商服网点密度</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公交便捷度</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距火车站距离</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距汽车客运站距离</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距高速路出入口距离</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Merge w:val="continue"/>
            <w:vAlign w:val="center"/>
          </w:tcPr>
          <w:p>
            <w:pPr>
              <w:widowControl/>
              <w:jc w:val="left"/>
              <w:rPr>
                <w:rFonts w:ascii="Times New Roman" w:hAnsi="Times New Roman" w:eastAsia="仿宋"/>
                <w:kern w:val="0"/>
                <w:sz w:val="18"/>
                <w:szCs w:val="18"/>
              </w:rPr>
            </w:pP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629" w:type="dxa"/>
            <w:vAlign w:val="center"/>
          </w:tcPr>
          <w:p>
            <w:pPr>
              <w:widowControl/>
              <w:jc w:val="left"/>
              <w:rPr>
                <w:rFonts w:ascii="Times New Roman" w:hAnsi="Times New Roman" w:eastAsia="仿宋"/>
                <w:kern w:val="0"/>
                <w:sz w:val="18"/>
                <w:szCs w:val="18"/>
              </w:rPr>
            </w:pPr>
            <w:r>
              <w:rPr>
                <w:rFonts w:ascii="Times New Roman" w:hAnsi="Times New Roman" w:eastAsia="仿宋"/>
                <w:kern w:val="0"/>
                <w:sz w:val="18"/>
                <w:szCs w:val="18"/>
              </w:rPr>
              <w:t>基础设施</w:t>
            </w:r>
          </w:p>
        </w:tc>
        <w:tc>
          <w:tcPr>
            <w:tcW w:w="225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人口状况</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规划状况</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距公交站点的距离(m)</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临街道路类型</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宗地临街状况</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宗地形状</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宗地面积</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7" w:type="dxa"/>
            <w:vMerge w:val="continue"/>
            <w:vAlign w:val="center"/>
          </w:tcPr>
          <w:p>
            <w:pPr>
              <w:widowControl/>
              <w:jc w:val="left"/>
              <w:rPr>
                <w:rFonts w:ascii="Times New Roman" w:hAnsi="Times New Roman" w:eastAsia="仿宋"/>
                <w:kern w:val="0"/>
                <w:sz w:val="18"/>
                <w:szCs w:val="18"/>
              </w:rPr>
            </w:pPr>
          </w:p>
        </w:tc>
        <w:tc>
          <w:tcPr>
            <w:tcW w:w="2881"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毗邻土地利用类型</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145"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142" w:type="dxa"/>
            <w:vAlign w:val="center"/>
          </w:tcPr>
          <w:p>
            <w:pPr>
              <w:jc w:val="center"/>
              <w:rPr>
                <w:rFonts w:ascii="Times New Roman" w:hAnsi="Times New Roman"/>
                <w:color w:val="000000"/>
                <w:sz w:val="18"/>
                <w:szCs w:val="18"/>
              </w:rPr>
            </w:pPr>
            <w:r>
              <w:rPr>
                <w:rFonts w:ascii="Times New Roman" w:hAnsi="Times New Roman"/>
                <w:color w:val="000000"/>
                <w:sz w:val="18"/>
                <w:szCs w:val="18"/>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3338" w:type="dxa"/>
            <w:gridSpan w:val="3"/>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调整幅度合计</w:t>
            </w:r>
          </w:p>
        </w:tc>
        <w:tc>
          <w:tcPr>
            <w:tcW w:w="1145" w:type="dxa"/>
            <w:tcBorders>
              <w:bottom w:val="single" w:color="auto" w:sz="12" w:space="0"/>
            </w:tcBorders>
            <w:vAlign w:val="center"/>
          </w:tcPr>
          <w:p>
            <w:pPr>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21</w:t>
            </w:r>
            <w:r>
              <w:rPr>
                <w:rFonts w:ascii="Times New Roman" w:hAnsi="Times New Roman" w:eastAsia="仿宋"/>
                <w:kern w:val="0"/>
                <w:sz w:val="18"/>
                <w:szCs w:val="18"/>
              </w:rPr>
              <w:fldChar w:fldCharType="end"/>
            </w:r>
            <w:r>
              <w:rPr>
                <w:rFonts w:ascii="Times New Roman" w:hAnsi="Times New Roman" w:eastAsia="仿宋"/>
                <w:kern w:val="0"/>
                <w:sz w:val="18"/>
                <w:szCs w:val="18"/>
              </w:rPr>
              <w:t>.0</w:t>
            </w:r>
          </w:p>
        </w:tc>
        <w:tc>
          <w:tcPr>
            <w:tcW w:w="1145" w:type="dxa"/>
            <w:tcBorders>
              <w:bottom w:val="single" w:color="auto" w:sz="12" w:space="0"/>
            </w:tcBorders>
            <w:vAlign w:val="center"/>
          </w:tcPr>
          <w:p>
            <w:pPr>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10.9</w:t>
            </w:r>
            <w:r>
              <w:rPr>
                <w:rFonts w:ascii="Times New Roman" w:hAnsi="Times New Roman" w:eastAsia="仿宋"/>
                <w:kern w:val="0"/>
                <w:sz w:val="18"/>
                <w:szCs w:val="18"/>
              </w:rPr>
              <w:fldChar w:fldCharType="end"/>
            </w:r>
          </w:p>
        </w:tc>
        <w:tc>
          <w:tcPr>
            <w:tcW w:w="1145" w:type="dxa"/>
            <w:tcBorders>
              <w:bottom w:val="single" w:color="auto" w:sz="12" w:space="0"/>
            </w:tcBorders>
            <w:vAlign w:val="center"/>
          </w:tcPr>
          <w:p>
            <w:pPr>
              <w:jc w:val="center"/>
              <w:rPr>
                <w:rFonts w:ascii="Times New Roman" w:hAnsi="Times New Roman" w:eastAsia="仿宋"/>
                <w:kern w:val="0"/>
                <w:sz w:val="18"/>
                <w:szCs w:val="18"/>
              </w:rPr>
            </w:pPr>
            <w:r>
              <w:rPr>
                <w:rFonts w:ascii="Times New Roman" w:hAnsi="Times New Roman" w:eastAsia="仿宋"/>
                <w:kern w:val="0"/>
                <w:sz w:val="18"/>
                <w:szCs w:val="18"/>
              </w:rPr>
              <w:t>0</w:t>
            </w:r>
          </w:p>
        </w:tc>
        <w:tc>
          <w:tcPr>
            <w:tcW w:w="1145" w:type="dxa"/>
            <w:tcBorders>
              <w:bottom w:val="single" w:color="auto" w:sz="12" w:space="0"/>
            </w:tcBorders>
            <w:vAlign w:val="center"/>
          </w:tcPr>
          <w:p>
            <w:pPr>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-10.9</w:t>
            </w:r>
            <w:r>
              <w:rPr>
                <w:rFonts w:ascii="Times New Roman" w:hAnsi="Times New Roman" w:eastAsia="仿宋"/>
                <w:kern w:val="0"/>
                <w:sz w:val="18"/>
                <w:szCs w:val="18"/>
              </w:rPr>
              <w:fldChar w:fldCharType="end"/>
            </w:r>
          </w:p>
        </w:tc>
        <w:tc>
          <w:tcPr>
            <w:tcW w:w="1142" w:type="dxa"/>
            <w:tcBorders>
              <w:bottom w:val="single" w:color="auto" w:sz="12" w:space="0"/>
            </w:tcBorders>
            <w:vAlign w:val="center"/>
          </w:tcPr>
          <w:p>
            <w:pPr>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-21</w:t>
            </w:r>
            <w:r>
              <w:rPr>
                <w:rFonts w:ascii="Times New Roman" w:hAnsi="Times New Roman" w:eastAsia="仿宋"/>
                <w:kern w:val="0"/>
                <w:sz w:val="18"/>
                <w:szCs w:val="18"/>
              </w:rPr>
              <w:fldChar w:fldCharType="end"/>
            </w:r>
            <w:r>
              <w:rPr>
                <w:rFonts w:ascii="Times New Roman" w:hAnsi="Times New Roman" w:eastAsia="仿宋"/>
                <w:kern w:val="0"/>
                <w:sz w:val="18"/>
                <w:szCs w:val="18"/>
              </w:rPr>
              <w:t>.0</w:t>
            </w:r>
          </w:p>
        </w:tc>
      </w:tr>
    </w:tbl>
    <w:p>
      <w:pPr>
        <w:widowControl/>
        <w:spacing w:line="360" w:lineRule="auto"/>
        <w:jc w:val="center"/>
        <w:rPr>
          <w:rFonts w:ascii="Times New Roman" w:hAnsi="Times New Roman" w:eastAsia="仿宋"/>
          <w:b/>
          <w:bCs/>
          <w:sz w:val="24"/>
          <w:szCs w:val="24"/>
        </w:rPr>
      </w:pPr>
      <w:r>
        <w:rPr>
          <w:rFonts w:ascii="Times New Roman" w:hAnsi="Times New Roman"/>
          <w:b/>
          <w:bCs/>
          <w:kern w:val="0"/>
          <w:sz w:val="28"/>
          <w:szCs w:val="26"/>
        </w:rPr>
        <w:br w:type="page"/>
      </w:r>
      <w:r>
        <w:rPr>
          <w:rFonts w:ascii="Times New Roman" w:hAnsi="Times New Roman" w:eastAsia="仿宋"/>
          <w:b/>
          <w:bCs/>
          <w:sz w:val="24"/>
          <w:szCs w:val="24"/>
        </w:rPr>
        <w:t xml:space="preserve"> 1-3级工矿仓储用地基准地价修正因素指标说明表</w:t>
      </w:r>
    </w:p>
    <w:tbl>
      <w:tblPr>
        <w:tblStyle w:val="4"/>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736"/>
        <w:gridCol w:w="1736"/>
        <w:gridCol w:w="1207"/>
        <w:gridCol w:w="1207"/>
        <w:gridCol w:w="1207"/>
        <w:gridCol w:w="1207"/>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3027" w:type="dxa"/>
            <w:gridSpan w:val="3"/>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宗地修正因素</w:t>
            </w:r>
          </w:p>
        </w:tc>
        <w:tc>
          <w:tcPr>
            <w:tcW w:w="120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优</w:t>
            </w:r>
          </w:p>
        </w:tc>
        <w:tc>
          <w:tcPr>
            <w:tcW w:w="120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较优</w:t>
            </w:r>
          </w:p>
        </w:tc>
        <w:tc>
          <w:tcPr>
            <w:tcW w:w="120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一般</w:t>
            </w:r>
          </w:p>
        </w:tc>
        <w:tc>
          <w:tcPr>
            <w:tcW w:w="120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较差</w:t>
            </w:r>
          </w:p>
        </w:tc>
        <w:tc>
          <w:tcPr>
            <w:tcW w:w="1205"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736"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主干道通过，路网密集</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主干道通过，路网稀疏</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次干道通过，路网较密集</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次干道通过，路网稀疏</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道路级别(宽度)</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＞20米</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15-20米</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10-15米</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5-10米</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&lt;5米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距火车货运站的距离</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有铁路专线</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&lt;10公里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10-20公里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20-40公里</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&gt;40公里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距货运港口的</w:t>
            </w:r>
          </w:p>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距离</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自有码头</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10-20公里</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距公路货运站</w:t>
            </w:r>
          </w:p>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距离</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2-5公里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10-20公里</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距高速公路出入口的距离</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&lt;5公里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10-15公里</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15-20公里</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&gt;20公里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基础设施条件</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供水、供电设施齐备，保障度高</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供水、供电设施齐备，保障度较高</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供水、供电设施基本齐备，有一定保障</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供水、供电设施不齐备，保障度较低</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高</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较高</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较低</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center"/>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100-125</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125-150</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150-200</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产业集聚度</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产业集聚类型</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工业集聚区，产业联系紧密</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工业集聚区，产业联系较紧密</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工业集聚区，产业有一定联系</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工业集聚区，产业无联系</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独立工业点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Merge w:val="continue"/>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企业规模(m</w:t>
            </w:r>
            <w:r>
              <w:rPr>
                <w:rFonts w:ascii="Times New Roman" w:hAnsi="Times New Roman" w:eastAsia="仿宋"/>
                <w:kern w:val="0"/>
                <w:sz w:val="18"/>
                <w:szCs w:val="18"/>
                <w:vertAlign w:val="superscript"/>
              </w:rPr>
              <w:t>2</w:t>
            </w:r>
            <w:r>
              <w:rPr>
                <w:rFonts w:ascii="Times New Roman" w:hAnsi="Times New Roman" w:eastAsia="仿宋"/>
                <w:kern w:val="0"/>
                <w:sz w:val="18"/>
                <w:szCs w:val="18"/>
              </w:rPr>
              <w:t>)</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＞10万</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3万-10万</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8千-3万</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3千-8千</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555" w:type="dxa"/>
            <w:vMerge w:val="continue"/>
            <w:vAlign w:val="center"/>
          </w:tcPr>
          <w:p>
            <w:pPr>
              <w:widowControl/>
              <w:jc w:val="left"/>
              <w:rPr>
                <w:rFonts w:ascii="Times New Roman" w:hAnsi="Times New Roman" w:eastAsia="仿宋"/>
                <w:kern w:val="0"/>
                <w:sz w:val="18"/>
                <w:szCs w:val="18"/>
              </w:rPr>
            </w:pPr>
          </w:p>
        </w:tc>
        <w:tc>
          <w:tcPr>
            <w:tcW w:w="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环境条件</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污染状况</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轻微</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较重</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严重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trPr>
        <w:tc>
          <w:tcPr>
            <w:tcW w:w="555" w:type="dxa"/>
            <w:vMerge w:val="continue"/>
            <w:vAlign w:val="center"/>
          </w:tcPr>
          <w:p>
            <w:pPr>
              <w:widowControl/>
              <w:jc w:val="left"/>
              <w:rPr>
                <w:rFonts w:ascii="Times New Roman" w:hAnsi="Times New Roman" w:eastAsia="仿宋"/>
                <w:kern w:val="0"/>
                <w:sz w:val="18"/>
                <w:szCs w:val="18"/>
              </w:rPr>
            </w:pPr>
          </w:p>
        </w:tc>
        <w:tc>
          <w:tcPr>
            <w:tcW w:w="2472"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规划状况</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有利</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较有利</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无影响</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较不利</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91" w:type="dxa"/>
            <w:gridSpan w:val="2"/>
            <w:vMerge w:val="restart"/>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临路状况</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临交通型主干道</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临混合型主干道</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临交通型次干道或混合型次干道</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临生活型道路</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临支路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91" w:type="dxa"/>
            <w:gridSpan w:val="2"/>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宗地形状、面积</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适宜布局</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基本适宜布局</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对布局无影响</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对布局有一定影响</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严重影响布局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trPr>
        <w:tc>
          <w:tcPr>
            <w:tcW w:w="1291" w:type="dxa"/>
            <w:gridSpan w:val="2"/>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173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宗地坡度</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10°-15°</w:t>
            </w:r>
          </w:p>
        </w:tc>
        <w:tc>
          <w:tcPr>
            <w:tcW w:w="1207"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15°-25°</w:t>
            </w:r>
          </w:p>
        </w:tc>
        <w:tc>
          <w:tcPr>
            <w:tcW w:w="120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&gt;25°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91" w:type="dxa"/>
            <w:gridSpan w:val="2"/>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1736"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地质条件</w:t>
            </w:r>
          </w:p>
        </w:tc>
        <w:tc>
          <w:tcPr>
            <w:tcW w:w="1207"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w:t>
            </w:r>
          </w:p>
        </w:tc>
        <w:tc>
          <w:tcPr>
            <w:tcW w:w="1207"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不易发区</w:t>
            </w:r>
          </w:p>
        </w:tc>
        <w:tc>
          <w:tcPr>
            <w:tcW w:w="1207"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低易发区</w:t>
            </w:r>
          </w:p>
        </w:tc>
        <w:tc>
          <w:tcPr>
            <w:tcW w:w="1207"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中易发区</w:t>
            </w:r>
          </w:p>
        </w:tc>
        <w:tc>
          <w:tcPr>
            <w:tcW w:w="1205"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高易发区、极易发区</w:t>
            </w:r>
          </w:p>
        </w:tc>
      </w:tr>
    </w:tbl>
    <w:p>
      <w:pPr>
        <w:widowControl/>
        <w:spacing w:line="240" w:lineRule="exact"/>
        <w:jc w:val="center"/>
        <w:rPr>
          <w:rFonts w:ascii="Times New Roman" w:hAnsi="Times New Roman"/>
          <w:b/>
          <w:bCs/>
          <w:szCs w:val="26"/>
        </w:rPr>
      </w:pPr>
    </w:p>
    <w:p>
      <w:pPr>
        <w:widowControl/>
        <w:spacing w:line="360" w:lineRule="auto"/>
        <w:jc w:val="center"/>
        <w:rPr>
          <w:rFonts w:ascii="Times New Roman" w:hAnsi="Times New Roman" w:eastAsia="仿宋"/>
          <w:b/>
          <w:bCs/>
          <w:sz w:val="24"/>
          <w:szCs w:val="24"/>
        </w:rPr>
      </w:pPr>
      <w:r>
        <w:rPr>
          <w:rFonts w:ascii="Times New Roman" w:hAnsi="Times New Roman"/>
          <w:b/>
          <w:bCs/>
          <w:kern w:val="0"/>
          <w:sz w:val="28"/>
          <w:szCs w:val="26"/>
        </w:rPr>
        <w:br w:type="page"/>
      </w:r>
      <w:r>
        <w:rPr>
          <w:rFonts w:ascii="Times New Roman" w:hAnsi="Times New Roman" w:eastAsia="仿宋"/>
          <w:b/>
          <w:bCs/>
          <w:sz w:val="24"/>
          <w:szCs w:val="24"/>
        </w:rPr>
        <w:t xml:space="preserve"> 1-3级工矿仓储用地基准地价修正系数表(%)</w:t>
      </w:r>
    </w:p>
    <w:tbl>
      <w:tblPr>
        <w:tblStyle w:val="4"/>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3"/>
        <w:gridCol w:w="771"/>
        <w:gridCol w:w="2769"/>
        <w:gridCol w:w="1017"/>
        <w:gridCol w:w="1017"/>
        <w:gridCol w:w="1017"/>
        <w:gridCol w:w="1017"/>
        <w:gridCol w:w="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003" w:type="dxa"/>
            <w:gridSpan w:val="3"/>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宗地修正因素</w:t>
            </w:r>
          </w:p>
        </w:tc>
        <w:tc>
          <w:tcPr>
            <w:tcW w:w="101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优</w:t>
            </w:r>
          </w:p>
        </w:tc>
        <w:tc>
          <w:tcPr>
            <w:tcW w:w="101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较优</w:t>
            </w:r>
          </w:p>
        </w:tc>
        <w:tc>
          <w:tcPr>
            <w:tcW w:w="101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一般</w:t>
            </w:r>
          </w:p>
        </w:tc>
        <w:tc>
          <w:tcPr>
            <w:tcW w:w="1017"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较差</w:t>
            </w:r>
          </w:p>
        </w:tc>
        <w:tc>
          <w:tcPr>
            <w:tcW w:w="989"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771"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2.0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道路级别(宽度)</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距火车货运站的距离</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距货运港口的距离</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距公路货运站距离</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距高速公路出入口的距离</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基础设施条件</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center"/>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产业集聚度</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产业集聚类型</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企业规模(m</w:t>
            </w:r>
            <w:r>
              <w:rPr>
                <w:rFonts w:ascii="Times New Roman" w:hAnsi="Times New Roman" w:eastAsia="仿宋"/>
                <w:kern w:val="0"/>
                <w:sz w:val="18"/>
                <w:szCs w:val="18"/>
                <w:vertAlign w:val="superscript"/>
              </w:rPr>
              <w:t>2</w:t>
            </w:r>
            <w:r>
              <w:rPr>
                <w:rFonts w:ascii="Times New Roman" w:hAnsi="Times New Roman" w:eastAsia="仿宋"/>
                <w:kern w:val="0"/>
                <w:sz w:val="18"/>
                <w:szCs w:val="18"/>
              </w:rPr>
              <w:t>)</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77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环境条件</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污染状况</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63" w:type="dxa"/>
            <w:vMerge w:val="continue"/>
            <w:vAlign w:val="center"/>
          </w:tcPr>
          <w:p>
            <w:pPr>
              <w:widowControl/>
              <w:jc w:val="left"/>
              <w:rPr>
                <w:rFonts w:ascii="Times New Roman" w:hAnsi="Times New Roman" w:eastAsia="仿宋"/>
                <w:kern w:val="0"/>
                <w:sz w:val="18"/>
                <w:szCs w:val="18"/>
              </w:rPr>
            </w:pPr>
          </w:p>
        </w:tc>
        <w:tc>
          <w:tcPr>
            <w:tcW w:w="3540"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总体规划</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34" w:type="dxa"/>
            <w:gridSpan w:val="2"/>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临路状况</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34" w:type="dxa"/>
            <w:gridSpan w:val="2"/>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宗地形状、面积</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34" w:type="dxa"/>
            <w:gridSpan w:val="2"/>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宗地坡度</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234" w:type="dxa"/>
            <w:gridSpan w:val="2"/>
            <w:vMerge w:val="continue"/>
            <w:vAlign w:val="center"/>
          </w:tcPr>
          <w:p>
            <w:pPr>
              <w:widowControl/>
              <w:jc w:val="left"/>
              <w:rPr>
                <w:rFonts w:ascii="Times New Roman" w:hAnsi="Times New Roman" w:eastAsia="仿宋"/>
                <w:kern w:val="0"/>
                <w:sz w:val="18"/>
                <w:szCs w:val="18"/>
              </w:rPr>
            </w:pPr>
          </w:p>
        </w:tc>
        <w:tc>
          <w:tcPr>
            <w:tcW w:w="27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地质条件</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017"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98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4003" w:type="dxa"/>
            <w:gridSpan w:val="3"/>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合计</w:t>
            </w:r>
          </w:p>
        </w:tc>
        <w:tc>
          <w:tcPr>
            <w:tcW w:w="1017" w:type="dxa"/>
            <w:tcBorders>
              <w:bottom w:val="single" w:color="auto" w:sz="12" w:space="0"/>
            </w:tcBorders>
            <w:vAlign w:val="center"/>
          </w:tcPr>
          <w:p>
            <w:pPr>
              <w:widowControl/>
              <w:jc w:val="center"/>
              <w:rPr>
                <w:rFonts w:ascii="Times New Roman" w:hAnsi="Times New Roman"/>
                <w:kern w:val="0"/>
                <w:sz w:val="18"/>
                <w:szCs w:val="18"/>
              </w:rPr>
            </w:pPr>
            <w:r>
              <w:fldChar w:fldCharType="begin"/>
            </w:r>
            <w:r>
              <w:rPr>
                <w:rFonts w:ascii="Times New Roman" w:hAnsi="Times New Roman"/>
                <w:kern w:val="0"/>
                <w:sz w:val="18"/>
                <w:szCs w:val="18"/>
              </w:rPr>
              <w:instrText xml:space="preserve"> =SUM(ABOVE) </w:instrText>
            </w:r>
            <w:r>
              <w:rPr>
                <w:rFonts w:ascii="Times New Roman" w:hAnsi="Times New Roman"/>
                <w:kern w:val="0"/>
                <w:sz w:val="18"/>
                <w:szCs w:val="18"/>
              </w:rPr>
              <w:fldChar w:fldCharType="separate"/>
            </w:r>
            <w:r>
              <w:rPr>
                <w:rFonts w:ascii="Times New Roman" w:hAnsi="Times New Roman"/>
                <w:kern w:val="0"/>
                <w:sz w:val="18"/>
                <w:szCs w:val="18"/>
              </w:rPr>
              <w:t>17</w:t>
            </w:r>
            <w:r>
              <w:rPr>
                <w:rFonts w:ascii="Times New Roman" w:hAnsi="Times New Roman"/>
                <w:kern w:val="0"/>
                <w:sz w:val="18"/>
                <w:szCs w:val="18"/>
              </w:rPr>
              <w:fldChar w:fldCharType="end"/>
            </w:r>
            <w:r>
              <w:rPr>
                <w:rFonts w:ascii="Times New Roman" w:hAnsi="Times New Roman"/>
                <w:kern w:val="0"/>
                <w:sz w:val="18"/>
                <w:szCs w:val="18"/>
              </w:rPr>
              <w:t>.0</w:t>
            </w:r>
          </w:p>
        </w:tc>
        <w:tc>
          <w:tcPr>
            <w:tcW w:w="1017" w:type="dxa"/>
            <w:tcBorders>
              <w:bottom w:val="single" w:color="auto" w:sz="12" w:space="0"/>
            </w:tcBorders>
            <w:vAlign w:val="center"/>
          </w:tcPr>
          <w:p>
            <w:pPr>
              <w:widowControl/>
              <w:jc w:val="center"/>
              <w:rPr>
                <w:rFonts w:ascii="Times New Roman" w:hAnsi="Times New Roman"/>
                <w:kern w:val="0"/>
                <w:sz w:val="18"/>
                <w:szCs w:val="18"/>
              </w:rPr>
            </w:pPr>
            <w:r>
              <w:fldChar w:fldCharType="begin"/>
            </w:r>
            <w:r>
              <w:rPr>
                <w:rFonts w:ascii="Times New Roman" w:hAnsi="Times New Roman"/>
                <w:kern w:val="0"/>
                <w:sz w:val="18"/>
                <w:szCs w:val="18"/>
              </w:rPr>
              <w:instrText xml:space="preserve"> =SUM(ABOVE) </w:instrText>
            </w:r>
            <w:r>
              <w:rPr>
                <w:rFonts w:ascii="Times New Roman" w:hAnsi="Times New Roman"/>
                <w:kern w:val="0"/>
                <w:sz w:val="18"/>
                <w:szCs w:val="18"/>
              </w:rPr>
              <w:fldChar w:fldCharType="separate"/>
            </w:r>
            <w:r>
              <w:rPr>
                <w:rFonts w:ascii="Times New Roman" w:hAnsi="Times New Roman"/>
                <w:kern w:val="0"/>
                <w:sz w:val="18"/>
                <w:szCs w:val="18"/>
              </w:rPr>
              <w:t>8.9</w:t>
            </w:r>
            <w:r>
              <w:rPr>
                <w:rFonts w:ascii="Times New Roman" w:hAnsi="Times New Roman"/>
                <w:kern w:val="0"/>
                <w:sz w:val="18"/>
                <w:szCs w:val="18"/>
              </w:rPr>
              <w:fldChar w:fldCharType="end"/>
            </w:r>
          </w:p>
        </w:tc>
        <w:tc>
          <w:tcPr>
            <w:tcW w:w="1017" w:type="dxa"/>
            <w:tcBorders>
              <w:bottom w:val="single" w:color="auto" w:sz="12"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0</w:t>
            </w:r>
          </w:p>
        </w:tc>
        <w:tc>
          <w:tcPr>
            <w:tcW w:w="1017" w:type="dxa"/>
            <w:tcBorders>
              <w:bottom w:val="single" w:color="auto" w:sz="12" w:space="0"/>
            </w:tcBorders>
            <w:vAlign w:val="center"/>
          </w:tcPr>
          <w:p>
            <w:pPr>
              <w:widowControl/>
              <w:jc w:val="center"/>
              <w:rPr>
                <w:rFonts w:ascii="Times New Roman" w:hAnsi="Times New Roman"/>
                <w:kern w:val="0"/>
                <w:sz w:val="18"/>
                <w:szCs w:val="18"/>
              </w:rPr>
            </w:pPr>
            <w:r>
              <w:fldChar w:fldCharType="begin"/>
            </w:r>
            <w:r>
              <w:rPr>
                <w:rFonts w:ascii="Times New Roman" w:hAnsi="Times New Roman"/>
                <w:kern w:val="0"/>
                <w:sz w:val="18"/>
                <w:szCs w:val="18"/>
              </w:rPr>
              <w:instrText xml:space="preserve"> =SUM(ABOVE) </w:instrText>
            </w:r>
            <w:r>
              <w:rPr>
                <w:rFonts w:ascii="Times New Roman" w:hAnsi="Times New Roman"/>
                <w:kern w:val="0"/>
                <w:sz w:val="18"/>
                <w:szCs w:val="18"/>
              </w:rPr>
              <w:fldChar w:fldCharType="separate"/>
            </w:r>
            <w:r>
              <w:rPr>
                <w:rFonts w:ascii="Times New Roman" w:hAnsi="Times New Roman"/>
                <w:kern w:val="0"/>
                <w:sz w:val="18"/>
                <w:szCs w:val="18"/>
              </w:rPr>
              <w:t>-9.7</w:t>
            </w:r>
            <w:r>
              <w:rPr>
                <w:rFonts w:ascii="Times New Roman" w:hAnsi="Times New Roman"/>
                <w:kern w:val="0"/>
                <w:sz w:val="18"/>
                <w:szCs w:val="18"/>
              </w:rPr>
              <w:fldChar w:fldCharType="end"/>
            </w:r>
          </w:p>
        </w:tc>
        <w:tc>
          <w:tcPr>
            <w:tcW w:w="989" w:type="dxa"/>
            <w:tcBorders>
              <w:bottom w:val="single" w:color="auto" w:sz="12" w:space="0"/>
            </w:tcBorders>
            <w:vAlign w:val="center"/>
          </w:tcPr>
          <w:p>
            <w:pPr>
              <w:widowControl/>
              <w:jc w:val="center"/>
              <w:rPr>
                <w:rFonts w:ascii="Times New Roman" w:hAnsi="Times New Roman"/>
                <w:kern w:val="0"/>
                <w:sz w:val="18"/>
                <w:szCs w:val="18"/>
              </w:rPr>
            </w:pPr>
            <w:r>
              <w:fldChar w:fldCharType="begin"/>
            </w:r>
            <w:r>
              <w:rPr>
                <w:rFonts w:ascii="Times New Roman" w:hAnsi="Times New Roman"/>
                <w:kern w:val="0"/>
                <w:sz w:val="18"/>
                <w:szCs w:val="18"/>
              </w:rPr>
              <w:instrText xml:space="preserve"> =SUM(ABOVE) </w:instrText>
            </w:r>
            <w:r>
              <w:rPr>
                <w:rFonts w:ascii="Times New Roman" w:hAnsi="Times New Roman"/>
                <w:kern w:val="0"/>
                <w:sz w:val="18"/>
                <w:szCs w:val="18"/>
              </w:rPr>
              <w:fldChar w:fldCharType="separate"/>
            </w:r>
            <w:r>
              <w:rPr>
                <w:rFonts w:ascii="Times New Roman" w:hAnsi="Times New Roman"/>
                <w:kern w:val="0"/>
                <w:sz w:val="18"/>
                <w:szCs w:val="18"/>
              </w:rPr>
              <w:t>-18</w:t>
            </w:r>
            <w:r>
              <w:rPr>
                <w:rFonts w:ascii="Times New Roman" w:hAnsi="Times New Roman"/>
                <w:kern w:val="0"/>
                <w:sz w:val="18"/>
                <w:szCs w:val="18"/>
              </w:rPr>
              <w:fldChar w:fldCharType="end"/>
            </w:r>
            <w:r>
              <w:rPr>
                <w:rFonts w:ascii="Times New Roman" w:hAnsi="Times New Roman"/>
                <w:kern w:val="0"/>
                <w:sz w:val="18"/>
                <w:szCs w:val="18"/>
              </w:rPr>
              <w:t>.0</w:t>
            </w:r>
          </w:p>
        </w:tc>
      </w:tr>
    </w:tbl>
    <w:p>
      <w:pPr>
        <w:widowControl/>
        <w:spacing w:line="360" w:lineRule="auto"/>
        <w:jc w:val="center"/>
        <w:rPr>
          <w:rFonts w:ascii="Times New Roman" w:hAnsi="Times New Roman" w:eastAsia="仿宋"/>
          <w:b/>
          <w:bCs/>
          <w:sz w:val="24"/>
          <w:szCs w:val="24"/>
        </w:rPr>
      </w:pPr>
    </w:p>
    <w:p>
      <w:pPr>
        <w:widowControl/>
        <w:jc w:val="center"/>
        <w:rPr>
          <w:rFonts w:ascii="Times New Roman" w:hAnsi="Times New Roman" w:eastAsia="仿宋"/>
          <w:b/>
          <w:bCs/>
          <w:sz w:val="24"/>
          <w:szCs w:val="24"/>
        </w:rPr>
      </w:pPr>
      <w:r>
        <w:rPr>
          <w:rFonts w:ascii="Times New Roman" w:hAnsi="Times New Roman" w:eastAsia="仿宋"/>
          <w:b/>
          <w:bCs/>
          <w:sz w:val="24"/>
          <w:szCs w:val="24"/>
        </w:rPr>
        <w:br w:type="page"/>
      </w:r>
      <w:r>
        <w:rPr>
          <w:rFonts w:ascii="Times New Roman" w:hAnsi="Times New Roman" w:eastAsia="仿宋"/>
          <w:b/>
          <w:bCs/>
          <w:sz w:val="24"/>
          <w:szCs w:val="24"/>
        </w:rPr>
        <w:t>1-3级公共管理与公共服务用地基准地价修正因素指标说明表</w:t>
      </w:r>
    </w:p>
    <w:tbl>
      <w:tblPr>
        <w:tblStyle w:val="4"/>
        <w:tblW w:w="91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4"/>
        <w:gridCol w:w="650"/>
        <w:gridCol w:w="1625"/>
        <w:gridCol w:w="1268"/>
        <w:gridCol w:w="1372"/>
        <w:gridCol w:w="1269"/>
        <w:gridCol w:w="1268"/>
        <w:gridCol w:w="1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2689" w:type="dxa"/>
            <w:gridSpan w:val="3"/>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宗地修正因素</w:t>
            </w:r>
          </w:p>
        </w:tc>
        <w:tc>
          <w:tcPr>
            <w:tcW w:w="1268"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优</w:t>
            </w:r>
          </w:p>
        </w:tc>
        <w:tc>
          <w:tcPr>
            <w:tcW w:w="1372"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较优</w:t>
            </w:r>
          </w:p>
        </w:tc>
        <w:tc>
          <w:tcPr>
            <w:tcW w:w="1269"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一般</w:t>
            </w:r>
          </w:p>
        </w:tc>
        <w:tc>
          <w:tcPr>
            <w:tcW w:w="1268"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较差</w:t>
            </w:r>
          </w:p>
        </w:tc>
        <w:tc>
          <w:tcPr>
            <w:tcW w:w="1266"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650"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商服繁华度</w:t>
            </w: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距离商服中心距离</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＜500米</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500-1000米</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2000-4000米</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＞4000米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有生活型主干道通过</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有混合型主干道通过</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有生活型次干道通过</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交通型道路通过</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支路通过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continue"/>
            <w:vAlign w:val="center"/>
          </w:tcPr>
          <w:p>
            <w:pPr>
              <w:widowControl/>
              <w:jc w:val="left"/>
              <w:rPr>
                <w:rFonts w:ascii="Times New Roman" w:hAnsi="Times New Roman" w:eastAsia="仿宋"/>
                <w:kern w:val="0"/>
                <w:sz w:val="18"/>
                <w:szCs w:val="18"/>
              </w:rPr>
            </w:pP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公交便捷度</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3条以上公交线路通过</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3条公交线路</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2条公交线路</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1条公交线路</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无公交线路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continue"/>
            <w:vAlign w:val="center"/>
          </w:tcPr>
          <w:p>
            <w:pPr>
              <w:widowControl/>
              <w:jc w:val="left"/>
              <w:rPr>
                <w:rFonts w:ascii="Times New Roman" w:hAnsi="Times New Roman" w:eastAsia="仿宋"/>
                <w:kern w:val="0"/>
                <w:sz w:val="18"/>
                <w:szCs w:val="18"/>
              </w:rPr>
            </w:pP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距汽车客运站距离</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＜1000米</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2000-3000米</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3000-5000米</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continue"/>
            <w:vAlign w:val="center"/>
          </w:tcPr>
          <w:p>
            <w:pPr>
              <w:widowControl/>
              <w:jc w:val="left"/>
              <w:rPr>
                <w:rFonts w:ascii="Times New Roman" w:hAnsi="Times New Roman" w:eastAsia="仿宋"/>
                <w:kern w:val="0"/>
                <w:sz w:val="18"/>
                <w:szCs w:val="18"/>
              </w:rPr>
            </w:pP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距高速路出入口距离</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＜1000米</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1000-2000米</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2000-3000米</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3000-5000米</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高</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较高</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较低</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Merge w:val="continue"/>
            <w:vAlign w:val="center"/>
          </w:tcPr>
          <w:p>
            <w:pPr>
              <w:widowControl/>
              <w:jc w:val="left"/>
              <w:rPr>
                <w:rFonts w:ascii="Times New Roman" w:hAnsi="Times New Roman" w:eastAsia="仿宋"/>
                <w:kern w:val="0"/>
                <w:sz w:val="18"/>
                <w:szCs w:val="18"/>
              </w:rPr>
            </w:pP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100-125</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125-150</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150-200</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Align w:val="center"/>
          </w:tcPr>
          <w:p>
            <w:pPr>
              <w:jc w:val="center"/>
              <w:rPr>
                <w:rFonts w:ascii="Times New Roman" w:hAnsi="Times New Roman" w:eastAsia="仿宋"/>
                <w:color w:val="000000"/>
                <w:sz w:val="18"/>
                <w:szCs w:val="18"/>
              </w:rPr>
            </w:pPr>
            <w:r>
              <w:rPr>
                <w:rFonts w:ascii="Times New Roman" w:hAnsi="Times New Roman" w:eastAsia="仿宋"/>
                <w:color w:val="000000"/>
                <w:sz w:val="18"/>
                <w:szCs w:val="18"/>
              </w:rPr>
              <w:t>环境条件</w:t>
            </w:r>
          </w:p>
        </w:tc>
        <w:tc>
          <w:tcPr>
            <w:tcW w:w="1625" w:type="dxa"/>
            <w:vAlign w:val="center"/>
          </w:tcPr>
          <w:p>
            <w:pPr>
              <w:jc w:val="center"/>
              <w:rPr>
                <w:rFonts w:ascii="Times New Roman" w:hAnsi="Times New Roman" w:eastAsia="仿宋"/>
                <w:color w:val="000000"/>
                <w:sz w:val="18"/>
                <w:szCs w:val="18"/>
              </w:rPr>
            </w:pPr>
            <w:r>
              <w:rPr>
                <w:rFonts w:ascii="Times New Roman" w:hAnsi="Times New Roman" w:eastAsia="仿宋"/>
                <w:color w:val="000000"/>
                <w:sz w:val="18"/>
                <w:szCs w:val="18"/>
              </w:rPr>
              <w:t>环境质量优劣度</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空气质量好、区域绿地覆盖率高</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空气质量较好，区域绿化较好</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空气质量一般，绿化一般</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有噪音、粉尘污染或空气异味污染</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噪音、粉尘污染或空气异味污染较明显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650" w:type="dxa"/>
            <w:vAlign w:val="center"/>
          </w:tcPr>
          <w:p>
            <w:pPr>
              <w:widowControl/>
              <w:jc w:val="left"/>
              <w:rPr>
                <w:rFonts w:ascii="Times New Roman" w:hAnsi="Times New Roman" w:eastAsia="仿宋"/>
                <w:kern w:val="0"/>
                <w:sz w:val="18"/>
                <w:szCs w:val="18"/>
              </w:rPr>
            </w:pPr>
            <w:r>
              <w:rPr>
                <w:rFonts w:ascii="Times New Roman" w:hAnsi="Times New Roman" w:eastAsia="仿宋"/>
                <w:kern w:val="0"/>
                <w:sz w:val="18"/>
                <w:szCs w:val="18"/>
              </w:rPr>
              <w:t>基础设施</w:t>
            </w:r>
          </w:p>
        </w:tc>
        <w:tc>
          <w:tcPr>
            <w:tcW w:w="162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供水、供电设施齐备，保障度高</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供水、供电设施齐备，保障度较高</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供水、供电设施基本齐备，有一定保障</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供水、供电设施不齐备，保障度较低</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供水、供电设施不齐备，保障度低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人口状况（客流量万人次/日）</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高</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较高</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一般</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较低</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规划状况</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有利</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较有利</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无影响</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较不利</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不利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restart"/>
            <w:vAlign w:val="center"/>
          </w:tcPr>
          <w:p>
            <w:pPr>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距长江距离</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&lt;100米</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[100,300)米</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[300,600)米</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[600,900)米</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≥900米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center"/>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距公交站点的距离</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＜300米</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300-500米</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500-800米</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800-1000米</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＞1000米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宗地形状</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形状规则，且长边临街</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形状规则，短边临街</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形状较规则，对利用无影响</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形状不规则，对利用有一定影响</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形状不规则，严重影响土地利用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宗地面积</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面积适中利于布局</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面积适中较利于布局</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适中，对利用无影响</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偏大（小），对利用有一定影响</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偏大（小），严重影响土地利用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vAlign w:val="center"/>
          </w:tcPr>
          <w:p>
            <w:pPr>
              <w:widowControl/>
              <w:jc w:val="left"/>
              <w:rPr>
                <w:rFonts w:ascii="Times New Roman" w:hAnsi="Times New Roman" w:eastAsia="仿宋"/>
                <w:kern w:val="0"/>
                <w:sz w:val="18"/>
                <w:szCs w:val="18"/>
              </w:rPr>
            </w:pPr>
          </w:p>
        </w:tc>
        <w:tc>
          <w:tcPr>
            <w:tcW w:w="2275"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宗地坡度</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w:t>
            </w:r>
          </w:p>
        </w:tc>
        <w:tc>
          <w:tcPr>
            <w:tcW w:w="1372"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5°-10°</w:t>
            </w:r>
          </w:p>
        </w:tc>
        <w:tc>
          <w:tcPr>
            <w:tcW w:w="1269"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10°-15°</w:t>
            </w:r>
          </w:p>
        </w:tc>
        <w:tc>
          <w:tcPr>
            <w:tcW w:w="1268"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15°-25°</w:t>
            </w:r>
          </w:p>
        </w:tc>
        <w:tc>
          <w:tcPr>
            <w:tcW w:w="1266"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&gt;25°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jc w:val="center"/>
        </w:trPr>
        <w:tc>
          <w:tcPr>
            <w:tcW w:w="414" w:type="dxa"/>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2275" w:type="dxa"/>
            <w:gridSpan w:val="2"/>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地质条件</w:t>
            </w:r>
          </w:p>
        </w:tc>
        <w:tc>
          <w:tcPr>
            <w:tcW w:w="1268"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无</w:t>
            </w:r>
          </w:p>
        </w:tc>
        <w:tc>
          <w:tcPr>
            <w:tcW w:w="1372"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不易发区</w:t>
            </w:r>
          </w:p>
        </w:tc>
        <w:tc>
          <w:tcPr>
            <w:tcW w:w="1269"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低易发区</w:t>
            </w:r>
          </w:p>
        </w:tc>
        <w:tc>
          <w:tcPr>
            <w:tcW w:w="1268"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中易发区</w:t>
            </w:r>
          </w:p>
        </w:tc>
        <w:tc>
          <w:tcPr>
            <w:tcW w:w="1266" w:type="dxa"/>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高易发区、极易发区</w:t>
            </w:r>
          </w:p>
        </w:tc>
      </w:tr>
    </w:tbl>
    <w:p>
      <w:pPr>
        <w:widowControl/>
        <w:spacing w:line="360" w:lineRule="auto"/>
        <w:jc w:val="center"/>
        <w:rPr>
          <w:rFonts w:ascii="Times New Roman" w:hAnsi="Times New Roman" w:eastAsia="仿宋"/>
          <w:b/>
          <w:bCs/>
          <w:sz w:val="24"/>
          <w:szCs w:val="24"/>
        </w:rPr>
      </w:pPr>
      <w:r>
        <w:rPr>
          <w:rFonts w:ascii="Times New Roman" w:hAnsi="Times New Roman" w:eastAsia="仿宋"/>
          <w:b/>
          <w:bCs/>
          <w:sz w:val="24"/>
          <w:szCs w:val="24"/>
        </w:rPr>
        <w:t>1-3级公共管理与公共服务用地基准地价修正系数表(%)</w:t>
      </w:r>
    </w:p>
    <w:tbl>
      <w:tblPr>
        <w:tblStyle w:val="4"/>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2"/>
        <w:gridCol w:w="645"/>
        <w:gridCol w:w="1611"/>
        <w:gridCol w:w="1256"/>
        <w:gridCol w:w="1359"/>
        <w:gridCol w:w="1259"/>
        <w:gridCol w:w="1256"/>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78" w:type="dxa"/>
            <w:gridSpan w:val="3"/>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宗地修正因素</w:t>
            </w:r>
          </w:p>
        </w:tc>
        <w:tc>
          <w:tcPr>
            <w:tcW w:w="1256"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优</w:t>
            </w:r>
          </w:p>
        </w:tc>
        <w:tc>
          <w:tcPr>
            <w:tcW w:w="1359"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较优</w:t>
            </w:r>
          </w:p>
        </w:tc>
        <w:tc>
          <w:tcPr>
            <w:tcW w:w="1259"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一般</w:t>
            </w:r>
          </w:p>
        </w:tc>
        <w:tc>
          <w:tcPr>
            <w:tcW w:w="1256"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较差</w:t>
            </w:r>
          </w:p>
        </w:tc>
        <w:tc>
          <w:tcPr>
            <w:tcW w:w="1252" w:type="dxa"/>
            <w:tcBorders>
              <w:top w:val="single" w:color="auto" w:sz="12" w:space="0"/>
            </w:tcBorders>
            <w:vAlign w:val="center"/>
          </w:tcPr>
          <w:p>
            <w:pPr>
              <w:widowControl/>
              <w:jc w:val="center"/>
              <w:rPr>
                <w:rFonts w:ascii="Times New Roman" w:hAnsi="Times New Roman" w:eastAsia="黑体"/>
                <w:kern w:val="0"/>
                <w:sz w:val="18"/>
                <w:szCs w:val="18"/>
              </w:rPr>
            </w:pPr>
            <w:r>
              <w:rPr>
                <w:rFonts w:ascii="Times New Roman" w:hAnsi="Times New Roman" w:eastAsia="黑体"/>
                <w:kern w:val="0"/>
                <w:sz w:val="18"/>
                <w:szCs w:val="18"/>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区域因素</w:t>
            </w:r>
          </w:p>
        </w:tc>
        <w:tc>
          <w:tcPr>
            <w:tcW w:w="645"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商服繁华度</w:t>
            </w: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距离商服中心距离</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交通条件</w:t>
            </w: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道路通达度</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continue"/>
            <w:vAlign w:val="center"/>
          </w:tcPr>
          <w:p>
            <w:pPr>
              <w:widowControl/>
              <w:jc w:val="left"/>
              <w:rPr>
                <w:rFonts w:ascii="Times New Roman" w:hAnsi="Times New Roman" w:eastAsia="仿宋"/>
                <w:kern w:val="0"/>
                <w:sz w:val="18"/>
                <w:szCs w:val="18"/>
              </w:rPr>
            </w:pP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公交便捷度</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continue"/>
            <w:vAlign w:val="center"/>
          </w:tcPr>
          <w:p>
            <w:pPr>
              <w:widowControl/>
              <w:jc w:val="left"/>
              <w:rPr>
                <w:rFonts w:ascii="Times New Roman" w:hAnsi="Times New Roman" w:eastAsia="仿宋"/>
                <w:kern w:val="0"/>
                <w:sz w:val="18"/>
                <w:szCs w:val="18"/>
              </w:rPr>
            </w:pP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距汽车客运站距离</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continue"/>
            <w:vAlign w:val="center"/>
          </w:tcPr>
          <w:p>
            <w:pPr>
              <w:widowControl/>
              <w:jc w:val="left"/>
              <w:rPr>
                <w:rFonts w:ascii="Times New Roman" w:hAnsi="Times New Roman" w:eastAsia="仿宋"/>
                <w:kern w:val="0"/>
                <w:sz w:val="18"/>
                <w:szCs w:val="18"/>
              </w:rPr>
            </w:pP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距高速路出入口距离</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0.2</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restart"/>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社会经济状况</w:t>
            </w: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人均经济收入</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Merge w:val="continue"/>
            <w:vAlign w:val="center"/>
          </w:tcPr>
          <w:p>
            <w:pPr>
              <w:widowControl/>
              <w:jc w:val="left"/>
              <w:rPr>
                <w:rFonts w:ascii="Times New Roman" w:hAnsi="Times New Roman" w:eastAsia="仿宋"/>
                <w:kern w:val="0"/>
                <w:sz w:val="18"/>
                <w:szCs w:val="18"/>
              </w:rPr>
            </w:pP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人均建设用地面积（㎡/人）</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Align w:val="center"/>
          </w:tcPr>
          <w:p>
            <w:pPr>
              <w:jc w:val="center"/>
              <w:rPr>
                <w:rFonts w:ascii="Times New Roman" w:hAnsi="Times New Roman" w:eastAsia="仿宋"/>
                <w:color w:val="000000"/>
                <w:sz w:val="18"/>
                <w:szCs w:val="18"/>
              </w:rPr>
            </w:pPr>
            <w:r>
              <w:rPr>
                <w:rFonts w:ascii="Times New Roman" w:hAnsi="Times New Roman" w:eastAsia="仿宋"/>
                <w:color w:val="000000"/>
                <w:sz w:val="18"/>
                <w:szCs w:val="18"/>
              </w:rPr>
              <w:t>环境条件</w:t>
            </w:r>
          </w:p>
        </w:tc>
        <w:tc>
          <w:tcPr>
            <w:tcW w:w="1611" w:type="dxa"/>
            <w:vAlign w:val="center"/>
          </w:tcPr>
          <w:p>
            <w:pPr>
              <w:jc w:val="center"/>
              <w:rPr>
                <w:rFonts w:ascii="Times New Roman" w:hAnsi="Times New Roman" w:eastAsia="仿宋"/>
                <w:color w:val="000000"/>
                <w:sz w:val="18"/>
                <w:szCs w:val="18"/>
              </w:rPr>
            </w:pPr>
            <w:r>
              <w:rPr>
                <w:rFonts w:ascii="Times New Roman" w:hAnsi="Times New Roman" w:eastAsia="仿宋"/>
                <w:color w:val="000000"/>
                <w:sz w:val="18"/>
                <w:szCs w:val="18"/>
              </w:rPr>
              <w:t>环境质量优劣度</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645" w:type="dxa"/>
            <w:vAlign w:val="center"/>
          </w:tcPr>
          <w:p>
            <w:pPr>
              <w:widowControl/>
              <w:jc w:val="left"/>
              <w:rPr>
                <w:rFonts w:ascii="Times New Roman" w:hAnsi="Times New Roman" w:eastAsia="仿宋"/>
                <w:kern w:val="0"/>
                <w:sz w:val="18"/>
                <w:szCs w:val="18"/>
              </w:rPr>
            </w:pPr>
            <w:r>
              <w:rPr>
                <w:rFonts w:ascii="Times New Roman" w:hAnsi="Times New Roman" w:eastAsia="仿宋"/>
                <w:kern w:val="0"/>
                <w:sz w:val="18"/>
                <w:szCs w:val="18"/>
              </w:rPr>
              <w:t>基础设施</w:t>
            </w:r>
          </w:p>
        </w:tc>
        <w:tc>
          <w:tcPr>
            <w:tcW w:w="1611" w:type="dxa"/>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基础设施完善度</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-0.5</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人口状况（客流量万人次/日）</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规划状况</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restart"/>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个别因素</w:t>
            </w: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距长江距离</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距公交站点的距离</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宗地形状</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-0.9</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宗地面积</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-0.7</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tcBorders>
              <w:bottom w:val="single" w:color="auto" w:sz="12" w:space="0"/>
            </w:tcBorders>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宗地坡度</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-0.3</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22" w:type="dxa"/>
            <w:vMerge w:val="continue"/>
            <w:vAlign w:val="center"/>
          </w:tcPr>
          <w:p>
            <w:pPr>
              <w:widowControl/>
              <w:jc w:val="left"/>
              <w:rPr>
                <w:rFonts w:ascii="Times New Roman" w:hAnsi="Times New Roman" w:eastAsia="仿宋"/>
                <w:kern w:val="0"/>
                <w:sz w:val="18"/>
                <w:szCs w:val="18"/>
              </w:rPr>
            </w:pPr>
          </w:p>
        </w:tc>
        <w:tc>
          <w:tcPr>
            <w:tcW w:w="2256" w:type="dxa"/>
            <w:gridSpan w:val="2"/>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地质条件</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c>
          <w:tcPr>
            <w:tcW w:w="1359" w:type="dxa"/>
            <w:vAlign w:val="center"/>
          </w:tcPr>
          <w:p>
            <w:pPr>
              <w:jc w:val="center"/>
              <w:rPr>
                <w:rFonts w:ascii="Times New Roman" w:hAnsi="Times New Roman"/>
                <w:color w:val="000000"/>
                <w:sz w:val="18"/>
                <w:szCs w:val="18"/>
              </w:rPr>
            </w:pPr>
            <w:r>
              <w:rPr>
                <w:rFonts w:ascii="Times New Roman" w:hAnsi="Times New Roman"/>
                <w:color w:val="000000"/>
                <w:sz w:val="18"/>
                <w:szCs w:val="18"/>
              </w:rPr>
              <w:t>0.2</w:t>
            </w:r>
          </w:p>
        </w:tc>
        <w:tc>
          <w:tcPr>
            <w:tcW w:w="1259" w:type="dxa"/>
            <w:vAlign w:val="center"/>
          </w:tcPr>
          <w:p>
            <w:pPr>
              <w:jc w:val="center"/>
              <w:rPr>
                <w:rFonts w:ascii="Times New Roman" w:hAnsi="Times New Roman"/>
                <w:color w:val="000000"/>
                <w:sz w:val="18"/>
                <w:szCs w:val="18"/>
              </w:rPr>
            </w:pPr>
            <w:r>
              <w:rPr>
                <w:rFonts w:ascii="Times New Roman" w:hAnsi="Times New Roman"/>
                <w:color w:val="000000"/>
                <w:sz w:val="18"/>
                <w:szCs w:val="18"/>
              </w:rPr>
              <w:t>0</w:t>
            </w:r>
          </w:p>
        </w:tc>
        <w:tc>
          <w:tcPr>
            <w:tcW w:w="1256" w:type="dxa"/>
            <w:vAlign w:val="center"/>
          </w:tcPr>
          <w:p>
            <w:pPr>
              <w:jc w:val="center"/>
              <w:rPr>
                <w:rFonts w:ascii="Times New Roman" w:hAnsi="Times New Roman"/>
                <w:color w:val="000000"/>
                <w:sz w:val="18"/>
                <w:szCs w:val="18"/>
              </w:rPr>
            </w:pPr>
            <w:r>
              <w:rPr>
                <w:rFonts w:ascii="Times New Roman" w:hAnsi="Times New Roman"/>
                <w:color w:val="000000"/>
                <w:sz w:val="18"/>
                <w:szCs w:val="18"/>
              </w:rPr>
              <w:t>-0.2</w:t>
            </w:r>
          </w:p>
        </w:tc>
        <w:tc>
          <w:tcPr>
            <w:tcW w:w="1252" w:type="dxa"/>
            <w:vAlign w:val="center"/>
          </w:tcPr>
          <w:p>
            <w:pPr>
              <w:jc w:val="center"/>
              <w:rPr>
                <w:rFonts w:ascii="Times New Roman" w:hAnsi="Times New Roman"/>
                <w:color w:val="000000"/>
                <w:sz w:val="18"/>
                <w:szCs w:val="18"/>
              </w:rPr>
            </w:pPr>
            <w:r>
              <w:rPr>
                <w:rFonts w:ascii="Times New Roman" w:hAnsi="Times New Roman"/>
                <w:color w:val="000000"/>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78" w:type="dxa"/>
            <w:gridSpan w:val="3"/>
            <w:tcBorders>
              <w:bottom w:val="single" w:color="auto" w:sz="12" w:space="0"/>
            </w:tcBorders>
            <w:vAlign w:val="center"/>
          </w:tcPr>
          <w:p>
            <w:pPr>
              <w:widowControl/>
              <w:jc w:val="center"/>
              <w:rPr>
                <w:rFonts w:ascii="Times New Roman" w:hAnsi="Times New Roman" w:eastAsia="仿宋"/>
                <w:kern w:val="0"/>
                <w:sz w:val="18"/>
                <w:szCs w:val="18"/>
              </w:rPr>
            </w:pPr>
            <w:r>
              <w:rPr>
                <w:rFonts w:ascii="Times New Roman" w:hAnsi="Times New Roman" w:eastAsia="仿宋"/>
                <w:kern w:val="0"/>
                <w:sz w:val="18"/>
                <w:szCs w:val="18"/>
              </w:rPr>
              <w:t>合计</w:t>
            </w:r>
          </w:p>
        </w:tc>
        <w:tc>
          <w:tcPr>
            <w:tcW w:w="1256" w:type="dxa"/>
            <w:tcBorders>
              <w:bottom w:val="single" w:color="auto" w:sz="12" w:space="0"/>
            </w:tcBorders>
            <w:vAlign w:val="center"/>
          </w:tcPr>
          <w:p>
            <w:pPr>
              <w:widowControl/>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22</w:t>
            </w:r>
            <w:r>
              <w:rPr>
                <w:rFonts w:ascii="Times New Roman" w:hAnsi="Times New Roman" w:eastAsia="仿宋"/>
                <w:kern w:val="0"/>
                <w:sz w:val="18"/>
                <w:szCs w:val="18"/>
              </w:rPr>
              <w:fldChar w:fldCharType="end"/>
            </w:r>
            <w:r>
              <w:rPr>
                <w:rFonts w:ascii="Times New Roman" w:hAnsi="Times New Roman" w:eastAsia="仿宋"/>
                <w:kern w:val="0"/>
                <w:sz w:val="18"/>
                <w:szCs w:val="18"/>
              </w:rPr>
              <w:t>.0</w:t>
            </w:r>
          </w:p>
        </w:tc>
        <w:tc>
          <w:tcPr>
            <w:tcW w:w="1359" w:type="dxa"/>
            <w:tcBorders>
              <w:bottom w:val="single" w:color="auto" w:sz="12" w:space="0"/>
            </w:tcBorders>
            <w:vAlign w:val="center"/>
          </w:tcPr>
          <w:p>
            <w:pPr>
              <w:widowControl/>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11.4</w:t>
            </w:r>
            <w:r>
              <w:rPr>
                <w:rFonts w:ascii="Times New Roman" w:hAnsi="Times New Roman" w:eastAsia="仿宋"/>
                <w:kern w:val="0"/>
                <w:sz w:val="18"/>
                <w:szCs w:val="18"/>
              </w:rPr>
              <w:fldChar w:fldCharType="end"/>
            </w:r>
          </w:p>
        </w:tc>
        <w:tc>
          <w:tcPr>
            <w:tcW w:w="1259" w:type="dxa"/>
            <w:tcBorders>
              <w:bottom w:val="single" w:color="auto" w:sz="12" w:space="0"/>
            </w:tcBorders>
            <w:vAlign w:val="center"/>
          </w:tcPr>
          <w:p>
            <w:pPr>
              <w:widowControl/>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0</w:t>
            </w:r>
            <w:r>
              <w:rPr>
                <w:rFonts w:ascii="Times New Roman" w:hAnsi="Times New Roman" w:eastAsia="仿宋"/>
                <w:kern w:val="0"/>
                <w:sz w:val="18"/>
                <w:szCs w:val="18"/>
              </w:rPr>
              <w:fldChar w:fldCharType="end"/>
            </w:r>
          </w:p>
        </w:tc>
        <w:tc>
          <w:tcPr>
            <w:tcW w:w="1256" w:type="dxa"/>
            <w:tcBorders>
              <w:bottom w:val="single" w:color="auto" w:sz="12" w:space="0"/>
            </w:tcBorders>
            <w:vAlign w:val="center"/>
          </w:tcPr>
          <w:p>
            <w:pPr>
              <w:widowControl/>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-11.4</w:t>
            </w:r>
            <w:r>
              <w:rPr>
                <w:rFonts w:ascii="Times New Roman" w:hAnsi="Times New Roman" w:eastAsia="仿宋"/>
                <w:kern w:val="0"/>
                <w:sz w:val="18"/>
                <w:szCs w:val="18"/>
              </w:rPr>
              <w:fldChar w:fldCharType="end"/>
            </w:r>
          </w:p>
        </w:tc>
        <w:tc>
          <w:tcPr>
            <w:tcW w:w="1252" w:type="dxa"/>
            <w:tcBorders>
              <w:bottom w:val="single" w:color="auto" w:sz="12" w:space="0"/>
            </w:tcBorders>
            <w:vAlign w:val="center"/>
          </w:tcPr>
          <w:p>
            <w:pPr>
              <w:widowControl/>
              <w:jc w:val="center"/>
              <w:rPr>
                <w:rFonts w:ascii="Times New Roman" w:hAnsi="Times New Roman" w:eastAsia="仿宋"/>
                <w:kern w:val="0"/>
                <w:sz w:val="18"/>
                <w:szCs w:val="18"/>
              </w:rPr>
            </w:pPr>
            <w:r>
              <w:fldChar w:fldCharType="begin"/>
            </w:r>
            <w:r>
              <w:rPr>
                <w:rFonts w:ascii="Times New Roman" w:hAnsi="Times New Roman" w:eastAsia="仿宋"/>
                <w:kern w:val="0"/>
                <w:sz w:val="18"/>
                <w:szCs w:val="18"/>
              </w:rPr>
              <w:instrText xml:space="preserve"> =SUM(ABOVE) </w:instrText>
            </w:r>
            <w:r>
              <w:rPr>
                <w:rFonts w:ascii="Times New Roman" w:hAnsi="Times New Roman" w:eastAsia="仿宋"/>
                <w:kern w:val="0"/>
                <w:sz w:val="18"/>
                <w:szCs w:val="18"/>
              </w:rPr>
              <w:fldChar w:fldCharType="separate"/>
            </w:r>
            <w:r>
              <w:rPr>
                <w:rFonts w:ascii="Times New Roman" w:hAnsi="Times New Roman" w:eastAsia="仿宋"/>
                <w:kern w:val="0"/>
                <w:sz w:val="18"/>
                <w:szCs w:val="18"/>
              </w:rPr>
              <w:t>-22</w:t>
            </w:r>
            <w:r>
              <w:rPr>
                <w:rFonts w:ascii="Times New Roman" w:hAnsi="Times New Roman" w:eastAsia="仿宋"/>
                <w:kern w:val="0"/>
                <w:sz w:val="18"/>
                <w:szCs w:val="18"/>
              </w:rPr>
              <w:fldChar w:fldCharType="end"/>
            </w:r>
            <w:r>
              <w:rPr>
                <w:rFonts w:ascii="Times New Roman" w:hAnsi="Times New Roman" w:eastAsia="仿宋"/>
                <w:kern w:val="0"/>
                <w:sz w:val="18"/>
                <w:szCs w:val="18"/>
              </w:rPr>
              <w:t>.0</w:t>
            </w:r>
          </w:p>
        </w:tc>
      </w:tr>
    </w:tbl>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E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5"/>
    <w:basedOn w:val="1"/>
    <w:next w:val="1"/>
    <w:qFormat/>
    <w:uiPriority w:val="0"/>
    <w:pPr>
      <w:keepNext/>
      <w:keepLines/>
      <w:spacing w:before="280" w:after="290" w:line="376" w:lineRule="auto"/>
      <w:outlineLvl w:val="4"/>
    </w:pPr>
    <w:rPr>
      <w:rFonts w:ascii="Times New Roman" w:hAnsi="Times New Roman"/>
      <w:b/>
      <w:bCs/>
      <w:kern w:val="0"/>
      <w:sz w:val="28"/>
      <w:szCs w:val="28"/>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2022-02-24T04:04:52Z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