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B3CDF">
      <w:pPr>
        <w:pStyle w:val="7"/>
        <w:keepNext w:val="0"/>
        <w:keepLines w:val="0"/>
        <w:pageBreakBefore w:val="0"/>
        <w:kinsoku/>
        <w:overflowPunct/>
        <w:topLinePunct w:val="0"/>
        <w:autoSpaceDN/>
        <w:bidi w:val="0"/>
        <w:adjustRightInd/>
        <w:spacing w:before="0" w:beforeAutospacing="0" w:after="0" w:afterAutospacing="0" w:line="600" w:lineRule="exact"/>
        <w:ind w:left="0" w:leftChars="0" w:right="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丰都县交通运输综合行政执法支队</w:t>
      </w:r>
    </w:p>
    <w:p w14:paraId="0857E380">
      <w:pPr>
        <w:pStyle w:val="7"/>
        <w:keepNext w:val="0"/>
        <w:keepLines w:val="0"/>
        <w:pageBreakBefore w:val="0"/>
        <w:kinsoku/>
        <w:overflowPunct/>
        <w:topLinePunct w:val="0"/>
        <w:autoSpaceDN/>
        <w:bidi w:val="0"/>
        <w:adjustRightInd/>
        <w:spacing w:before="0" w:beforeAutospacing="0" w:after="0" w:afterAutospacing="0" w:line="600" w:lineRule="exact"/>
        <w:ind w:left="0" w:leftChars="0" w:right="0"/>
        <w:jc w:val="center"/>
        <w:rPr>
          <w:rFonts w:hint="eastAsia" w:ascii="方正小标宋_GBK" w:hAnsi="方正小标宋_GBK" w:eastAsia="方正小标宋_GBK" w:cs="方正小标宋_GBK"/>
          <w:sz w:val="44"/>
          <w:szCs w:val="44"/>
          <w:shd w:val="clear" w:color="auto" w:fill="FFFFFF"/>
        </w:rPr>
      </w:pPr>
      <w:r>
        <w:rPr>
          <w:rFonts w:hint="eastAsia" w:ascii="方正小标宋_GBK" w:hAnsi="方正小标宋_GBK" w:eastAsia="方正小标宋_GBK" w:cs="方正小标宋_GBK"/>
          <w:sz w:val="44"/>
          <w:szCs w:val="44"/>
          <w:shd w:val="clear" w:color="auto" w:fill="FFFFFF"/>
        </w:rPr>
        <w:t>2023年度</w:t>
      </w:r>
      <w:r>
        <w:rPr>
          <w:rFonts w:hint="eastAsia" w:ascii="方正小标宋_GBK" w:hAnsi="方正小标宋_GBK" w:eastAsia="方正小标宋_GBK" w:cs="方正小标宋_GBK"/>
          <w:sz w:val="44"/>
          <w:szCs w:val="44"/>
          <w:shd w:val="clear" w:color="auto" w:fill="FFFFFF"/>
        </w:rPr>
        <w:t>决算公开说明</w:t>
      </w:r>
    </w:p>
    <w:p w14:paraId="48B49D94">
      <w:pPr>
        <w:pStyle w:val="7"/>
        <w:keepNext w:val="0"/>
        <w:keepLines w:val="0"/>
        <w:pageBreakBefore w:val="0"/>
        <w:kinsoku/>
        <w:overflowPunct/>
        <w:topLinePunct w:val="0"/>
        <w:autoSpaceDN/>
        <w:bidi w:val="0"/>
        <w:adjustRightInd/>
        <w:spacing w:before="0" w:beforeAutospacing="0" w:after="0" w:afterAutospacing="0" w:line="600" w:lineRule="exact"/>
        <w:ind w:left="0" w:leftChars="0" w:right="0"/>
        <w:jc w:val="center"/>
        <w:rPr>
          <w:rFonts w:hint="default" w:ascii="方正小标宋_GBK" w:hAnsi="方正小标宋_GBK" w:eastAsia="方正小标宋_GBK" w:cs="方正小标宋_GBK"/>
          <w:sz w:val="44"/>
          <w:szCs w:val="44"/>
          <w:shd w:val="clear" w:color="auto" w:fill="FFFFFF"/>
        </w:rPr>
      </w:pPr>
    </w:p>
    <w:p w14:paraId="1E508A6B">
      <w:pPr>
        <w:pStyle w:val="7"/>
        <w:keepNext w:val="0"/>
        <w:keepLines w:val="0"/>
        <w:pageBreakBefore w:val="0"/>
        <w:shd w:val="clear" w:color="auto" w:fill="FFFFFF"/>
        <w:kinsoku/>
        <w:overflowPunct/>
        <w:topLinePunct w:val="0"/>
        <w:autoSpaceDN/>
        <w:bidi w:val="0"/>
        <w:adjustRightInd/>
        <w:spacing w:beforeAutospacing="0" w:after="0" w:afterAutospacing="0" w:line="600" w:lineRule="exact"/>
        <w:ind w:left="0" w:leftChars="0" w:right="0" w:firstLine="640" w:firstLineChars="200"/>
        <w:rPr>
          <w:rFonts w:hint="eastAsia" w:ascii="方正黑体_GBK" w:hAnsi="方正黑体_GBK" w:eastAsia="方正黑体_GBK" w:cs="方正黑体_GBK"/>
          <w:b w:val="0"/>
          <w:bCs/>
          <w:sz w:val="32"/>
          <w:szCs w:val="32"/>
        </w:rPr>
      </w:pPr>
      <w:r>
        <w:rPr>
          <w:rStyle w:val="11"/>
          <w:rFonts w:hint="eastAsia" w:ascii="方正黑体_GBK" w:hAnsi="方正黑体_GBK" w:eastAsia="方正黑体_GBK" w:cs="方正黑体_GBK"/>
          <w:b w:val="0"/>
          <w:bCs/>
          <w:sz w:val="32"/>
          <w:szCs w:val="32"/>
          <w:shd w:val="clear" w:color="auto" w:fill="FFFFFF"/>
        </w:rPr>
        <w:t>一、单位基本情况</w:t>
      </w:r>
    </w:p>
    <w:p w14:paraId="7DBB42AC">
      <w:pPr>
        <w:pStyle w:val="7"/>
        <w:keepNext w:val="0"/>
        <w:keepLines w:val="0"/>
        <w:pageBreakBefore w:val="0"/>
        <w:shd w:val="clear" w:color="auto" w:fill="FFFFFF"/>
        <w:kinsoku/>
        <w:overflowPunct/>
        <w:topLinePunct w:val="0"/>
        <w:autoSpaceDN/>
        <w:bidi w:val="0"/>
        <w:adjustRightInd/>
        <w:spacing w:beforeAutospacing="0" w:after="0" w:afterAutospacing="0" w:line="600" w:lineRule="exact"/>
        <w:ind w:left="0" w:leftChars="0" w:right="0" w:firstLine="420"/>
        <w:rPr>
          <w:rStyle w:val="11"/>
          <w:rFonts w:hint="eastAsia" w:ascii="方正楷体_GBK" w:hAnsi="方正楷体_GBK" w:eastAsia="方正楷体_GBK" w:cs="方正楷体_GBK"/>
          <w:b w:val="0"/>
          <w:bCs/>
          <w:sz w:val="32"/>
          <w:szCs w:val="32"/>
          <w:shd w:val="clear" w:color="auto" w:fill="FFFFFF"/>
        </w:rPr>
      </w:pPr>
      <w:r>
        <w:rPr>
          <w:rStyle w:val="11"/>
          <w:rFonts w:hint="eastAsia" w:ascii="方正楷体_GBK" w:hAnsi="方正楷体_GBK" w:eastAsia="方正楷体_GBK" w:cs="方正楷体_GBK"/>
          <w:b w:val="0"/>
          <w:bCs/>
          <w:sz w:val="32"/>
          <w:szCs w:val="32"/>
          <w:shd w:val="clear" w:color="auto" w:fill="FFFFFF"/>
        </w:rPr>
        <w:t>（一）职能职责</w:t>
      </w:r>
    </w:p>
    <w:p w14:paraId="43A23B7F">
      <w:pPr>
        <w:pStyle w:val="7"/>
        <w:keepNext w:val="0"/>
        <w:keepLines w:val="0"/>
        <w:pageBreakBefore w:val="0"/>
        <w:shd w:val="clear" w:color="auto" w:fill="FFFFFF"/>
        <w:kinsoku/>
        <w:overflowPunct/>
        <w:topLinePunct w:val="0"/>
        <w:autoSpaceDN/>
        <w:bidi w:val="0"/>
        <w:adjustRightInd/>
        <w:spacing w:beforeAutospacing="0" w:after="0" w:afterAutospacing="0" w:line="600" w:lineRule="exact"/>
        <w:ind w:left="0" w:leftChars="0" w:right="0" w:firstLine="420"/>
        <w:rPr>
          <w:rFonts w:hint="eastAsia" w:ascii="宋体" w:hAnsi="宋体" w:eastAsia="方正仿宋_GBK" w:cs="Times New Roman"/>
          <w:kern w:val="0"/>
          <w:sz w:val="32"/>
          <w:szCs w:val="32"/>
          <w:shd w:val="clear" w:color="auto" w:fill="FFFFFF"/>
          <w:lang w:val="en-US" w:eastAsia="zh-CN" w:bidi="ar-SA"/>
        </w:rPr>
      </w:pPr>
      <w:r>
        <w:rPr>
          <w:rFonts w:hint="eastAsia" w:ascii="宋体" w:hAnsi="宋体" w:eastAsia="方正仿宋_GBK" w:cs="Times New Roman"/>
          <w:kern w:val="0"/>
          <w:sz w:val="32"/>
          <w:szCs w:val="32"/>
          <w:shd w:val="clear" w:color="auto" w:fill="FFFFFF"/>
          <w:lang w:val="en-US" w:eastAsia="zh-CN" w:bidi="ar-SA"/>
        </w:rPr>
        <w:t>丰都县交通运输综合行政执法支队以县交通局的名义，统一行使交通运输领域行政处罚权及与之相关的行政检查、行政强制权等执法职能。</w:t>
      </w:r>
    </w:p>
    <w:p w14:paraId="5A1DDA7C">
      <w:pPr>
        <w:pStyle w:val="17"/>
        <w:keepNext w:val="0"/>
        <w:keepLines w:val="0"/>
        <w:pageBreakBefore w:val="0"/>
        <w:widowControl w:val="0"/>
        <w:kinsoku/>
        <w:overflowPunct/>
        <w:topLinePunct w:val="0"/>
        <w:autoSpaceDN/>
        <w:bidi w:val="0"/>
        <w:adjustRightInd/>
        <w:spacing w:line="600" w:lineRule="exact"/>
        <w:ind w:firstLine="640"/>
        <w:rPr>
          <w:rFonts w:eastAsia="方正仿宋_GBK"/>
          <w:shd w:val="clear" w:color="auto" w:fill="FFFFFF"/>
        </w:rPr>
      </w:pPr>
      <w:r>
        <w:rPr>
          <w:rFonts w:hint="eastAsia" w:eastAsia="方正仿宋_GBK"/>
          <w:shd w:val="clear" w:color="auto" w:fill="FFFFFF"/>
          <w:lang w:val="en-US" w:eastAsia="zh-CN"/>
        </w:rPr>
        <w:t>1.</w:t>
      </w:r>
      <w:r>
        <w:rPr>
          <w:rFonts w:eastAsia="方正仿宋_GBK"/>
          <w:shd w:val="clear" w:color="auto" w:fill="FFFFFF"/>
        </w:rPr>
        <w:t>承担全县交通运输领域综合行政执法工作的组织、指导、协调和监督工作。</w:t>
      </w:r>
      <w:r>
        <w:rPr>
          <w:rFonts w:eastAsia="方正仿宋_GBK"/>
        </w:rPr>
        <w:t>参与拟订全县交通</w:t>
      </w:r>
      <w:r>
        <w:rPr>
          <w:rFonts w:eastAsia="方正仿宋_GBK"/>
          <w:shd w:val="clear" w:color="auto" w:fill="FFFFFF"/>
        </w:rPr>
        <w:t>运输综合</w:t>
      </w:r>
      <w:r>
        <w:rPr>
          <w:rFonts w:eastAsia="方正仿宋_GBK"/>
        </w:rPr>
        <w:t>行政执法管理制度，并监督实施。</w:t>
      </w:r>
    </w:p>
    <w:p w14:paraId="005CA43B">
      <w:pPr>
        <w:pStyle w:val="17"/>
        <w:keepNext w:val="0"/>
        <w:keepLines w:val="0"/>
        <w:pageBreakBefore w:val="0"/>
        <w:widowControl w:val="0"/>
        <w:kinsoku/>
        <w:overflowPunct/>
        <w:topLinePunct w:val="0"/>
        <w:autoSpaceDN/>
        <w:bidi w:val="0"/>
        <w:adjustRightInd/>
        <w:spacing w:line="600" w:lineRule="exact"/>
        <w:ind w:firstLine="640"/>
        <w:rPr>
          <w:rFonts w:eastAsia="方正仿宋_GBK"/>
          <w:shd w:val="clear" w:color="auto" w:fill="FFFFFF"/>
        </w:rPr>
      </w:pPr>
      <w:r>
        <w:rPr>
          <w:rFonts w:hint="eastAsia" w:eastAsia="方正仿宋_GBK"/>
          <w:shd w:val="clear" w:color="auto" w:fill="FFFFFF"/>
          <w:lang w:val="en-US" w:eastAsia="zh-CN"/>
        </w:rPr>
        <w:t>2.</w:t>
      </w:r>
      <w:r>
        <w:rPr>
          <w:rFonts w:eastAsia="方正仿宋_GBK"/>
          <w:shd w:val="clear" w:color="auto" w:fill="FFFFFF"/>
        </w:rPr>
        <w:t>承担公路路政、道路运政、水路运政、港口行政、地方海事行政、地方航道行政、渔业船舶检验的执法职能。组织、协调公路超限运输治理的执法工作。</w:t>
      </w:r>
    </w:p>
    <w:p w14:paraId="6D2EFCAC">
      <w:pPr>
        <w:pStyle w:val="17"/>
        <w:keepNext w:val="0"/>
        <w:keepLines w:val="0"/>
        <w:pageBreakBefore w:val="0"/>
        <w:widowControl w:val="0"/>
        <w:kinsoku/>
        <w:overflowPunct/>
        <w:topLinePunct w:val="0"/>
        <w:autoSpaceDN/>
        <w:bidi w:val="0"/>
        <w:adjustRightInd/>
        <w:spacing w:line="600" w:lineRule="exact"/>
        <w:ind w:firstLine="640"/>
        <w:rPr>
          <w:rFonts w:eastAsia="方正仿宋_GBK"/>
        </w:rPr>
      </w:pPr>
      <w:r>
        <w:rPr>
          <w:rFonts w:hint="eastAsia" w:eastAsia="方正仿宋_GBK"/>
          <w:shd w:val="clear" w:color="auto" w:fill="FFFFFF"/>
          <w:lang w:val="en-US" w:eastAsia="zh-CN"/>
        </w:rPr>
        <w:t>3.</w:t>
      </w:r>
      <w:r>
        <w:rPr>
          <w:rFonts w:eastAsia="方正仿宋_GBK"/>
          <w:shd w:val="clear" w:color="auto" w:fill="FFFFFF"/>
        </w:rPr>
        <w:t>承担公路、水运等</w:t>
      </w:r>
      <w:r>
        <w:rPr>
          <w:rFonts w:eastAsia="方正仿宋_GBK"/>
        </w:rPr>
        <w:t>交通建设工程质量和安全生产监督管理的执法职能。</w:t>
      </w:r>
    </w:p>
    <w:p w14:paraId="6D559DCD">
      <w:pPr>
        <w:pStyle w:val="17"/>
        <w:keepNext w:val="0"/>
        <w:keepLines w:val="0"/>
        <w:pageBreakBefore w:val="0"/>
        <w:widowControl w:val="0"/>
        <w:kinsoku/>
        <w:overflowPunct/>
        <w:topLinePunct w:val="0"/>
        <w:autoSpaceDN/>
        <w:bidi w:val="0"/>
        <w:adjustRightInd/>
        <w:spacing w:line="600" w:lineRule="exact"/>
        <w:ind w:firstLine="640" w:firstLineChars="200"/>
        <w:rPr>
          <w:rFonts w:eastAsia="方正仿宋_GBK"/>
        </w:rPr>
      </w:pPr>
      <w:r>
        <w:rPr>
          <w:rFonts w:hint="eastAsia" w:eastAsia="方正仿宋_GBK"/>
          <w:shd w:val="clear" w:color="auto" w:fill="FFFFFF"/>
          <w:lang w:val="en-US" w:eastAsia="zh-CN"/>
        </w:rPr>
        <w:t>4.</w:t>
      </w:r>
      <w:r>
        <w:rPr>
          <w:rFonts w:eastAsia="方正仿宋_GBK"/>
          <w:shd w:val="clear" w:color="auto" w:fill="FFFFFF"/>
        </w:rPr>
        <w:t>承担</w:t>
      </w:r>
      <w:r>
        <w:rPr>
          <w:rFonts w:eastAsia="方正仿宋_GBK"/>
        </w:rPr>
        <w:t>交通运输综合行政执法信息化建设工作。</w:t>
      </w:r>
    </w:p>
    <w:p w14:paraId="7BC9FDCD">
      <w:pPr>
        <w:pStyle w:val="17"/>
        <w:keepNext w:val="0"/>
        <w:keepLines w:val="0"/>
        <w:pageBreakBefore w:val="0"/>
        <w:widowControl w:val="0"/>
        <w:kinsoku/>
        <w:overflowPunct/>
        <w:topLinePunct w:val="0"/>
        <w:autoSpaceDN/>
        <w:bidi w:val="0"/>
        <w:adjustRightInd/>
        <w:spacing w:line="600" w:lineRule="exact"/>
        <w:ind w:firstLine="640" w:firstLineChars="200"/>
        <w:rPr>
          <w:rFonts w:eastAsia="方正仿宋_GBK"/>
        </w:rPr>
      </w:pPr>
      <w:r>
        <w:rPr>
          <w:rFonts w:hint="eastAsia" w:eastAsia="方正仿宋_GBK"/>
          <w:shd w:val="clear" w:color="auto" w:fill="FFFFFF"/>
          <w:lang w:val="en-US" w:eastAsia="zh-CN"/>
        </w:rPr>
        <w:t>5.</w:t>
      </w:r>
      <w:r>
        <w:rPr>
          <w:rFonts w:eastAsia="方正仿宋_GBK"/>
          <w:shd w:val="clear" w:color="auto" w:fill="FFFFFF"/>
        </w:rPr>
        <w:t>完成县委、县政府和县交通局交办的其他任务。</w:t>
      </w:r>
    </w:p>
    <w:p w14:paraId="3DF10457">
      <w:pPr>
        <w:pStyle w:val="7"/>
        <w:keepNext w:val="0"/>
        <w:keepLines w:val="0"/>
        <w:pageBreakBefore w:val="0"/>
        <w:numPr>
          <w:numId w:val="0"/>
        </w:numPr>
        <w:shd w:val="clear" w:color="auto" w:fill="FFFFFF"/>
        <w:kinsoku/>
        <w:overflowPunct/>
        <w:topLinePunct w:val="0"/>
        <w:autoSpaceDN/>
        <w:bidi w:val="0"/>
        <w:adjustRightInd/>
        <w:spacing w:beforeAutospacing="0" w:after="0" w:afterAutospacing="0" w:line="600" w:lineRule="exact"/>
        <w:ind w:left="420" w:leftChars="0" w:right="0" w:rightChars="0"/>
        <w:rPr>
          <w:rStyle w:val="11"/>
          <w:rFonts w:hint="eastAsia" w:ascii="方正楷体_GBK" w:hAnsi="方正楷体_GBK" w:eastAsia="方正楷体_GBK" w:cs="方正楷体_GBK"/>
          <w:b w:val="0"/>
          <w:bCs/>
          <w:sz w:val="32"/>
          <w:szCs w:val="32"/>
          <w:shd w:val="clear" w:color="auto" w:fill="FFFFFF"/>
        </w:rPr>
      </w:pPr>
      <w:r>
        <w:rPr>
          <w:rStyle w:val="11"/>
          <w:rFonts w:hint="eastAsia" w:ascii="方正楷体_GBK" w:hAnsi="方正楷体_GBK" w:eastAsia="方正楷体_GBK" w:cs="方正楷体_GBK"/>
          <w:b w:val="0"/>
          <w:bCs/>
          <w:sz w:val="32"/>
          <w:szCs w:val="32"/>
          <w:shd w:val="clear" w:color="auto" w:fill="FFFFFF"/>
          <w:lang w:eastAsia="zh-CN"/>
        </w:rPr>
        <w:t>（</w:t>
      </w:r>
      <w:r>
        <w:rPr>
          <w:rStyle w:val="11"/>
          <w:rFonts w:hint="eastAsia" w:ascii="方正楷体_GBK" w:hAnsi="方正楷体_GBK" w:eastAsia="方正楷体_GBK" w:cs="方正楷体_GBK"/>
          <w:b w:val="0"/>
          <w:bCs/>
          <w:sz w:val="32"/>
          <w:szCs w:val="32"/>
          <w:shd w:val="clear" w:color="auto" w:fill="FFFFFF"/>
          <w:lang w:val="en-US" w:eastAsia="zh-CN"/>
        </w:rPr>
        <w:t>二）</w:t>
      </w:r>
      <w:r>
        <w:rPr>
          <w:rStyle w:val="11"/>
          <w:rFonts w:hint="eastAsia" w:ascii="方正楷体_GBK" w:hAnsi="方正楷体_GBK" w:eastAsia="方正楷体_GBK" w:cs="方正楷体_GBK"/>
          <w:b w:val="0"/>
          <w:bCs/>
          <w:sz w:val="32"/>
          <w:szCs w:val="32"/>
          <w:shd w:val="clear" w:color="auto" w:fill="FFFFFF"/>
        </w:rPr>
        <w:t>机构设置</w:t>
      </w:r>
    </w:p>
    <w:p w14:paraId="5C26BDB0">
      <w:pPr>
        <w:keepNext w:val="0"/>
        <w:keepLines w:val="0"/>
        <w:pageBreakBefore w:val="0"/>
        <w:kinsoku/>
        <w:overflowPunct/>
        <w:topLinePunct w:val="0"/>
        <w:autoSpaceDN/>
        <w:bidi w:val="0"/>
        <w:adjustRightInd/>
        <w:spacing w:beforeAutospacing="0" w:afterAutospacing="0" w:line="600" w:lineRule="exact"/>
        <w:ind w:left="0" w:leftChars="0" w:right="0" w:firstLine="640" w:firstLineChars="200"/>
        <w:rPr>
          <w:rFonts w:eastAsia="方正仿宋_GBK"/>
          <w:bCs/>
          <w:sz w:val="32"/>
          <w:szCs w:val="32"/>
        </w:rPr>
      </w:pPr>
      <w:r>
        <w:rPr>
          <w:rFonts w:eastAsia="方正仿宋_GBK"/>
          <w:sz w:val="32"/>
          <w:szCs w:val="32"/>
          <w:highlight w:val="white"/>
        </w:rPr>
        <w:t>整合交通运输系统内</w:t>
      </w:r>
      <w:r>
        <w:rPr>
          <w:rFonts w:eastAsia="方正仿宋_GBK"/>
          <w:sz w:val="32"/>
          <w:szCs w:val="32"/>
        </w:rPr>
        <w:t>公路路政、道路运政、水路运政、港口行政、地方海事行政、地方航道行政、交通工程质量监督管理等执法门类的执法</w:t>
      </w:r>
      <w:r>
        <w:rPr>
          <w:rFonts w:eastAsia="方正仿宋_GBK"/>
          <w:sz w:val="32"/>
          <w:szCs w:val="32"/>
          <w:shd w:val="clear" w:color="auto" w:fill="FFFFFF"/>
        </w:rPr>
        <w:t>职责，相应将丰都</w:t>
      </w:r>
      <w:r>
        <w:rPr>
          <w:rFonts w:eastAsia="方正仿宋_GBK"/>
          <w:sz w:val="32"/>
          <w:szCs w:val="32"/>
        </w:rPr>
        <w:t>县交通行政执法大队更名为丰都县交通运输综合行政执法支队，</w:t>
      </w:r>
      <w:r>
        <w:rPr>
          <w:rFonts w:eastAsia="方正仿宋_GBK"/>
          <w:sz w:val="32"/>
          <w:szCs w:val="32"/>
          <w:shd w:val="clear" w:color="auto" w:fill="FFFFFF"/>
        </w:rPr>
        <w:t>为县交通局管理的行政执法机构，机构规格</w:t>
      </w:r>
      <w:r>
        <w:rPr>
          <w:rFonts w:eastAsia="方正仿宋_GBK"/>
          <w:bCs/>
          <w:sz w:val="32"/>
          <w:szCs w:val="32"/>
        </w:rPr>
        <w:t>正科级。</w:t>
      </w:r>
    </w:p>
    <w:p w14:paraId="4FF4F0CA">
      <w:pPr>
        <w:pStyle w:val="17"/>
        <w:keepNext w:val="0"/>
        <w:keepLines w:val="0"/>
        <w:pageBreakBefore w:val="0"/>
        <w:widowControl w:val="0"/>
        <w:kinsoku/>
        <w:overflowPunct/>
        <w:topLinePunct w:val="0"/>
        <w:autoSpaceDN/>
        <w:bidi w:val="0"/>
        <w:adjustRightInd/>
        <w:spacing w:line="600" w:lineRule="exact"/>
        <w:ind w:firstLine="640"/>
        <w:rPr>
          <w:rFonts w:eastAsia="方正仿宋_GBK"/>
        </w:rPr>
      </w:pPr>
      <w:r>
        <w:rPr>
          <w:rFonts w:eastAsia="方正仿宋_GBK"/>
        </w:rPr>
        <w:t>根据上述职责，丰都县交通运输综合行政执法支队设下列内设机构。</w:t>
      </w:r>
    </w:p>
    <w:p w14:paraId="6DC8539C">
      <w:pPr>
        <w:pStyle w:val="17"/>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left="0" w:leftChars="0" w:right="0" w:rightChars="0" w:firstLine="643"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b/>
          <w:bCs/>
          <w:color w:val="000000"/>
          <w:sz w:val="32"/>
          <w:szCs w:val="32"/>
          <w:lang w:val="en-US" w:eastAsia="zh-CN"/>
        </w:rPr>
        <w:t>1.综合科（装备财务科）</w:t>
      </w:r>
      <w:r>
        <w:rPr>
          <w:rFonts w:hint="eastAsia" w:ascii="方正仿宋_GBK" w:hAnsi="方正仿宋_GBK" w:eastAsia="方正仿宋_GBK" w:cs="方正仿宋_GBK"/>
          <w:color w:val="000000"/>
          <w:sz w:val="32"/>
          <w:szCs w:val="32"/>
          <w:lang w:val="en-US" w:eastAsia="zh-CN"/>
        </w:rPr>
        <w:t>。</w:t>
      </w:r>
      <w:r>
        <w:rPr>
          <w:rFonts w:hint="eastAsia" w:ascii="方正仿宋_GBK" w:hAnsi="方正仿宋_GBK" w:eastAsia="方正仿宋_GBK" w:cs="方正仿宋_GBK"/>
          <w:color w:val="000000"/>
          <w:sz w:val="32"/>
          <w:szCs w:val="32"/>
        </w:rPr>
        <w:t>负责支队日常运转和重要事项督查督办，承担支队文秘、档案、机要保密、会务、信息等工作；承担信息化建设、党建、群团、</w:t>
      </w:r>
      <w:r>
        <w:rPr>
          <w:rFonts w:hint="eastAsia" w:ascii="方正仿宋_GBK" w:hAnsi="方正仿宋_GBK" w:eastAsia="方正仿宋_GBK" w:cs="方正仿宋_GBK"/>
          <w:color w:val="000000"/>
          <w:sz w:val="32"/>
          <w:szCs w:val="32"/>
          <w:lang w:eastAsia="zh-CN"/>
        </w:rPr>
        <w:t>综合治理、</w:t>
      </w:r>
      <w:r>
        <w:rPr>
          <w:rFonts w:hint="eastAsia" w:ascii="方正仿宋_GBK" w:hAnsi="方正仿宋_GBK" w:eastAsia="方正仿宋_GBK" w:cs="方正仿宋_GBK"/>
          <w:color w:val="000000"/>
          <w:sz w:val="32"/>
          <w:szCs w:val="32"/>
        </w:rPr>
        <w:t>目标管理等工作；负责综合协调、人事编制和议提案办理等工作；负责编制财务预决算、日常财务管理、劳动工资等工作；负责国有资产管理及政府采购工作</w:t>
      </w:r>
      <w:r>
        <w:rPr>
          <w:rFonts w:hint="eastAsia" w:ascii="方正仿宋_GBK" w:hAnsi="方正仿宋_GBK" w:eastAsia="方正仿宋_GBK" w:cs="方正仿宋_GBK"/>
          <w:color w:val="000000"/>
          <w:sz w:val="32"/>
          <w:szCs w:val="32"/>
          <w:lang w:eastAsia="zh-CN"/>
        </w:rPr>
        <w:t>（含执法装备）</w:t>
      </w:r>
      <w:r>
        <w:rPr>
          <w:rFonts w:hint="eastAsia" w:ascii="方正仿宋_GBK" w:hAnsi="方正仿宋_GBK" w:eastAsia="方正仿宋_GBK" w:cs="方正仿宋_GBK"/>
          <w:color w:val="000000"/>
          <w:sz w:val="32"/>
          <w:szCs w:val="32"/>
        </w:rPr>
        <w:t>；负责单位内部审计及其他专项审计工作；负责机关后勤服务保障工作。</w:t>
      </w:r>
      <w:r>
        <w:rPr>
          <w:rFonts w:hint="eastAsia" w:ascii="方正仿宋_GBK" w:hAnsi="方正仿宋_GBK" w:eastAsia="方正仿宋_GBK" w:cs="方正仿宋_GBK"/>
          <w:color w:val="000000"/>
          <w:sz w:val="32"/>
          <w:szCs w:val="32"/>
          <w:lang w:val="en-US" w:eastAsia="zh-CN"/>
        </w:rPr>
        <w:t xml:space="preserve">完成上级交办的其他工作。  </w:t>
      </w:r>
    </w:p>
    <w:p w14:paraId="625F4435">
      <w:pPr>
        <w:pStyle w:val="17"/>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left="0" w:leftChars="0" w:right="0" w:rightChars="0" w:firstLine="643"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b/>
          <w:bCs/>
          <w:color w:val="000000"/>
          <w:sz w:val="32"/>
          <w:szCs w:val="32"/>
          <w:lang w:val="en-US" w:eastAsia="zh-CN"/>
        </w:rPr>
        <w:t>2.法制科。</w:t>
      </w:r>
      <w:r>
        <w:rPr>
          <w:rFonts w:hint="eastAsia" w:ascii="方正仿宋_GBK" w:hAnsi="方正仿宋_GBK" w:eastAsia="方正仿宋_GBK" w:cs="方正仿宋_GBK"/>
          <w:color w:val="000000"/>
          <w:sz w:val="32"/>
          <w:szCs w:val="32"/>
        </w:rPr>
        <w:t>组织实施</w:t>
      </w:r>
      <w:r>
        <w:rPr>
          <w:rFonts w:hint="eastAsia" w:ascii="方正仿宋_GBK" w:hAnsi="方正仿宋_GBK" w:eastAsia="方正仿宋_GBK" w:cs="方正仿宋_GBK"/>
          <w:color w:val="000000"/>
          <w:sz w:val="32"/>
          <w:szCs w:val="32"/>
          <w:lang w:eastAsia="zh-CN"/>
        </w:rPr>
        <w:t>行政</w:t>
      </w:r>
      <w:r>
        <w:rPr>
          <w:rFonts w:hint="eastAsia" w:ascii="方正仿宋_GBK" w:hAnsi="方正仿宋_GBK" w:eastAsia="方正仿宋_GBK" w:cs="方正仿宋_GBK"/>
          <w:color w:val="000000"/>
          <w:sz w:val="32"/>
          <w:szCs w:val="32"/>
        </w:rPr>
        <w:t>执法全过程记录制度、重大执法决定法制审核制度、</w:t>
      </w:r>
      <w:r>
        <w:rPr>
          <w:rFonts w:hint="eastAsia" w:ascii="方正仿宋_GBK" w:hAnsi="方正仿宋_GBK" w:eastAsia="方正仿宋_GBK" w:cs="方正仿宋_GBK"/>
          <w:color w:val="000000"/>
          <w:sz w:val="32"/>
          <w:szCs w:val="32"/>
          <w:lang w:eastAsia="zh-CN"/>
        </w:rPr>
        <w:t>行政执法公示制度；负责开展法制宣传工作；</w:t>
      </w:r>
      <w:r>
        <w:rPr>
          <w:rFonts w:hint="eastAsia" w:ascii="方正仿宋_GBK" w:hAnsi="方正仿宋_GBK" w:eastAsia="方正仿宋_GBK" w:cs="方正仿宋_GBK"/>
          <w:color w:val="000000"/>
          <w:sz w:val="32"/>
          <w:szCs w:val="32"/>
          <w:lang w:val="en-US" w:eastAsia="zh-CN"/>
        </w:rPr>
        <w:t>负责</w:t>
      </w:r>
      <w:r>
        <w:rPr>
          <w:rFonts w:hint="eastAsia" w:ascii="方正仿宋_GBK" w:hAnsi="方正仿宋_GBK" w:eastAsia="方正仿宋_GBK" w:cs="方正仿宋_GBK"/>
          <w:color w:val="000000"/>
          <w:sz w:val="32"/>
          <w:szCs w:val="32"/>
        </w:rPr>
        <w:t>执法人员</w:t>
      </w:r>
      <w:r>
        <w:rPr>
          <w:rFonts w:hint="eastAsia" w:ascii="方正仿宋_GBK" w:hAnsi="方正仿宋_GBK" w:eastAsia="方正仿宋_GBK" w:cs="方正仿宋_GBK"/>
          <w:color w:val="000000"/>
          <w:sz w:val="32"/>
          <w:szCs w:val="32"/>
          <w:lang w:val="en-US" w:eastAsia="zh-CN"/>
        </w:rPr>
        <w:t>证件</w:t>
      </w:r>
      <w:r>
        <w:rPr>
          <w:rFonts w:hint="eastAsia" w:ascii="方正仿宋_GBK" w:hAnsi="方正仿宋_GBK" w:eastAsia="方正仿宋_GBK" w:cs="方正仿宋_GBK"/>
          <w:color w:val="000000"/>
          <w:sz w:val="32"/>
          <w:szCs w:val="32"/>
        </w:rPr>
        <w:t>管理</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val="en-US" w:eastAsia="zh-CN"/>
        </w:rPr>
        <w:t>执法人员业务培训工作</w:t>
      </w:r>
      <w:r>
        <w:rPr>
          <w:rFonts w:hint="eastAsia" w:ascii="方正仿宋_GBK" w:hAnsi="方正仿宋_GBK" w:eastAsia="方正仿宋_GBK" w:cs="方正仿宋_GBK"/>
          <w:color w:val="000000"/>
          <w:sz w:val="32"/>
          <w:szCs w:val="32"/>
        </w:rPr>
        <w:t>；</w:t>
      </w:r>
      <w:r>
        <w:rPr>
          <w:rFonts w:hint="eastAsia" w:ascii="方正仿宋_GBK" w:hAnsi="方正仿宋_GBK" w:eastAsia="方正仿宋_GBK" w:cs="方正仿宋_GBK"/>
          <w:color w:val="000000"/>
          <w:sz w:val="32"/>
          <w:szCs w:val="32"/>
          <w:lang w:eastAsia="zh-CN"/>
        </w:rPr>
        <w:t>负责</w:t>
      </w:r>
      <w:r>
        <w:rPr>
          <w:rFonts w:hint="eastAsia" w:ascii="方正仿宋_GBK" w:hAnsi="方正仿宋_GBK" w:eastAsia="方正仿宋_GBK" w:cs="方正仿宋_GBK"/>
          <w:color w:val="000000"/>
          <w:sz w:val="32"/>
          <w:szCs w:val="32"/>
        </w:rPr>
        <w:t>执法案卷评查</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val="en-US" w:eastAsia="zh-CN"/>
        </w:rPr>
        <w:t>执法</w:t>
      </w:r>
      <w:r>
        <w:rPr>
          <w:rFonts w:hint="eastAsia" w:ascii="方正仿宋_GBK" w:hAnsi="方正仿宋_GBK" w:eastAsia="方正仿宋_GBK" w:cs="方正仿宋_GBK"/>
          <w:color w:val="000000"/>
          <w:sz w:val="32"/>
          <w:szCs w:val="32"/>
        </w:rPr>
        <w:t>案件法制审核、行政赔偿案件的调查；负责案件登记、处理</w:t>
      </w:r>
      <w:r>
        <w:rPr>
          <w:rFonts w:hint="eastAsia" w:ascii="方正仿宋_GBK" w:hAnsi="方正仿宋_GBK" w:eastAsia="方正仿宋_GBK" w:cs="方正仿宋_GBK"/>
          <w:color w:val="000000"/>
          <w:sz w:val="32"/>
          <w:szCs w:val="32"/>
          <w:lang w:val="en-US" w:eastAsia="zh-CN"/>
        </w:rPr>
        <w:t>处罚</w:t>
      </w:r>
      <w:r>
        <w:rPr>
          <w:rFonts w:hint="eastAsia" w:ascii="方正仿宋_GBK" w:hAnsi="方正仿宋_GBK" w:eastAsia="方正仿宋_GBK" w:cs="方正仿宋_GBK"/>
          <w:color w:val="000000"/>
          <w:sz w:val="32"/>
          <w:szCs w:val="32"/>
        </w:rPr>
        <w:t>、统计及档案管理</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val="en-US" w:eastAsia="zh-CN"/>
        </w:rPr>
        <w:t>指导、监督交通运输综合行政执法</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lang w:val="en-US" w:eastAsia="zh-CN"/>
        </w:rPr>
        <w:t>四基四化</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color w:val="000000"/>
          <w:sz w:val="32"/>
          <w:szCs w:val="32"/>
        </w:rPr>
        <w:t>建设，</w:t>
      </w:r>
      <w:r>
        <w:rPr>
          <w:rFonts w:hint="eastAsia" w:ascii="方正仿宋_GBK" w:hAnsi="方正仿宋_GBK" w:eastAsia="方正仿宋_GBK" w:cs="方正仿宋_GBK"/>
          <w:color w:val="000000"/>
          <w:sz w:val="32"/>
          <w:szCs w:val="32"/>
          <w:lang w:val="en-US" w:eastAsia="zh-CN"/>
        </w:rPr>
        <w:t>执法文书、规范性文件</w:t>
      </w:r>
      <w:r>
        <w:rPr>
          <w:rFonts w:hint="eastAsia" w:ascii="方正仿宋_GBK" w:hAnsi="方正仿宋_GBK" w:eastAsia="方正仿宋_GBK" w:cs="方正仿宋_GBK"/>
          <w:color w:val="000000"/>
          <w:sz w:val="32"/>
          <w:szCs w:val="32"/>
        </w:rPr>
        <w:t>合法性审查工作</w:t>
      </w:r>
      <w:r>
        <w:rPr>
          <w:rFonts w:hint="eastAsia" w:ascii="方正仿宋_GBK" w:hAnsi="方正仿宋_GBK" w:eastAsia="方正仿宋_GBK" w:cs="方正仿宋_GBK"/>
          <w:color w:val="000000"/>
          <w:sz w:val="32"/>
          <w:szCs w:val="32"/>
          <w:lang w:val="en-US" w:eastAsia="zh-CN"/>
        </w:rPr>
        <w:t>；</w:t>
      </w:r>
      <w:r>
        <w:rPr>
          <w:rFonts w:hint="eastAsia" w:ascii="方正仿宋_GBK" w:hAnsi="方正仿宋_GBK" w:eastAsia="方正仿宋_GBK" w:cs="方正仿宋_GBK"/>
          <w:color w:val="000000"/>
          <w:sz w:val="32"/>
          <w:szCs w:val="32"/>
          <w:lang w:eastAsia="zh-CN"/>
        </w:rPr>
        <w:t>协助交通局开展</w:t>
      </w:r>
      <w:r>
        <w:rPr>
          <w:rFonts w:hint="eastAsia" w:ascii="方正仿宋_GBK" w:hAnsi="方正仿宋_GBK" w:eastAsia="方正仿宋_GBK" w:cs="方正仿宋_GBK"/>
          <w:color w:val="000000"/>
          <w:sz w:val="32"/>
          <w:szCs w:val="32"/>
        </w:rPr>
        <w:t>案件听证、复议、诉讼及行刑衔接等工作</w:t>
      </w:r>
      <w:r>
        <w:rPr>
          <w:rFonts w:hint="eastAsia" w:ascii="方正仿宋_GBK" w:hAnsi="方正仿宋_GBK" w:eastAsia="方正仿宋_GBK" w:cs="方正仿宋_GBK"/>
          <w:color w:val="000000"/>
          <w:sz w:val="32"/>
          <w:szCs w:val="32"/>
          <w:lang w:val="en-US" w:eastAsia="zh-CN"/>
        </w:rPr>
        <w:t>。完成上级交办的其他工作。</w:t>
      </w:r>
    </w:p>
    <w:p w14:paraId="2DB1A4A2">
      <w:pPr>
        <w:pStyle w:val="17"/>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left="0" w:leftChars="0" w:right="0" w:rightChars="0" w:firstLine="643" w:firstLineChars="200"/>
        <w:jc w:val="both"/>
        <w:textAlignment w:val="auto"/>
        <w:outlineLvl w:val="9"/>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b/>
          <w:bCs/>
          <w:color w:val="000000"/>
          <w:sz w:val="32"/>
          <w:szCs w:val="32"/>
          <w:lang w:val="en-US" w:eastAsia="zh-CN"/>
        </w:rPr>
        <w:t>3.应急勤务科（安全信访科）</w:t>
      </w:r>
      <w:r>
        <w:rPr>
          <w:rFonts w:hint="eastAsia" w:ascii="方正仿宋_GBK" w:hAnsi="方正仿宋_GBK" w:eastAsia="方正仿宋_GBK" w:cs="方正仿宋_GBK"/>
          <w:color w:val="000000"/>
          <w:sz w:val="32"/>
          <w:szCs w:val="32"/>
          <w:lang w:val="en-US" w:eastAsia="zh-CN"/>
        </w:rPr>
        <w:t>。</w:t>
      </w:r>
      <w:r>
        <w:rPr>
          <w:rFonts w:hint="eastAsia" w:ascii="方正仿宋_GBK" w:hAnsi="方正仿宋_GBK" w:eastAsia="方正仿宋_GBK" w:cs="方正仿宋_GBK"/>
          <w:color w:val="000000"/>
          <w:sz w:val="32"/>
          <w:szCs w:val="32"/>
          <w:lang w:eastAsia="zh-CN"/>
        </w:rPr>
        <w:t>配合做好</w:t>
      </w:r>
      <w:r>
        <w:rPr>
          <w:rFonts w:hint="eastAsia" w:ascii="方正仿宋_GBK" w:hAnsi="方正仿宋_GBK" w:eastAsia="方正仿宋_GBK" w:cs="方正仿宋_GBK"/>
          <w:color w:val="000000"/>
          <w:sz w:val="32"/>
          <w:szCs w:val="32"/>
        </w:rPr>
        <w:t>突发事件应急指挥调度、处置工作，以及交通执法服务热线有关工作；负责执法勤务管理工作；组织协调交通运输执法专项整治、执法业务协调、重大案件查处及跨区域联勤联动执法等工作；负责督导交通执法安全生产监督管理工作；负责信访稳定、环境保护工作，参与交通执法投诉的调查处理等工作；负责</w:t>
      </w:r>
      <w:r>
        <w:rPr>
          <w:rFonts w:hint="eastAsia" w:ascii="方正仿宋_GBK" w:hAnsi="方正仿宋_GBK" w:eastAsia="方正仿宋_GBK" w:cs="方正仿宋_GBK"/>
          <w:color w:val="000000"/>
          <w:sz w:val="32"/>
          <w:szCs w:val="32"/>
          <w:lang w:val="en-US" w:eastAsia="zh-CN"/>
        </w:rPr>
        <w:t>非现</w:t>
      </w:r>
      <w:r>
        <w:rPr>
          <w:rFonts w:hint="eastAsia" w:ascii="方正仿宋_GBK" w:hAnsi="方正仿宋_GBK" w:eastAsia="方正仿宋_GBK" w:cs="方正仿宋_GBK"/>
          <w:color w:val="000000"/>
          <w:sz w:val="32"/>
          <w:szCs w:val="32"/>
        </w:rPr>
        <w:t>治超站点</w:t>
      </w:r>
      <w:r>
        <w:rPr>
          <w:rFonts w:hint="eastAsia" w:ascii="方正仿宋_GBK" w:hAnsi="方正仿宋_GBK" w:eastAsia="方正仿宋_GBK" w:cs="方正仿宋_GBK"/>
          <w:color w:val="000000"/>
          <w:sz w:val="32"/>
          <w:szCs w:val="32"/>
          <w:lang w:eastAsia="zh-CN"/>
        </w:rPr>
        <w:t>规划、</w:t>
      </w:r>
      <w:r>
        <w:rPr>
          <w:rFonts w:hint="eastAsia" w:ascii="方正仿宋_GBK" w:hAnsi="方正仿宋_GBK" w:eastAsia="方正仿宋_GBK" w:cs="方正仿宋_GBK"/>
          <w:color w:val="000000"/>
          <w:sz w:val="32"/>
          <w:szCs w:val="32"/>
        </w:rPr>
        <w:t>建设、</w:t>
      </w:r>
      <w:r>
        <w:rPr>
          <w:rFonts w:hint="eastAsia" w:ascii="方正仿宋_GBK" w:hAnsi="方正仿宋_GBK" w:eastAsia="方正仿宋_GBK" w:cs="方正仿宋_GBK"/>
          <w:color w:val="000000"/>
          <w:sz w:val="32"/>
          <w:szCs w:val="32"/>
          <w:lang w:val="en-US" w:eastAsia="zh-CN"/>
        </w:rPr>
        <w:t>运营</w:t>
      </w:r>
      <w:r>
        <w:rPr>
          <w:rFonts w:hint="eastAsia" w:ascii="方正仿宋_GBK" w:hAnsi="方正仿宋_GBK" w:eastAsia="方正仿宋_GBK" w:cs="方正仿宋_GBK"/>
          <w:color w:val="000000"/>
          <w:sz w:val="32"/>
          <w:szCs w:val="32"/>
        </w:rPr>
        <w:t>维护、管理等工作。</w:t>
      </w:r>
      <w:r>
        <w:rPr>
          <w:rFonts w:hint="eastAsia" w:ascii="方正仿宋_GBK" w:hAnsi="方正仿宋_GBK" w:eastAsia="方正仿宋_GBK" w:cs="方正仿宋_GBK"/>
          <w:color w:val="000000"/>
          <w:sz w:val="32"/>
          <w:szCs w:val="32"/>
          <w:lang w:val="en-US" w:eastAsia="zh-CN"/>
        </w:rPr>
        <w:t>完成上级交办的其他工作。</w:t>
      </w:r>
    </w:p>
    <w:p w14:paraId="0C1D0B00">
      <w:pPr>
        <w:pStyle w:val="17"/>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left="0" w:leftChars="0" w:right="0" w:rightChars="0" w:firstLine="643" w:firstLineChars="200"/>
        <w:jc w:val="both"/>
        <w:textAlignment w:val="auto"/>
        <w:outlineLvl w:val="9"/>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b/>
          <w:bCs/>
          <w:color w:val="000000"/>
          <w:sz w:val="32"/>
          <w:szCs w:val="32"/>
          <w:lang w:val="en-US" w:eastAsia="zh-CN"/>
        </w:rPr>
        <w:t xml:space="preserve"> 4.港航海事大队。</w:t>
      </w:r>
      <w:r>
        <w:rPr>
          <w:rFonts w:hint="eastAsia" w:ascii="方正仿宋_GBK" w:hAnsi="方正仿宋_GBK" w:eastAsia="方正仿宋_GBK" w:cs="方正仿宋_GBK"/>
          <w:color w:val="000000"/>
          <w:sz w:val="32"/>
          <w:szCs w:val="32"/>
        </w:rPr>
        <w:t>按权限承担水路运政、港口行政、地方航道行政、地方海事行政的执法职能；</w:t>
      </w:r>
      <w:r>
        <w:rPr>
          <w:rFonts w:hint="eastAsia" w:ascii="方正仿宋_GBK" w:hAnsi="方正仿宋_GBK" w:eastAsia="方正仿宋_GBK" w:cs="方正仿宋_GBK"/>
          <w:color w:val="000000"/>
          <w:sz w:val="32"/>
          <w:szCs w:val="32"/>
          <w:lang w:eastAsia="zh-CN"/>
        </w:rPr>
        <w:t>配合做好</w:t>
      </w:r>
      <w:r>
        <w:rPr>
          <w:rFonts w:hint="eastAsia" w:ascii="方正仿宋_GBK" w:hAnsi="方正仿宋_GBK" w:eastAsia="方正仿宋_GBK" w:cs="方正仿宋_GBK"/>
          <w:color w:val="000000"/>
          <w:sz w:val="32"/>
          <w:szCs w:val="32"/>
        </w:rPr>
        <w:t>地方通航水域水上交通事故预防和处理工作；按规定承担防治船舶及其作业活动污染内河水域环境的执法职能；承担船舶（含渔业船舶）检验的执法职能。</w:t>
      </w:r>
      <w:r>
        <w:rPr>
          <w:rFonts w:hint="eastAsia" w:ascii="方正仿宋_GBK" w:hAnsi="方正仿宋_GBK" w:eastAsia="方正仿宋_GBK" w:cs="方正仿宋_GBK"/>
          <w:color w:val="000000"/>
          <w:sz w:val="32"/>
          <w:szCs w:val="32"/>
          <w:lang w:val="en-US" w:eastAsia="zh-CN"/>
        </w:rPr>
        <w:t>完成上级交办的其他工作。</w:t>
      </w:r>
    </w:p>
    <w:p w14:paraId="0447FC51">
      <w:pPr>
        <w:pStyle w:val="17"/>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left="0" w:leftChars="0" w:right="0" w:rightChars="0" w:firstLine="643" w:firstLineChars="200"/>
        <w:jc w:val="both"/>
        <w:textAlignment w:val="auto"/>
        <w:outlineLvl w:val="9"/>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b/>
          <w:bCs/>
          <w:color w:val="000000"/>
          <w:sz w:val="32"/>
          <w:szCs w:val="32"/>
          <w:lang w:val="en-US" w:eastAsia="zh-CN"/>
        </w:rPr>
        <w:t>5.工程质量监督大队</w:t>
      </w:r>
      <w:r>
        <w:rPr>
          <w:rFonts w:hint="eastAsia" w:ascii="方正仿宋_GBK" w:hAnsi="方正仿宋_GBK" w:eastAsia="方正仿宋_GBK" w:cs="方正仿宋_GBK"/>
          <w:color w:val="000000"/>
          <w:sz w:val="32"/>
          <w:szCs w:val="32"/>
          <w:lang w:val="en-US" w:eastAsia="zh-CN"/>
        </w:rPr>
        <w:t>。</w:t>
      </w:r>
      <w:r>
        <w:rPr>
          <w:rFonts w:hint="eastAsia" w:ascii="方正仿宋_GBK" w:hAnsi="方正仿宋_GBK" w:eastAsia="方正仿宋_GBK" w:cs="方正仿宋_GBK"/>
          <w:color w:val="000000"/>
          <w:sz w:val="32"/>
          <w:szCs w:val="32"/>
        </w:rPr>
        <w:t>按规定承担公路、水运等交通建设工程质量和安全生产监督管理的执法职能；按规定组织事故抢救，组织或参与事故调查</w:t>
      </w:r>
      <w:r>
        <w:rPr>
          <w:rFonts w:hint="eastAsia" w:ascii="方正仿宋_GBK" w:hAnsi="方正仿宋_GBK" w:eastAsia="方正仿宋_GBK" w:cs="方正仿宋_GBK"/>
          <w:color w:val="000000"/>
          <w:sz w:val="32"/>
          <w:szCs w:val="32"/>
        </w:rPr>
        <w:t>。</w:t>
      </w:r>
      <w:r>
        <w:rPr>
          <w:rFonts w:hint="eastAsia" w:ascii="方正仿宋_GBK" w:hAnsi="方正仿宋_GBK" w:eastAsia="方正仿宋_GBK" w:cs="方正仿宋_GBK"/>
          <w:color w:val="000000"/>
          <w:sz w:val="32"/>
          <w:szCs w:val="32"/>
          <w:lang w:val="en-US" w:eastAsia="zh-CN"/>
        </w:rPr>
        <w:t>完成上级交办的其他工作。</w:t>
      </w:r>
    </w:p>
    <w:p w14:paraId="5B6D5D46">
      <w:pPr>
        <w:pStyle w:val="17"/>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left="0" w:leftChars="0" w:right="0" w:rightChars="0" w:firstLine="643" w:firstLineChars="200"/>
        <w:jc w:val="both"/>
        <w:textAlignment w:val="auto"/>
        <w:outlineLvl w:val="9"/>
        <w:rPr>
          <w:rFonts w:hint="default"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b/>
          <w:bCs/>
          <w:color w:val="000000"/>
          <w:sz w:val="32"/>
          <w:szCs w:val="32"/>
          <w:lang w:val="en-US" w:eastAsia="zh-CN"/>
        </w:rPr>
        <w:t>6.</w:t>
      </w:r>
      <w:r>
        <w:rPr>
          <w:rFonts w:hint="default" w:ascii="方正仿宋_GBK" w:hAnsi="方正仿宋_GBK" w:eastAsia="方正仿宋_GBK" w:cs="方正仿宋_GBK"/>
          <w:b/>
          <w:bCs/>
          <w:color w:val="000000"/>
          <w:sz w:val="32"/>
          <w:szCs w:val="32"/>
          <w:lang w:val="en-US" w:eastAsia="zh-CN"/>
        </w:rPr>
        <w:t>城区执法大队</w:t>
      </w:r>
      <w:r>
        <w:rPr>
          <w:rFonts w:hint="default" w:ascii="方正仿宋_GBK" w:hAnsi="方正仿宋_GBK" w:eastAsia="方正仿宋_GBK" w:cs="方正仿宋_GBK"/>
          <w:color w:val="000000"/>
          <w:sz w:val="32"/>
          <w:szCs w:val="32"/>
          <w:lang w:val="en-US" w:eastAsia="zh-CN"/>
        </w:rPr>
        <w:t>。</w:t>
      </w:r>
      <w:r>
        <w:rPr>
          <w:rFonts w:hint="default" w:ascii="方正仿宋_GBK" w:hAnsi="方正仿宋_GBK" w:eastAsia="方正仿宋_GBK" w:cs="方正仿宋_GBK"/>
          <w:color w:val="000000"/>
          <w:sz w:val="32"/>
          <w:szCs w:val="32"/>
        </w:rPr>
        <w:t>负责</w:t>
      </w:r>
      <w:r>
        <w:rPr>
          <w:rFonts w:hint="default" w:ascii="方正仿宋_GBK" w:hAnsi="方正仿宋_GBK" w:eastAsia="方正仿宋_GBK" w:cs="方正仿宋_GBK"/>
          <w:color w:val="000000"/>
          <w:sz w:val="32"/>
          <w:szCs w:val="32"/>
          <w:lang w:val="en-US" w:eastAsia="zh-CN"/>
        </w:rPr>
        <w:t>县城规划区</w:t>
      </w:r>
      <w:r>
        <w:rPr>
          <w:rFonts w:hint="default" w:ascii="方正仿宋_GBK" w:hAnsi="方正仿宋_GBK" w:eastAsia="方正仿宋_GBK" w:cs="方正仿宋_GBK"/>
          <w:color w:val="000000"/>
          <w:sz w:val="32"/>
          <w:szCs w:val="32"/>
        </w:rPr>
        <w:t>内公路路政</w:t>
      </w:r>
      <w:r>
        <w:rPr>
          <w:rFonts w:hint="default"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道路运政行政处罚以及与行政处罚相关的行政检查、行政强制；负责辖区内交通运输行业安全生产执法监督检查和行政处罚；承办上级单位指定管辖的案件。</w:t>
      </w:r>
      <w:r>
        <w:rPr>
          <w:rFonts w:hint="eastAsia" w:ascii="方正仿宋_GBK" w:hAnsi="方正仿宋_GBK" w:eastAsia="方正仿宋_GBK" w:cs="方正仿宋_GBK"/>
          <w:color w:val="000000"/>
          <w:sz w:val="32"/>
          <w:szCs w:val="32"/>
          <w:lang w:val="en-US" w:eastAsia="zh-CN"/>
        </w:rPr>
        <w:t>完成上级交办的其他工作。</w:t>
      </w:r>
    </w:p>
    <w:p w14:paraId="7DDB5004">
      <w:pPr>
        <w:pStyle w:val="17"/>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left="0" w:leftChars="0" w:right="0" w:rightChars="0" w:firstLine="643" w:firstLineChars="200"/>
        <w:jc w:val="both"/>
        <w:textAlignment w:val="auto"/>
        <w:outlineLvl w:val="9"/>
        <w:rPr>
          <w:rFonts w:hint="eastAsia" w:ascii="方正仿宋_GBK" w:hAnsi="方正仿宋_GBK" w:eastAsia="方正仿宋_GBK" w:cs="方正仿宋_GBK"/>
          <w:color w:val="000000"/>
          <w:sz w:val="32"/>
          <w:szCs w:val="32"/>
          <w:lang w:val="en-US" w:eastAsia="zh-CN"/>
        </w:rPr>
      </w:pPr>
      <w:r>
        <w:rPr>
          <w:rFonts w:hint="eastAsia" w:ascii="方正仿宋_GBK" w:hAnsi="方正仿宋_GBK" w:eastAsia="方正仿宋_GBK" w:cs="方正仿宋_GBK"/>
          <w:b/>
          <w:bCs/>
          <w:color w:val="000000"/>
          <w:sz w:val="32"/>
          <w:szCs w:val="32"/>
          <w:lang w:val="en-US" w:eastAsia="zh-CN"/>
        </w:rPr>
        <w:t>7.</w:t>
      </w:r>
      <w:r>
        <w:rPr>
          <w:rFonts w:hint="default" w:ascii="方正仿宋_GBK" w:hAnsi="方正仿宋_GBK" w:eastAsia="方正仿宋_GBK" w:cs="方正仿宋_GBK"/>
          <w:b/>
          <w:bCs/>
          <w:color w:val="000000"/>
          <w:sz w:val="32"/>
          <w:szCs w:val="32"/>
          <w:lang w:val="en-US" w:eastAsia="zh-CN"/>
        </w:rPr>
        <w:t>南岸执法大队</w:t>
      </w:r>
      <w:r>
        <w:rPr>
          <w:rFonts w:hint="default" w:ascii="方正仿宋_GBK" w:hAnsi="方正仿宋_GBK" w:eastAsia="方正仿宋_GBK" w:cs="方正仿宋_GBK"/>
          <w:color w:val="000000"/>
          <w:sz w:val="32"/>
          <w:szCs w:val="32"/>
          <w:lang w:val="en-US" w:eastAsia="zh-CN"/>
        </w:rPr>
        <w:t>。</w:t>
      </w:r>
      <w:r>
        <w:rPr>
          <w:rFonts w:hint="default" w:ascii="方正仿宋_GBK" w:hAnsi="方正仿宋_GBK" w:eastAsia="方正仿宋_GBK" w:cs="方正仿宋_GBK"/>
          <w:color w:val="000000"/>
          <w:sz w:val="32"/>
          <w:szCs w:val="32"/>
        </w:rPr>
        <w:t>负责除</w:t>
      </w:r>
      <w:r>
        <w:rPr>
          <w:rFonts w:hint="default" w:ascii="方正仿宋_GBK" w:hAnsi="方正仿宋_GBK" w:eastAsia="方正仿宋_GBK" w:cs="方正仿宋_GBK"/>
          <w:color w:val="000000"/>
          <w:sz w:val="32"/>
          <w:szCs w:val="32"/>
          <w:lang w:val="en-US" w:eastAsia="zh-CN"/>
        </w:rPr>
        <w:t>县城规划区</w:t>
      </w:r>
      <w:r>
        <w:rPr>
          <w:rFonts w:hint="default" w:ascii="方正仿宋_GBK" w:hAnsi="方正仿宋_GBK" w:eastAsia="方正仿宋_GBK" w:cs="方正仿宋_GBK"/>
          <w:color w:val="000000"/>
          <w:sz w:val="32"/>
          <w:szCs w:val="32"/>
        </w:rPr>
        <w:t>外南岸</w:t>
      </w:r>
      <w:r>
        <w:rPr>
          <w:rFonts w:hint="default" w:ascii="方正仿宋_GBK" w:hAnsi="方正仿宋_GBK" w:eastAsia="方正仿宋_GBK" w:cs="方正仿宋_GBK"/>
          <w:color w:val="000000"/>
          <w:sz w:val="32"/>
          <w:szCs w:val="32"/>
          <w:lang w:val="en-US" w:eastAsia="zh-CN"/>
        </w:rPr>
        <w:t>行政区域内</w:t>
      </w:r>
      <w:r>
        <w:rPr>
          <w:rFonts w:hint="default" w:ascii="方正仿宋_GBK" w:hAnsi="方正仿宋_GBK" w:eastAsia="方正仿宋_GBK" w:cs="方正仿宋_GBK"/>
          <w:color w:val="000000"/>
          <w:sz w:val="32"/>
          <w:szCs w:val="32"/>
        </w:rPr>
        <w:t>公路路政</w:t>
      </w:r>
      <w:r>
        <w:rPr>
          <w:rFonts w:hint="default"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道路运政行政处罚以及与行政处罚相关的行政检查、行政强制；负责辖区内交通运输行业安全生产执法监督检查和行政处罚；承办上级单位指定管辖的案件。</w:t>
      </w:r>
      <w:r>
        <w:rPr>
          <w:rFonts w:hint="eastAsia" w:ascii="方正仿宋_GBK" w:hAnsi="方正仿宋_GBK" w:eastAsia="方正仿宋_GBK" w:cs="方正仿宋_GBK"/>
          <w:color w:val="000000"/>
          <w:sz w:val="32"/>
          <w:szCs w:val="32"/>
          <w:lang w:val="en-US" w:eastAsia="zh-CN"/>
        </w:rPr>
        <w:t>完成上级交办的其他工作。完成上级交办的其他工作。</w:t>
      </w:r>
    </w:p>
    <w:p w14:paraId="33C5DDD2">
      <w:pPr>
        <w:pStyle w:val="17"/>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600" w:lineRule="exact"/>
        <w:ind w:left="0" w:leftChars="0" w:right="0" w:rightChars="0" w:firstLine="643" w:firstLineChars="200"/>
        <w:jc w:val="both"/>
        <w:textAlignment w:val="auto"/>
        <w:outlineLvl w:val="9"/>
        <w:rPr>
          <w:rFonts w:hint="default" w:ascii="方正仿宋_GBK" w:hAnsi="方正仿宋_GBK" w:eastAsia="方正仿宋_GBK" w:cs="方正仿宋_GBK"/>
          <w:color w:val="000000"/>
          <w:sz w:val="32"/>
          <w:szCs w:val="32"/>
        </w:rPr>
      </w:pPr>
      <w:r>
        <w:rPr>
          <w:rFonts w:hint="eastAsia" w:ascii="方正仿宋_GBK" w:hAnsi="方正仿宋_GBK" w:eastAsia="方正仿宋_GBK" w:cs="方正仿宋_GBK"/>
          <w:b/>
          <w:bCs/>
          <w:color w:val="000000"/>
          <w:sz w:val="32"/>
          <w:szCs w:val="32"/>
          <w:lang w:val="en-US" w:eastAsia="zh-CN"/>
        </w:rPr>
        <w:t>8. 北岸执法</w:t>
      </w:r>
      <w:r>
        <w:rPr>
          <w:rFonts w:hint="eastAsia" w:ascii="方正仿宋_GBK" w:hAnsi="方正仿宋_GBK" w:eastAsia="方正仿宋_GBK" w:cs="方正仿宋_GBK"/>
          <w:b/>
          <w:bCs/>
          <w:color w:val="000000"/>
          <w:sz w:val="32"/>
          <w:szCs w:val="32"/>
        </w:rPr>
        <w:t>大队</w:t>
      </w:r>
      <w:r>
        <w:rPr>
          <w:rFonts w:hint="eastAsia" w:ascii="方正仿宋_GBK" w:hAnsi="方正仿宋_GBK" w:eastAsia="方正仿宋_GBK" w:cs="方正仿宋_GBK"/>
          <w:b/>
          <w:bCs/>
          <w:color w:val="000000"/>
          <w:sz w:val="32"/>
          <w:szCs w:val="32"/>
          <w:lang w:eastAsia="zh-CN"/>
        </w:rPr>
        <w:t>。</w:t>
      </w:r>
      <w:r>
        <w:rPr>
          <w:rFonts w:hint="default" w:ascii="方正仿宋_GBK" w:hAnsi="方正仿宋_GBK" w:eastAsia="方正仿宋_GBK" w:cs="方正仿宋_GBK"/>
          <w:color w:val="000000"/>
          <w:sz w:val="32"/>
          <w:szCs w:val="32"/>
        </w:rPr>
        <w:t>负责除</w:t>
      </w:r>
      <w:r>
        <w:rPr>
          <w:rFonts w:hint="default" w:ascii="方正仿宋_GBK" w:hAnsi="方正仿宋_GBK" w:eastAsia="方正仿宋_GBK" w:cs="方正仿宋_GBK"/>
          <w:color w:val="000000"/>
          <w:sz w:val="32"/>
          <w:szCs w:val="32"/>
          <w:lang w:val="en-US" w:eastAsia="zh-CN"/>
        </w:rPr>
        <w:t>县城规划区</w:t>
      </w:r>
      <w:r>
        <w:rPr>
          <w:rFonts w:hint="default" w:ascii="方正仿宋_GBK" w:hAnsi="方正仿宋_GBK" w:eastAsia="方正仿宋_GBK" w:cs="方正仿宋_GBK"/>
          <w:color w:val="000000"/>
          <w:sz w:val="32"/>
          <w:szCs w:val="32"/>
        </w:rPr>
        <w:t>外</w:t>
      </w:r>
      <w:r>
        <w:rPr>
          <w:rFonts w:hint="default" w:ascii="方正仿宋_GBK" w:hAnsi="方正仿宋_GBK" w:eastAsia="方正仿宋_GBK" w:cs="方正仿宋_GBK"/>
          <w:color w:val="000000"/>
          <w:sz w:val="32"/>
          <w:szCs w:val="32"/>
          <w:lang w:val="en-US" w:eastAsia="zh-CN"/>
        </w:rPr>
        <w:t>北岸行政区域内</w:t>
      </w:r>
      <w:r>
        <w:rPr>
          <w:rFonts w:hint="default" w:ascii="方正仿宋_GBK" w:hAnsi="方正仿宋_GBK" w:eastAsia="方正仿宋_GBK" w:cs="方正仿宋_GBK"/>
          <w:color w:val="000000"/>
          <w:sz w:val="32"/>
          <w:szCs w:val="32"/>
        </w:rPr>
        <w:t>公路路政</w:t>
      </w:r>
      <w:r>
        <w:rPr>
          <w:rFonts w:hint="default" w:ascii="方正仿宋_GBK" w:hAnsi="方正仿宋_GBK" w:eastAsia="方正仿宋_GBK" w:cs="方正仿宋_GBK"/>
          <w:color w:val="000000"/>
          <w:sz w:val="32"/>
          <w:szCs w:val="32"/>
          <w:lang w:eastAsia="zh-CN"/>
        </w:rPr>
        <w:t>、</w:t>
      </w:r>
      <w:r>
        <w:rPr>
          <w:rFonts w:hint="default" w:ascii="方正仿宋_GBK" w:hAnsi="方正仿宋_GBK" w:eastAsia="方正仿宋_GBK" w:cs="方正仿宋_GBK"/>
          <w:color w:val="000000"/>
          <w:sz w:val="32"/>
          <w:szCs w:val="32"/>
        </w:rPr>
        <w:t>道路运政行政处罚以及与行政处罚相关的行政检查、行政强制；负责辖区内交通运输行业安全生产执法监督检查和行政处罚；承办上级单位指定管辖的案件。</w:t>
      </w:r>
    </w:p>
    <w:p w14:paraId="2D68901C">
      <w:pPr>
        <w:pStyle w:val="7"/>
        <w:keepNext w:val="0"/>
        <w:keepLines w:val="0"/>
        <w:pageBreakBefore w:val="0"/>
        <w:shd w:val="clear" w:color="auto" w:fill="FFFFFF"/>
        <w:kinsoku/>
        <w:overflowPunct/>
        <w:topLinePunct w:val="0"/>
        <w:autoSpaceDN/>
        <w:bidi w:val="0"/>
        <w:adjustRightInd/>
        <w:spacing w:beforeAutospacing="0" w:after="0" w:afterAutospacing="0" w:line="600" w:lineRule="exact"/>
        <w:ind w:right="0" w:firstLine="640" w:firstLineChars="200"/>
        <w:rPr>
          <w:rFonts w:hint="eastAsia" w:ascii="方正黑体_GBK" w:hAnsi="方正黑体_GBK" w:eastAsia="方正黑体_GBK" w:cs="方正黑体_GBK"/>
          <w:b w:val="0"/>
          <w:bCs/>
          <w:sz w:val="32"/>
          <w:szCs w:val="32"/>
        </w:rPr>
      </w:pPr>
      <w:r>
        <w:rPr>
          <w:rStyle w:val="11"/>
          <w:rFonts w:hint="eastAsia" w:ascii="方正黑体_GBK" w:hAnsi="方正黑体_GBK" w:eastAsia="方正黑体_GBK" w:cs="方正黑体_GBK"/>
          <w:b w:val="0"/>
          <w:bCs/>
          <w:sz w:val="32"/>
          <w:szCs w:val="32"/>
          <w:shd w:val="clear" w:color="auto" w:fill="FFFFFF"/>
        </w:rPr>
        <w:t>二、单位决算情况说明</w:t>
      </w:r>
    </w:p>
    <w:p w14:paraId="2A51DF5D">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3"/>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14:paraId="3DFE6D20">
      <w:pPr>
        <w:pStyle w:val="7"/>
        <w:keepNext w:val="0"/>
        <w:keepLines w:val="0"/>
        <w:pageBreakBefore w:val="0"/>
        <w:shd w:val="clear" w:color="auto" w:fill="FFFFFF"/>
        <w:kinsoku/>
        <w:overflowPunct/>
        <w:topLinePunct w:val="0"/>
        <w:autoSpaceDN/>
        <w:bidi w:val="0"/>
        <w:adjustRightInd/>
        <w:spacing w:beforeAutospacing="0" w:after="0" w:afterAutospacing="0" w:line="600" w:lineRule="exact"/>
        <w:ind w:left="0" w:leftChars="0" w:right="0" w:firstLine="643" w:firstLineChars="200"/>
        <w:rPr>
          <w:rFonts w:hint="default" w:ascii="Times New Roman" w:hAnsi="Times New Roman" w:eastAsia="方正仿宋_GBK" w:cs="Times New Roman"/>
          <w:sz w:val="32"/>
          <w:szCs w:val="32"/>
        </w:rPr>
      </w:pPr>
      <w:r>
        <w:rPr>
          <w:rStyle w:val="11"/>
          <w:rFonts w:hint="eastAsia" w:ascii="方正仿宋_GBK" w:hAnsi="方正仿宋_GBK" w:eastAsia="方正仿宋_GBK" w:cs="方正仿宋_GBK"/>
          <w:sz w:val="32"/>
          <w:szCs w:val="32"/>
          <w:shd w:val="clear" w:color="auto" w:fill="FFFFFF"/>
        </w:rPr>
        <w:t>1.</w:t>
      </w:r>
      <w:r>
        <w:rPr>
          <w:rStyle w:val="11"/>
          <w:rFonts w:ascii="方正仿宋_GBK" w:hAnsi="方正仿宋_GBK" w:eastAsia="方正仿宋_GBK" w:cs="方正仿宋_GBK"/>
          <w:sz w:val="32"/>
          <w:szCs w:val="32"/>
          <w:shd w:val="clear" w:color="auto" w:fill="FFFFFF"/>
        </w:rPr>
        <w:t>总</w:t>
      </w:r>
      <w:r>
        <w:rPr>
          <w:rStyle w:val="11"/>
          <w:rFonts w:hint="default" w:ascii="Times New Roman" w:hAnsi="Times New Roman" w:eastAsia="方正仿宋_GBK" w:cs="Times New Roman"/>
          <w:sz w:val="32"/>
          <w:szCs w:val="32"/>
          <w:shd w:val="clear" w:color="auto" w:fill="FFFFFF"/>
        </w:rPr>
        <w:t>体情况。</w:t>
      </w:r>
      <w:r>
        <w:rPr>
          <w:rFonts w:hint="default" w:ascii="Times New Roman" w:hAnsi="Times New Roman" w:eastAsia="方正仿宋_GBK" w:cs="Times New Roman"/>
          <w:sz w:val="32"/>
          <w:szCs w:val="32"/>
          <w:shd w:val="clear" w:color="auto" w:fill="FFFFFF"/>
        </w:rPr>
        <w:t>2023年度收入总计1853.17万元，支出总计</w:t>
      </w:r>
      <w:r>
        <w:rPr>
          <w:rFonts w:hint="default" w:ascii="Times New Roman" w:hAnsi="Times New Roman" w:eastAsia="方正仿宋_GBK" w:cs="Times New Roman"/>
          <w:sz w:val="32"/>
          <w:szCs w:val="32"/>
        </w:rPr>
        <w:t>1853.17</w:t>
      </w:r>
      <w:r>
        <w:rPr>
          <w:rFonts w:hint="default" w:ascii="Times New Roman" w:hAnsi="Times New Roman" w:eastAsia="方正仿宋_GBK" w:cs="Times New Roman"/>
          <w:sz w:val="32"/>
          <w:szCs w:val="32"/>
          <w:shd w:val="clear" w:color="auto" w:fill="FFFFFF"/>
        </w:rPr>
        <w:t>万元。收支较上年决算数增加69.20万元，增长3.88%，主要原因是</w:t>
      </w:r>
      <w:r>
        <w:rPr>
          <w:rFonts w:hint="default" w:ascii="Times New Roman" w:hAnsi="Times New Roman" w:eastAsia="方正仿宋_GBK" w:cs="Times New Roman"/>
          <w:sz w:val="32"/>
          <w:szCs w:val="32"/>
          <w:shd w:val="clear" w:color="auto" w:fill="FFFFFF"/>
          <w:lang w:val="en-US" w:eastAsia="zh-CN"/>
        </w:rPr>
        <w:t>支付以前年度编外人员劳务费支出。</w:t>
      </w:r>
    </w:p>
    <w:p w14:paraId="278E8032">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3" w:firstLineChars="200"/>
        <w:jc w:val="both"/>
        <w:rPr>
          <w:rFonts w:hint="default" w:ascii="Times New Roman" w:hAnsi="Times New Roman" w:eastAsia="方正仿宋_GBK" w:cs="Times New Roman"/>
          <w:sz w:val="32"/>
          <w:szCs w:val="32"/>
          <w:shd w:val="clear" w:color="auto" w:fill="FFFFFF"/>
        </w:rPr>
      </w:pPr>
      <w:r>
        <w:rPr>
          <w:rStyle w:val="11"/>
          <w:rFonts w:hint="eastAsia" w:ascii="方正仿宋_GBK" w:hAnsi="方正仿宋_GBK" w:eastAsia="方正仿宋_GBK" w:cs="方正仿宋_GBK"/>
          <w:sz w:val="32"/>
          <w:szCs w:val="32"/>
          <w:shd w:val="clear" w:color="auto" w:fill="FFFFFF"/>
        </w:rPr>
        <w:t>2.</w:t>
      </w:r>
      <w:r>
        <w:rPr>
          <w:rStyle w:val="11"/>
          <w:rFonts w:hint="default" w:ascii="Times New Roman" w:hAnsi="Times New Roman" w:eastAsia="方正仿宋_GBK" w:cs="Times New Roman"/>
          <w:sz w:val="32"/>
          <w:szCs w:val="32"/>
          <w:shd w:val="clear" w:color="auto" w:fill="FFFFFF"/>
        </w:rPr>
        <w:t>收入情况。</w:t>
      </w:r>
      <w:r>
        <w:rPr>
          <w:rFonts w:hint="default" w:ascii="Times New Roman" w:hAnsi="Times New Roman" w:eastAsia="方正仿宋_GBK" w:cs="Times New Roman"/>
          <w:sz w:val="32"/>
          <w:szCs w:val="32"/>
          <w:shd w:val="clear" w:color="auto" w:fill="FFFFFF"/>
        </w:rPr>
        <w:t>2023年度收入合计1575.41万元，较上年决算数减少208.56万元，下降11.69%，主要原因是</w:t>
      </w:r>
      <w:r>
        <w:rPr>
          <w:rFonts w:hint="default" w:ascii="Times New Roman" w:hAnsi="Times New Roman" w:eastAsia="方正仿宋_GBK" w:cs="Times New Roman"/>
          <w:sz w:val="32"/>
          <w:szCs w:val="32"/>
          <w:shd w:val="clear" w:color="auto" w:fill="FFFFFF"/>
          <w:lang w:val="en-US" w:eastAsia="zh-CN"/>
        </w:rPr>
        <w:t>人员减少。</w:t>
      </w:r>
      <w:r>
        <w:rPr>
          <w:rFonts w:hint="default" w:ascii="Times New Roman" w:hAnsi="Times New Roman" w:eastAsia="方正仿宋_GBK" w:cs="Times New Roman"/>
          <w:sz w:val="32"/>
          <w:szCs w:val="32"/>
          <w:shd w:val="clear" w:color="auto" w:fill="FFFFFF"/>
        </w:rPr>
        <w:t>其中：财政拨款收入</w:t>
      </w:r>
      <w:r>
        <w:rPr>
          <w:rFonts w:hint="default" w:ascii="Times New Roman" w:hAnsi="Times New Roman" w:eastAsia="方正仿宋_GBK" w:cs="Times New Roman"/>
          <w:sz w:val="32"/>
          <w:szCs w:val="32"/>
        </w:rPr>
        <w:t>1558.18</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98.91</w:t>
      </w:r>
      <w:r>
        <w:rPr>
          <w:rFonts w:hint="default" w:ascii="Times New Roman" w:hAnsi="Times New Roman" w:eastAsia="方正仿宋_GBK" w:cs="Times New Roman"/>
          <w:sz w:val="32"/>
          <w:szCs w:val="32"/>
          <w:shd w:val="clear" w:color="auto" w:fill="FFFFFF"/>
        </w:rPr>
        <w:t>%；事业收入</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万元，占0.00%；经营收入</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万元，占0.00%；其他收入</w:t>
      </w:r>
      <w:r>
        <w:rPr>
          <w:rFonts w:hint="default" w:ascii="Times New Roman" w:hAnsi="Times New Roman" w:eastAsia="方正仿宋_GBK" w:cs="Times New Roman"/>
          <w:sz w:val="32"/>
          <w:szCs w:val="32"/>
        </w:rPr>
        <w:t>17.23</w:t>
      </w:r>
      <w:r>
        <w:rPr>
          <w:rFonts w:hint="default" w:ascii="Times New Roman" w:hAnsi="Times New Roman" w:eastAsia="方正仿宋_GBK" w:cs="Times New Roman"/>
          <w:sz w:val="32"/>
          <w:szCs w:val="32"/>
          <w:shd w:val="clear" w:color="auto" w:fill="FFFFFF"/>
        </w:rPr>
        <w:t>万元，占1.09%。此外，使用非财政拨款结余和专用结余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万元，年初结转和结余</w:t>
      </w:r>
      <w:r>
        <w:rPr>
          <w:rFonts w:hint="default" w:ascii="Times New Roman" w:hAnsi="Times New Roman" w:eastAsia="方正仿宋_GBK" w:cs="Times New Roman"/>
          <w:sz w:val="32"/>
          <w:szCs w:val="32"/>
        </w:rPr>
        <w:t>277.76</w:t>
      </w:r>
      <w:r>
        <w:rPr>
          <w:rFonts w:hint="default" w:ascii="Times New Roman" w:hAnsi="Times New Roman" w:eastAsia="方正仿宋_GBK" w:cs="Times New Roman"/>
          <w:sz w:val="32"/>
          <w:szCs w:val="32"/>
          <w:shd w:val="clear" w:color="auto" w:fill="FFFFFF"/>
        </w:rPr>
        <w:t>万元。</w:t>
      </w:r>
    </w:p>
    <w:p w14:paraId="5C801D9A">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3" w:firstLineChars="200"/>
        <w:jc w:val="both"/>
        <w:rPr>
          <w:rFonts w:hint="default" w:ascii="Times New Roman" w:hAnsi="Times New Roman" w:eastAsia="方正仿宋_GBK" w:cs="Times New Roman"/>
          <w:sz w:val="32"/>
          <w:szCs w:val="32"/>
          <w:shd w:val="clear" w:color="auto" w:fill="FFFFFF"/>
        </w:rPr>
      </w:pPr>
      <w:r>
        <w:rPr>
          <w:rStyle w:val="11"/>
          <w:rFonts w:hint="eastAsia" w:ascii="方正仿宋_GBK" w:hAnsi="方正仿宋_GBK" w:eastAsia="方正仿宋_GBK" w:cs="方正仿宋_GBK"/>
          <w:sz w:val="32"/>
          <w:szCs w:val="32"/>
          <w:shd w:val="clear" w:color="auto" w:fill="FFFFFF"/>
        </w:rPr>
        <w:t>3.</w:t>
      </w:r>
      <w:r>
        <w:rPr>
          <w:rStyle w:val="11"/>
          <w:rFonts w:hint="default" w:ascii="Times New Roman" w:hAnsi="Times New Roman" w:eastAsia="方正仿宋_GBK" w:cs="Times New Roman"/>
          <w:sz w:val="32"/>
          <w:szCs w:val="32"/>
          <w:shd w:val="clear" w:color="auto" w:fill="FFFFFF"/>
        </w:rPr>
        <w:t>支出情况。</w:t>
      </w:r>
      <w:r>
        <w:rPr>
          <w:rFonts w:hint="default" w:ascii="Times New Roman" w:hAnsi="Times New Roman" w:eastAsia="方正仿宋_GBK" w:cs="Times New Roman"/>
          <w:sz w:val="32"/>
          <w:szCs w:val="32"/>
          <w:shd w:val="clear" w:color="auto" w:fill="FFFFFF"/>
        </w:rPr>
        <w:t>2023年度支出合计</w:t>
      </w:r>
      <w:r>
        <w:rPr>
          <w:rFonts w:hint="default" w:ascii="Times New Roman" w:hAnsi="Times New Roman" w:eastAsia="方正仿宋_GBK" w:cs="Times New Roman"/>
          <w:sz w:val="32"/>
          <w:szCs w:val="32"/>
        </w:rPr>
        <w:t>1835.37</w:t>
      </w:r>
      <w:r>
        <w:rPr>
          <w:rFonts w:hint="default" w:ascii="Times New Roman" w:hAnsi="Times New Roman" w:eastAsia="方正仿宋_GBK" w:cs="Times New Roman"/>
          <w:sz w:val="32"/>
          <w:szCs w:val="32"/>
          <w:shd w:val="clear" w:color="auto" w:fill="FFFFFF"/>
        </w:rPr>
        <w:t>万元，较上年决算数增加51.40万元，增长2.88%，主要原因是</w:t>
      </w:r>
      <w:r>
        <w:rPr>
          <w:rFonts w:hint="default" w:ascii="Times New Roman" w:hAnsi="Times New Roman" w:eastAsia="方正仿宋_GBK" w:cs="Times New Roman"/>
          <w:sz w:val="32"/>
          <w:szCs w:val="32"/>
          <w:shd w:val="clear" w:color="auto" w:fill="FFFFFF"/>
          <w:lang w:val="en-US" w:eastAsia="zh-CN"/>
        </w:rPr>
        <w:t>本年度支付以前年度编外人员劳务费支出。</w:t>
      </w:r>
      <w:r>
        <w:rPr>
          <w:rFonts w:hint="default" w:ascii="Times New Roman" w:hAnsi="Times New Roman" w:eastAsia="方正仿宋_GBK" w:cs="Times New Roman"/>
          <w:sz w:val="32"/>
          <w:szCs w:val="32"/>
          <w:shd w:val="clear" w:color="auto" w:fill="FFFFFF"/>
        </w:rPr>
        <w:t>其中：基本支出</w:t>
      </w:r>
      <w:r>
        <w:rPr>
          <w:rFonts w:hint="default" w:ascii="Times New Roman" w:hAnsi="Times New Roman" w:eastAsia="方正仿宋_GBK" w:cs="Times New Roman"/>
          <w:sz w:val="32"/>
          <w:szCs w:val="32"/>
        </w:rPr>
        <w:t>1288.85</w:t>
      </w:r>
      <w:r>
        <w:rPr>
          <w:rFonts w:hint="default" w:ascii="Times New Roman" w:hAnsi="Times New Roman" w:eastAsia="方正仿宋_GBK" w:cs="Times New Roman"/>
          <w:sz w:val="32"/>
          <w:szCs w:val="32"/>
          <w:shd w:val="clear" w:color="auto" w:fill="FFFFFF"/>
        </w:rPr>
        <w:t>万元，占70.22%；项目支出</w:t>
      </w:r>
      <w:r>
        <w:rPr>
          <w:rFonts w:hint="default" w:ascii="Times New Roman" w:hAnsi="Times New Roman" w:eastAsia="方正仿宋_GBK" w:cs="Times New Roman"/>
          <w:sz w:val="32"/>
          <w:szCs w:val="32"/>
        </w:rPr>
        <w:t>546.53</w:t>
      </w:r>
      <w:r>
        <w:rPr>
          <w:rFonts w:hint="default" w:ascii="Times New Roman" w:hAnsi="Times New Roman" w:eastAsia="方正仿宋_GBK" w:cs="Times New Roman"/>
          <w:sz w:val="32"/>
          <w:szCs w:val="32"/>
          <w:shd w:val="clear" w:color="auto" w:fill="FFFFFF"/>
        </w:rPr>
        <w:t>万元，占29.78%；经营支出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万元，占0.00%。此外，结余分配</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w:t>
      </w:r>
    </w:p>
    <w:p w14:paraId="419C94D7">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3" w:firstLineChars="200"/>
        <w:jc w:val="both"/>
        <w:rPr>
          <w:rFonts w:hint="default" w:ascii="Times New Roman" w:hAnsi="Times New Roman" w:eastAsia="方正仿宋_GBK" w:cs="Times New Roman"/>
          <w:sz w:val="32"/>
          <w:szCs w:val="32"/>
          <w:lang w:val="en-US" w:eastAsia="zh-CN"/>
        </w:rPr>
      </w:pPr>
      <w:r>
        <w:rPr>
          <w:rStyle w:val="11"/>
          <w:rFonts w:hint="eastAsia" w:ascii="方正仿宋_GBK" w:hAnsi="方正仿宋_GBK" w:eastAsia="方正仿宋_GBK" w:cs="方正仿宋_GBK"/>
          <w:sz w:val="32"/>
          <w:szCs w:val="32"/>
          <w:shd w:val="clear" w:color="auto" w:fill="FFFFFF"/>
        </w:rPr>
        <w:t>4.</w:t>
      </w:r>
      <w:r>
        <w:rPr>
          <w:rStyle w:val="11"/>
          <w:rFonts w:hint="default" w:ascii="Times New Roman" w:hAnsi="Times New Roman" w:eastAsia="方正仿宋_GBK" w:cs="Times New Roman"/>
          <w:sz w:val="32"/>
          <w:szCs w:val="32"/>
          <w:shd w:val="clear" w:color="auto" w:fill="FFFFFF"/>
        </w:rPr>
        <w:t>结转结余情况。</w:t>
      </w:r>
      <w:r>
        <w:rPr>
          <w:rFonts w:hint="default" w:ascii="Times New Roman" w:hAnsi="Times New Roman" w:eastAsia="方正仿宋_GBK" w:cs="Times New Roman"/>
          <w:sz w:val="32"/>
          <w:szCs w:val="32"/>
          <w:shd w:val="clear" w:color="auto" w:fill="FFFFFF"/>
        </w:rPr>
        <w:t>2023年度年末结转和结余</w:t>
      </w:r>
      <w:r>
        <w:rPr>
          <w:rFonts w:hint="default" w:ascii="Times New Roman" w:hAnsi="Times New Roman" w:eastAsia="方正仿宋_GBK" w:cs="Times New Roman"/>
          <w:sz w:val="32"/>
          <w:szCs w:val="32"/>
        </w:rPr>
        <w:t>17.80</w:t>
      </w:r>
      <w:r>
        <w:rPr>
          <w:rFonts w:hint="default" w:ascii="Times New Roman" w:hAnsi="Times New Roman" w:eastAsia="方正仿宋_GBK" w:cs="Times New Roman"/>
          <w:sz w:val="32"/>
          <w:szCs w:val="32"/>
          <w:shd w:val="clear" w:color="auto" w:fill="FFFFFF"/>
        </w:rPr>
        <w:t>万元，较上年决算数增加17.80万元，增长100.00%，主要原因是</w:t>
      </w:r>
      <w:r>
        <w:rPr>
          <w:rFonts w:hint="default" w:ascii="Times New Roman" w:hAnsi="Times New Roman" w:eastAsia="方正仿宋_GBK" w:cs="Times New Roman"/>
          <w:sz w:val="32"/>
          <w:szCs w:val="32"/>
          <w:shd w:val="clear" w:color="auto" w:fill="FFFFFF"/>
          <w:lang w:val="en-US" w:eastAsia="zh-CN"/>
        </w:rPr>
        <w:t>核销以前年度不需要偿还的往来欠款。</w:t>
      </w:r>
    </w:p>
    <w:p w14:paraId="5C45F274">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3"/>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（二）财政拨款收入支出决算总体情况说明</w:t>
      </w:r>
    </w:p>
    <w:p w14:paraId="5DF5A95E">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2023年度财政拨款收、支总计1835.94万元。与2022年相比，财政拨款收、支总计各增加51.97万元，增长2.91%。主要原因是</w:t>
      </w:r>
      <w:r>
        <w:rPr>
          <w:rFonts w:hint="default" w:ascii="Times New Roman" w:hAnsi="Times New Roman" w:eastAsia="方正仿宋_GBK" w:cs="Times New Roman"/>
          <w:sz w:val="32"/>
          <w:szCs w:val="32"/>
          <w:shd w:val="clear" w:color="auto" w:fill="FFFFFF"/>
          <w:lang w:val="en-US" w:eastAsia="zh-CN"/>
        </w:rPr>
        <w:t>本年度支付以前年度编外人员劳务费支出。</w:t>
      </w:r>
    </w:p>
    <w:p w14:paraId="1C06E114">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3"/>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14:paraId="5A8A3AEE">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3" w:firstLineChars="200"/>
        <w:jc w:val="both"/>
        <w:rPr>
          <w:rFonts w:hint="default" w:ascii="Times New Roman" w:hAnsi="Times New Roman" w:eastAsia="方正仿宋_GBK" w:cs="Times New Roman"/>
          <w:sz w:val="32"/>
          <w:szCs w:val="32"/>
        </w:rPr>
      </w:pPr>
      <w:r>
        <w:rPr>
          <w:rStyle w:val="11"/>
          <w:rFonts w:ascii="方正仿宋_GBK" w:hAnsi="方正仿宋_GBK" w:eastAsia="方正仿宋_GBK" w:cs="方正仿宋_GBK"/>
          <w:sz w:val="32"/>
          <w:szCs w:val="32"/>
          <w:shd w:val="clear" w:color="auto" w:fill="FFFFFF"/>
        </w:rPr>
        <w:t>1.收入情况。</w:t>
      </w:r>
      <w:r>
        <w:rPr>
          <w:rFonts w:hint="default" w:ascii="Times New Roman" w:hAnsi="Times New Roman" w:eastAsia="方正仿宋_GBK" w:cs="Times New Roman"/>
          <w:sz w:val="32"/>
          <w:szCs w:val="32"/>
          <w:shd w:val="clear" w:color="auto" w:fill="FFFFFF"/>
        </w:rPr>
        <w:t>2023年度一般公共预算财政拨款收入</w:t>
      </w:r>
      <w:r>
        <w:rPr>
          <w:rFonts w:hint="default" w:ascii="Times New Roman" w:hAnsi="Times New Roman" w:eastAsia="方正仿宋_GBK" w:cs="Times New Roman"/>
          <w:sz w:val="32"/>
          <w:szCs w:val="32"/>
        </w:rPr>
        <w:t>1458.18</w:t>
      </w:r>
      <w:r>
        <w:rPr>
          <w:rFonts w:hint="default" w:ascii="Times New Roman" w:hAnsi="Times New Roman" w:eastAsia="方正仿宋_GBK" w:cs="Times New Roman"/>
          <w:sz w:val="32"/>
          <w:szCs w:val="32"/>
          <w:shd w:val="clear" w:color="auto" w:fill="FFFFFF"/>
        </w:rPr>
        <w:t>万元，较上年决算数减少325.79万元，下降18.26%。主要原因是</w:t>
      </w:r>
      <w:r>
        <w:rPr>
          <w:rFonts w:hint="default" w:ascii="Times New Roman" w:hAnsi="Times New Roman" w:eastAsia="方正仿宋_GBK" w:cs="Times New Roman"/>
          <w:sz w:val="32"/>
          <w:szCs w:val="32"/>
          <w:shd w:val="clear" w:color="auto" w:fill="FFFFFF"/>
          <w:lang w:val="en-US" w:eastAsia="zh-CN"/>
        </w:rPr>
        <w:t>落实过紧日子要求，大力压减一般性支出。</w:t>
      </w:r>
      <w:r>
        <w:rPr>
          <w:rFonts w:hint="default" w:ascii="Times New Roman" w:hAnsi="Times New Roman" w:eastAsia="方正仿宋_GBK" w:cs="Times New Roman"/>
          <w:sz w:val="32"/>
          <w:szCs w:val="32"/>
          <w:shd w:val="clear" w:color="auto" w:fill="FFFFFF"/>
        </w:rPr>
        <w:t>较年初预算数增加213.28万元，增长17.13%。</w:t>
      </w:r>
      <w:r>
        <w:rPr>
          <w:rFonts w:hint="default" w:ascii="Times New Roman" w:hAnsi="Times New Roman" w:eastAsia="方正仿宋_GBK" w:cs="Times New Roman"/>
          <w:sz w:val="32"/>
          <w:szCs w:val="32"/>
          <w:highlight w:val="none"/>
          <w:shd w:val="clear" w:color="auto" w:fill="FFFFFF"/>
        </w:rPr>
        <w:t>主要原因是</w:t>
      </w:r>
      <w:r>
        <w:rPr>
          <w:rFonts w:hint="eastAsia" w:ascii="Times New Roman" w:hAnsi="Times New Roman" w:eastAsia="方正仿宋_GBK" w:cs="Times New Roman"/>
          <w:sz w:val="32"/>
          <w:szCs w:val="32"/>
          <w:highlight w:val="none"/>
          <w:shd w:val="clear" w:color="auto" w:fill="FFFFFF"/>
          <w:lang w:val="en-US" w:eastAsia="zh-CN"/>
        </w:rPr>
        <w:t>编外劳务费支出增加。</w:t>
      </w:r>
      <w:r>
        <w:rPr>
          <w:rFonts w:hint="default" w:ascii="Times New Roman" w:hAnsi="Times New Roman" w:eastAsia="方正仿宋_GBK" w:cs="Times New Roman"/>
          <w:sz w:val="32"/>
          <w:szCs w:val="32"/>
          <w:shd w:val="clear" w:color="auto" w:fill="FFFFFF"/>
        </w:rPr>
        <w:t>此外，年初财政拨款结转和结余</w:t>
      </w:r>
      <w:r>
        <w:rPr>
          <w:rFonts w:hint="default" w:ascii="Times New Roman" w:hAnsi="Times New Roman" w:eastAsia="方正仿宋_GBK" w:cs="Times New Roman"/>
          <w:sz w:val="32"/>
          <w:szCs w:val="32"/>
        </w:rPr>
        <w:t>277.76</w:t>
      </w:r>
      <w:r>
        <w:rPr>
          <w:rFonts w:hint="default" w:ascii="Times New Roman" w:hAnsi="Times New Roman" w:eastAsia="方正仿宋_GBK" w:cs="Times New Roman"/>
          <w:sz w:val="32"/>
          <w:szCs w:val="32"/>
          <w:shd w:val="clear" w:color="auto" w:fill="FFFFFF"/>
        </w:rPr>
        <w:t>万元。</w:t>
      </w:r>
    </w:p>
    <w:p w14:paraId="4FCE8D9A">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3" w:firstLineChars="200"/>
        <w:jc w:val="both"/>
        <w:rPr>
          <w:rFonts w:hint="default" w:ascii="Times New Roman" w:hAnsi="Times New Roman" w:eastAsia="方正仿宋_GBK" w:cs="Times New Roman"/>
          <w:sz w:val="32"/>
          <w:szCs w:val="32"/>
        </w:rPr>
      </w:pPr>
      <w:r>
        <w:rPr>
          <w:rStyle w:val="11"/>
          <w:rFonts w:ascii="方正仿宋_GBK" w:hAnsi="方正仿宋_GBK" w:eastAsia="方正仿宋_GBK" w:cs="方正仿宋_GBK"/>
          <w:sz w:val="32"/>
          <w:szCs w:val="32"/>
          <w:shd w:val="clear" w:color="auto" w:fill="FFFFFF"/>
        </w:rPr>
        <w:t>2.支出情况。</w:t>
      </w:r>
      <w:r>
        <w:rPr>
          <w:rFonts w:hint="default" w:ascii="Times New Roman" w:hAnsi="Times New Roman" w:eastAsia="方正仿宋_GBK" w:cs="Times New Roman"/>
          <w:sz w:val="32"/>
          <w:szCs w:val="32"/>
          <w:shd w:val="clear" w:color="auto" w:fill="FFFFFF"/>
        </w:rPr>
        <w:t>2023年度一般公共预算财政拨款支出</w:t>
      </w:r>
      <w:r>
        <w:rPr>
          <w:rFonts w:hint="default" w:ascii="Times New Roman" w:hAnsi="Times New Roman" w:eastAsia="方正仿宋_GBK" w:cs="Times New Roman"/>
          <w:sz w:val="32"/>
          <w:szCs w:val="32"/>
        </w:rPr>
        <w:t>1718.14</w:t>
      </w:r>
      <w:r>
        <w:rPr>
          <w:rFonts w:hint="default" w:ascii="Times New Roman" w:hAnsi="Times New Roman" w:eastAsia="方正仿宋_GBK" w:cs="Times New Roman"/>
          <w:sz w:val="32"/>
          <w:szCs w:val="32"/>
          <w:shd w:val="clear" w:color="auto" w:fill="FFFFFF"/>
        </w:rPr>
        <w:t>万元，较上年决算数减少65.83万元，下降3.69%。主要原因是</w:t>
      </w:r>
      <w:r>
        <w:rPr>
          <w:rFonts w:hint="default" w:ascii="Times New Roman" w:hAnsi="Times New Roman" w:eastAsia="方正仿宋_GBK" w:cs="Times New Roman"/>
          <w:sz w:val="32"/>
          <w:szCs w:val="32"/>
          <w:shd w:val="clear" w:color="auto" w:fill="FFFFFF"/>
          <w:lang w:val="en-US" w:eastAsia="zh-CN"/>
        </w:rPr>
        <w:t>落实过紧日子要求，大力压减一般性支出。</w:t>
      </w:r>
      <w:r>
        <w:rPr>
          <w:rFonts w:hint="default" w:ascii="Times New Roman" w:hAnsi="Times New Roman" w:eastAsia="方正仿宋_GBK" w:cs="Times New Roman"/>
          <w:sz w:val="32"/>
          <w:szCs w:val="32"/>
          <w:shd w:val="clear" w:color="auto" w:fill="FFFFFF"/>
        </w:rPr>
        <w:t>较年初预算数增加473.24万元，增长38.01%。</w:t>
      </w:r>
      <w:r>
        <w:rPr>
          <w:rFonts w:hint="default" w:ascii="Times New Roman" w:hAnsi="Times New Roman" w:eastAsia="方正仿宋_GBK" w:cs="Times New Roman"/>
          <w:sz w:val="32"/>
          <w:szCs w:val="32"/>
          <w:highlight w:val="none"/>
          <w:shd w:val="clear" w:color="auto" w:fill="FFFFFF"/>
        </w:rPr>
        <w:t>主要原因是</w:t>
      </w:r>
      <w:r>
        <w:rPr>
          <w:rFonts w:hint="eastAsia" w:ascii="Times New Roman" w:hAnsi="Times New Roman" w:eastAsia="方正仿宋_GBK" w:cs="Times New Roman"/>
          <w:sz w:val="32"/>
          <w:szCs w:val="32"/>
          <w:highlight w:val="none"/>
          <w:shd w:val="clear" w:color="auto" w:fill="FFFFFF"/>
          <w:lang w:val="en-US" w:eastAsia="zh-CN"/>
        </w:rPr>
        <w:t>编外劳务费增加。</w:t>
      </w:r>
    </w:p>
    <w:p w14:paraId="1AB40D08">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3" w:firstLineChars="200"/>
        <w:jc w:val="both"/>
        <w:rPr>
          <w:rFonts w:hint="default" w:ascii="Times New Roman" w:hAnsi="Times New Roman" w:eastAsia="方正仿宋_GBK" w:cs="Times New Roman"/>
          <w:sz w:val="32"/>
          <w:szCs w:val="32"/>
        </w:rPr>
      </w:pPr>
      <w:r>
        <w:rPr>
          <w:rStyle w:val="11"/>
          <w:rFonts w:hint="eastAsia" w:ascii="方正仿宋_GBK" w:hAnsi="方正仿宋_GBK" w:eastAsia="方正仿宋_GBK" w:cs="方正仿宋_GBK"/>
          <w:sz w:val="32"/>
          <w:szCs w:val="32"/>
          <w:shd w:val="clear" w:color="auto" w:fill="FFFFFF"/>
        </w:rPr>
        <w:t>3.</w:t>
      </w:r>
      <w:r>
        <w:rPr>
          <w:rStyle w:val="11"/>
          <w:rFonts w:hint="default" w:ascii="Times New Roman" w:hAnsi="Times New Roman" w:eastAsia="方正仿宋_GBK" w:cs="Times New Roman"/>
          <w:sz w:val="32"/>
          <w:szCs w:val="32"/>
          <w:shd w:val="clear" w:color="auto" w:fill="FFFFFF"/>
        </w:rPr>
        <w:t>结转结余情况。</w:t>
      </w:r>
      <w:r>
        <w:rPr>
          <w:rFonts w:hint="default" w:ascii="Times New Roman" w:hAnsi="Times New Roman" w:eastAsia="方正仿宋_GBK" w:cs="Times New Roman"/>
          <w:sz w:val="32"/>
          <w:szCs w:val="32"/>
          <w:shd w:val="clear" w:color="auto" w:fill="FFFFFF"/>
        </w:rPr>
        <w:t>2023年度年末一般公共预算财政拨款结转和结余</w:t>
      </w:r>
      <w:r>
        <w:rPr>
          <w:rFonts w:hint="default" w:ascii="Times New Roman" w:hAnsi="Times New Roman" w:eastAsia="方正仿宋_GBK" w:cs="Times New Roman"/>
          <w:sz w:val="32"/>
          <w:szCs w:val="32"/>
        </w:rPr>
        <w:t>17.80</w:t>
      </w:r>
      <w:r>
        <w:rPr>
          <w:rFonts w:hint="default" w:ascii="Times New Roman" w:hAnsi="Times New Roman" w:eastAsia="方正仿宋_GBK" w:cs="Times New Roman"/>
          <w:sz w:val="32"/>
          <w:szCs w:val="32"/>
          <w:shd w:val="clear" w:color="auto" w:fill="FFFFFF"/>
        </w:rPr>
        <w:t>万元，较上年决算数增加17.80万元，增长100.00%，主要原因是</w:t>
      </w:r>
      <w:r>
        <w:rPr>
          <w:rFonts w:hint="default" w:ascii="Times New Roman" w:hAnsi="Times New Roman" w:eastAsia="方正仿宋_GBK" w:cs="Times New Roman"/>
          <w:sz w:val="32"/>
          <w:szCs w:val="32"/>
          <w:shd w:val="clear" w:color="auto" w:fill="FFFFFF"/>
          <w:lang w:val="en-US" w:eastAsia="zh-CN"/>
        </w:rPr>
        <w:t>核销以前年度不需要偿还的往来欠款。</w:t>
      </w:r>
    </w:p>
    <w:p w14:paraId="6E71C990">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3" w:firstLineChars="200"/>
        <w:jc w:val="both"/>
        <w:rPr>
          <w:rFonts w:hint="default" w:ascii="Times New Roman" w:hAnsi="Times New Roman" w:eastAsia="方正仿宋_GBK" w:cs="Times New Roman"/>
          <w:sz w:val="32"/>
          <w:szCs w:val="32"/>
        </w:rPr>
      </w:pPr>
      <w:r>
        <w:rPr>
          <w:rStyle w:val="11"/>
          <w:rFonts w:hint="eastAsia" w:ascii="方正仿宋_GBK" w:hAnsi="方正仿宋_GBK" w:eastAsia="方正仿宋_GBK" w:cs="方正仿宋_GBK"/>
          <w:sz w:val="32"/>
          <w:szCs w:val="32"/>
          <w:shd w:val="clear" w:color="auto" w:fill="FFFFFF"/>
        </w:rPr>
        <w:t>4.</w:t>
      </w:r>
      <w:r>
        <w:rPr>
          <w:rStyle w:val="11"/>
          <w:rFonts w:hint="default" w:ascii="Times New Roman" w:hAnsi="Times New Roman" w:eastAsia="方正仿宋_GBK" w:cs="Times New Roman"/>
          <w:sz w:val="32"/>
          <w:szCs w:val="32"/>
          <w:shd w:val="clear" w:color="auto" w:fill="FFFFFF"/>
        </w:rPr>
        <w:t>比较情况。</w:t>
      </w:r>
      <w:r>
        <w:rPr>
          <w:rFonts w:hint="default" w:ascii="Times New Roman" w:hAnsi="Times New Roman" w:eastAsia="方正仿宋_GBK" w:cs="Times New Roman"/>
          <w:sz w:val="32"/>
          <w:szCs w:val="32"/>
          <w:shd w:val="clear" w:color="auto" w:fill="FFFFFF"/>
        </w:rPr>
        <w:t>本单位2023年度一般公共预算财政拨款支出主要用于以下几个方面：</w:t>
      </w:r>
    </w:p>
    <w:p w14:paraId="12437DAE">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Times New Roman" w:hAnsi="Times New Roman" w:eastAsia="方正仿宋_GBK" w:cs="Times New Roman"/>
          <w:sz w:val="32"/>
          <w:szCs w:val="32"/>
        </w:rPr>
      </w:pPr>
      <w:r>
        <w:rPr>
          <w:rFonts w:hint="eastAsia" w:ascii="方正仿宋_GBK" w:hAnsi="方正仿宋_GBK" w:eastAsia="方正仿宋_GBK" w:cs="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val="en-US" w:eastAsia="zh-CN"/>
        </w:rPr>
        <w:t>1</w:t>
      </w:r>
      <w:r>
        <w:rPr>
          <w:rFonts w:hint="eastAsia"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sz w:val="32"/>
          <w:szCs w:val="32"/>
          <w:shd w:val="clear" w:color="auto" w:fill="FFFFFF"/>
        </w:rPr>
        <w:t>社会保障与就业支出</w:t>
      </w:r>
      <w:r>
        <w:rPr>
          <w:rFonts w:hint="default" w:ascii="Times New Roman" w:hAnsi="Times New Roman" w:eastAsia="方正仿宋_GBK" w:cs="Times New Roman"/>
          <w:sz w:val="32"/>
          <w:szCs w:val="32"/>
        </w:rPr>
        <w:t>97.76</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5.69</w:t>
      </w:r>
      <w:r>
        <w:rPr>
          <w:rFonts w:hint="default" w:ascii="Times New Roman" w:hAnsi="Times New Roman" w:eastAsia="方正仿宋_GBK" w:cs="Times New Roman"/>
          <w:sz w:val="32"/>
          <w:szCs w:val="32"/>
          <w:shd w:val="clear" w:color="auto" w:fill="FFFFFF"/>
        </w:rPr>
        <w:t>%，较年初预算数增加6.27万元，增长6.85%，主要原因是</w:t>
      </w:r>
      <w:r>
        <w:rPr>
          <w:rFonts w:hint="default" w:ascii="Times New Roman" w:hAnsi="Times New Roman" w:eastAsia="方正仿宋_GBK" w:cs="Times New Roman"/>
          <w:sz w:val="32"/>
          <w:szCs w:val="32"/>
          <w:shd w:val="clear" w:color="auto" w:fill="FFFFFF"/>
          <w:lang w:val="en-US" w:eastAsia="zh-CN"/>
        </w:rPr>
        <w:t>养老保险的增加。</w:t>
      </w:r>
    </w:p>
    <w:p w14:paraId="6A67E5AD">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0" w:firstLineChars="200"/>
        <w:jc w:val="both"/>
        <w:rPr>
          <w:rFonts w:hint="default" w:ascii="Times New Roman" w:hAnsi="Times New Roman" w:eastAsia="方正仿宋_GBK" w:cs="Times New Roman"/>
          <w:color w:val="FF0000"/>
          <w:sz w:val="32"/>
          <w:szCs w:val="32"/>
          <w:shd w:val="clear" w:color="auto" w:fill="FFFFFF"/>
          <w:lang w:val="en-US" w:eastAsia="zh-CN"/>
        </w:rPr>
      </w:pPr>
      <w:r>
        <w:rPr>
          <w:rFonts w:hint="eastAsia" w:ascii="方正仿宋_GBK" w:hAnsi="方正仿宋_GBK" w:eastAsia="方正仿宋_GBK" w:cs="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val="en-US" w:eastAsia="zh-CN"/>
        </w:rPr>
        <w:t>2</w:t>
      </w:r>
      <w:r>
        <w:rPr>
          <w:rFonts w:hint="eastAsia"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sz w:val="32"/>
          <w:szCs w:val="32"/>
          <w:shd w:val="clear" w:color="auto" w:fill="FFFFFF"/>
        </w:rPr>
        <w:t>卫生健康支出</w:t>
      </w:r>
      <w:r>
        <w:rPr>
          <w:rFonts w:hint="default" w:ascii="Times New Roman" w:hAnsi="Times New Roman" w:eastAsia="方正仿宋_GBK" w:cs="Times New Roman"/>
          <w:sz w:val="32"/>
          <w:szCs w:val="32"/>
        </w:rPr>
        <w:t>44.14</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2.57</w:t>
      </w:r>
      <w:r>
        <w:rPr>
          <w:rFonts w:hint="default" w:ascii="Times New Roman" w:hAnsi="Times New Roman" w:eastAsia="方正仿宋_GBK" w:cs="Times New Roman"/>
          <w:sz w:val="32"/>
          <w:szCs w:val="32"/>
          <w:shd w:val="clear" w:color="auto" w:fill="FFFFFF"/>
        </w:rPr>
        <w:t>%，较年初预算数减少4.04万元，下降8.39%，主要原因是</w:t>
      </w:r>
      <w:r>
        <w:rPr>
          <w:rFonts w:hint="default" w:ascii="Times New Roman" w:hAnsi="Times New Roman" w:eastAsia="方正仿宋_GBK" w:cs="Times New Roman"/>
          <w:sz w:val="32"/>
          <w:szCs w:val="32"/>
          <w:shd w:val="clear" w:color="auto" w:fill="FFFFFF"/>
          <w:lang w:val="en-US" w:eastAsia="zh-CN"/>
        </w:rPr>
        <w:t>工资及相关基数变动导致医疗统筹支出减少。</w:t>
      </w:r>
    </w:p>
    <w:p w14:paraId="3B9CCFD9">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0" w:firstLineChars="200"/>
        <w:jc w:val="both"/>
        <w:rPr>
          <w:rFonts w:hint="default" w:ascii="Times New Roman" w:hAnsi="Times New Roman" w:eastAsia="方正仿宋_GBK" w:cs="Times New Roman"/>
          <w:sz w:val="32"/>
          <w:szCs w:val="32"/>
          <w:highlight w:val="none"/>
          <w:shd w:val="clear" w:color="auto" w:fill="FFFFFF"/>
          <w:lang w:eastAsia="zh-CN"/>
        </w:rPr>
      </w:pPr>
      <w:r>
        <w:rPr>
          <w:rFonts w:hint="eastAsia" w:ascii="方正仿宋_GBK" w:hAnsi="方正仿宋_GBK" w:eastAsia="方正仿宋_GBK" w:cs="方正仿宋_GBK"/>
          <w:sz w:val="32"/>
          <w:szCs w:val="32"/>
          <w:shd w:val="clear" w:color="auto" w:fill="FFFFFF"/>
        </w:rPr>
        <w:t>（3）</w:t>
      </w:r>
      <w:r>
        <w:rPr>
          <w:rFonts w:hint="default" w:ascii="Times New Roman" w:hAnsi="Times New Roman" w:eastAsia="方正仿宋_GBK" w:cs="Times New Roman"/>
          <w:sz w:val="32"/>
          <w:szCs w:val="32"/>
          <w:shd w:val="clear" w:color="auto" w:fill="FFFFFF"/>
        </w:rPr>
        <w:t>交通运输支出</w:t>
      </w:r>
      <w:r>
        <w:rPr>
          <w:rFonts w:hint="default" w:ascii="Times New Roman" w:hAnsi="Times New Roman" w:eastAsia="方正仿宋_GBK" w:cs="Times New Roman"/>
          <w:sz w:val="32"/>
          <w:szCs w:val="32"/>
        </w:rPr>
        <w:t>1543.14</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89.81</w:t>
      </w:r>
      <w:r>
        <w:rPr>
          <w:rFonts w:hint="default" w:ascii="Times New Roman" w:hAnsi="Times New Roman" w:eastAsia="方正仿宋_GBK" w:cs="Times New Roman"/>
          <w:sz w:val="32"/>
          <w:szCs w:val="32"/>
          <w:shd w:val="clear" w:color="auto" w:fill="FFFFFF"/>
        </w:rPr>
        <w:t>%，较年初预算数增加483.72万元，增长45.66%，</w:t>
      </w:r>
      <w:r>
        <w:rPr>
          <w:rFonts w:hint="default" w:ascii="Times New Roman" w:hAnsi="Times New Roman" w:eastAsia="方正仿宋_GBK" w:cs="Times New Roman"/>
          <w:sz w:val="32"/>
          <w:szCs w:val="32"/>
          <w:highlight w:val="none"/>
          <w:shd w:val="clear" w:color="auto" w:fill="FFFFFF"/>
        </w:rPr>
        <w:t>主要原因是</w:t>
      </w:r>
      <w:r>
        <w:rPr>
          <w:rFonts w:hint="eastAsia" w:ascii="Times New Roman" w:hAnsi="Times New Roman" w:eastAsia="方正仿宋_GBK" w:cs="Times New Roman"/>
          <w:sz w:val="32"/>
          <w:szCs w:val="32"/>
          <w:highlight w:val="none"/>
          <w:shd w:val="clear" w:color="auto" w:fill="FFFFFF"/>
          <w:lang w:val="en-US" w:eastAsia="zh-CN"/>
        </w:rPr>
        <w:t>支付以前年度往来欠款及编外劳务支出。</w:t>
      </w:r>
    </w:p>
    <w:p w14:paraId="2E70B077">
      <w:pPr>
        <w:keepNext w:val="0"/>
        <w:keepLines w:val="0"/>
        <w:pageBreakBefore w:val="0"/>
        <w:kinsoku/>
        <w:overflowPunct/>
        <w:topLinePunct w:val="0"/>
        <w:autoSpaceDN/>
        <w:bidi w:val="0"/>
        <w:adjustRightInd/>
        <w:spacing w:beforeAutospacing="0" w:afterAutospacing="0" w:line="600" w:lineRule="exact"/>
        <w:ind w:left="0" w:leftChars="0" w:right="0" w:firstLine="640" w:firstLineChars="200"/>
        <w:rPr>
          <w:rFonts w:hint="default" w:ascii="Times New Roman" w:hAnsi="Times New Roman" w:eastAsia="方正仿宋_GBK" w:cs="Times New Roman"/>
          <w:color w:val="FF0000"/>
          <w:sz w:val="32"/>
          <w:szCs w:val="32"/>
          <w:shd w:val="clear" w:color="auto" w:fill="FFFFFF"/>
        </w:rPr>
      </w:pPr>
      <w:r>
        <w:rPr>
          <w:rFonts w:hint="eastAsia" w:ascii="方正仿宋_GBK" w:hAnsi="方正仿宋_GBK" w:eastAsia="方正仿宋_GBK" w:cs="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val="en-US" w:eastAsia="zh-CN"/>
        </w:rPr>
        <w:t>4</w:t>
      </w:r>
      <w:r>
        <w:rPr>
          <w:rFonts w:hint="eastAsia"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sz w:val="32"/>
          <w:szCs w:val="32"/>
        </w:rPr>
        <w:t>住房保障支出33.11</w:t>
      </w:r>
      <w:r>
        <w:rPr>
          <w:rFonts w:hint="default" w:ascii="Times New Roman" w:hAnsi="Times New Roman" w:eastAsia="方正仿宋_GBK" w:cs="Times New Roman"/>
          <w:sz w:val="32"/>
          <w:szCs w:val="32"/>
          <w:shd w:val="clear" w:color="auto" w:fill="FFFFFF"/>
        </w:rPr>
        <w:t>万元，占</w:t>
      </w:r>
      <w:r>
        <w:rPr>
          <w:rFonts w:hint="default" w:ascii="Times New Roman" w:hAnsi="Times New Roman" w:eastAsia="方正仿宋_GBK" w:cs="Times New Roman"/>
          <w:sz w:val="32"/>
          <w:szCs w:val="32"/>
        </w:rPr>
        <w:t>1.93</w:t>
      </w:r>
      <w:r>
        <w:rPr>
          <w:rFonts w:hint="default" w:ascii="Times New Roman" w:hAnsi="Times New Roman" w:eastAsia="方正仿宋_GBK" w:cs="Times New Roman"/>
          <w:sz w:val="32"/>
          <w:szCs w:val="32"/>
          <w:shd w:val="clear" w:color="auto" w:fill="FFFFFF"/>
        </w:rPr>
        <w:t>%，较年初预算数减少12.70万元，下降27.72%，主要原因是</w:t>
      </w:r>
      <w:r>
        <w:rPr>
          <w:rFonts w:hint="default" w:ascii="Times New Roman" w:hAnsi="Times New Roman" w:eastAsia="方正仿宋_GBK" w:cs="Times New Roman"/>
          <w:sz w:val="32"/>
          <w:szCs w:val="32"/>
          <w:shd w:val="clear" w:color="auto" w:fill="FFFFFF"/>
          <w:lang w:val="en-US" w:eastAsia="zh-CN"/>
        </w:rPr>
        <w:t>工资及相关基数变动导致。</w:t>
      </w:r>
    </w:p>
    <w:p w14:paraId="57702187">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3"/>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（四）一般公共预算财政拨款基本支出决算情况说明</w:t>
      </w:r>
    </w:p>
    <w:p w14:paraId="767E864F">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 2023年度一般公共财政拨款基本支出</w:t>
      </w:r>
      <w:r>
        <w:rPr>
          <w:rFonts w:hint="default" w:ascii="Times New Roman" w:hAnsi="Times New Roman" w:eastAsia="方正仿宋_GBK" w:cs="Times New Roman"/>
          <w:sz w:val="32"/>
          <w:szCs w:val="32"/>
        </w:rPr>
        <w:t>1271.62</w:t>
      </w:r>
      <w:r>
        <w:rPr>
          <w:rFonts w:hint="default" w:ascii="Times New Roman" w:hAnsi="Times New Roman" w:eastAsia="方正仿宋_GBK" w:cs="Times New Roman"/>
          <w:sz w:val="32"/>
          <w:szCs w:val="32"/>
          <w:shd w:val="clear" w:color="auto" w:fill="FFFFFF"/>
        </w:rPr>
        <w:t>万元。其中：人员经费</w:t>
      </w:r>
      <w:r>
        <w:rPr>
          <w:rFonts w:hint="default" w:ascii="Times New Roman" w:hAnsi="Times New Roman" w:eastAsia="方正仿宋_GBK" w:cs="Times New Roman"/>
          <w:sz w:val="32"/>
          <w:szCs w:val="32"/>
        </w:rPr>
        <w:t>900.23</w:t>
      </w:r>
      <w:r>
        <w:rPr>
          <w:rFonts w:hint="default" w:ascii="Times New Roman" w:hAnsi="Times New Roman" w:eastAsia="方正仿宋_GBK" w:cs="Times New Roman"/>
          <w:sz w:val="32"/>
          <w:szCs w:val="32"/>
          <w:shd w:val="clear" w:color="auto" w:fill="FFFFFF"/>
        </w:rPr>
        <w:t>万元，较上年决算数增加5.45万元，增长0.61%，主要原因是</w:t>
      </w:r>
      <w:r>
        <w:rPr>
          <w:rFonts w:hint="default" w:ascii="Times New Roman" w:hAnsi="Times New Roman" w:eastAsia="方正仿宋_GBK" w:cs="Times New Roman"/>
          <w:sz w:val="32"/>
          <w:szCs w:val="32"/>
          <w:shd w:val="clear" w:color="auto" w:fill="FFFFFF"/>
          <w:lang w:val="en-US" w:eastAsia="zh-CN"/>
        </w:rPr>
        <w:t>人员支出政策性增加。</w:t>
      </w:r>
      <w:r>
        <w:rPr>
          <w:rFonts w:hint="default" w:ascii="Times New Roman" w:hAnsi="Times New Roman" w:eastAsia="方正仿宋_GBK" w:cs="Times New Roman"/>
          <w:sz w:val="32"/>
          <w:szCs w:val="32"/>
          <w:shd w:val="clear" w:color="auto" w:fill="FFFFFF"/>
        </w:rPr>
        <w:t>人员经费用途主要包括</w:t>
      </w:r>
      <w:r>
        <w:rPr>
          <w:rFonts w:hint="default" w:ascii="Times New Roman" w:hAnsi="Times New Roman" w:eastAsia="方正仿宋_GBK" w:cs="Times New Roman"/>
          <w:sz w:val="32"/>
          <w:szCs w:val="32"/>
          <w:shd w:val="clear" w:color="auto" w:fill="FFFFFF"/>
          <w:lang w:val="en-US" w:eastAsia="zh-CN"/>
        </w:rPr>
        <w:t>基本工资、医疗费、津贴补贴等。</w:t>
      </w:r>
      <w:r>
        <w:rPr>
          <w:rFonts w:hint="default" w:ascii="Times New Roman" w:hAnsi="Times New Roman" w:eastAsia="方正仿宋_GBK" w:cs="Times New Roman"/>
          <w:sz w:val="32"/>
          <w:szCs w:val="32"/>
          <w:shd w:val="clear" w:color="auto" w:fill="FFFFFF"/>
        </w:rPr>
        <w:t>公用经费</w:t>
      </w:r>
      <w:r>
        <w:rPr>
          <w:rFonts w:hint="default" w:ascii="Times New Roman" w:hAnsi="Times New Roman" w:eastAsia="方正仿宋_GBK" w:cs="Times New Roman"/>
          <w:sz w:val="32"/>
          <w:szCs w:val="32"/>
        </w:rPr>
        <w:t>371.39</w:t>
      </w:r>
      <w:r>
        <w:rPr>
          <w:rFonts w:hint="default" w:ascii="Times New Roman" w:hAnsi="Times New Roman" w:eastAsia="方正仿宋_GBK" w:cs="Times New Roman"/>
          <w:sz w:val="32"/>
          <w:szCs w:val="32"/>
          <w:shd w:val="clear" w:color="auto" w:fill="FFFFFF"/>
        </w:rPr>
        <w:t>万元，较上年决算数增加96.05万元，增长34.88%，主要原因是</w:t>
      </w:r>
      <w:r>
        <w:rPr>
          <w:rFonts w:hint="default" w:ascii="Times New Roman" w:hAnsi="Times New Roman" w:eastAsia="方正仿宋_GBK" w:cs="Times New Roman"/>
          <w:sz w:val="32"/>
          <w:szCs w:val="32"/>
          <w:shd w:val="clear" w:color="auto" w:fill="FFFFFF"/>
          <w:lang w:val="en-US" w:eastAsia="zh-CN"/>
        </w:rPr>
        <w:t>支付以前年度往来欠款。</w:t>
      </w:r>
      <w:r>
        <w:rPr>
          <w:rFonts w:hint="default" w:ascii="Times New Roman" w:hAnsi="Times New Roman" w:eastAsia="方正仿宋_GBK" w:cs="Times New Roman"/>
          <w:sz w:val="32"/>
          <w:szCs w:val="32"/>
          <w:shd w:val="clear" w:color="auto" w:fill="FFFFFF"/>
        </w:rPr>
        <w:t>公用经费用途主要包括</w:t>
      </w:r>
      <w:r>
        <w:rPr>
          <w:rFonts w:hint="default" w:ascii="Times New Roman" w:hAnsi="Times New Roman" w:eastAsia="方正仿宋_GBK" w:cs="Times New Roman"/>
          <w:sz w:val="32"/>
          <w:szCs w:val="32"/>
          <w:shd w:val="clear" w:color="auto" w:fill="FFFFFF"/>
          <w:lang w:val="en-US" w:eastAsia="zh-CN"/>
        </w:rPr>
        <w:t>办公费、水电费、差旅费、培训费等。</w:t>
      </w:r>
    </w:p>
    <w:p w14:paraId="15FF5038">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3"/>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14:paraId="01166383">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0" w:firstLineChars="200"/>
        <w:jc w:val="both"/>
        <w:rPr>
          <w:rFonts w:hint="default" w:ascii="Times New Roman" w:hAnsi="Times New Roman" w:eastAsia="方正仿宋_GBK" w:cs="Times New Roman"/>
          <w:sz w:val="32"/>
          <w:szCs w:val="32"/>
          <w:highlight w:val="yellow"/>
        </w:rPr>
      </w:pPr>
      <w:r>
        <w:rPr>
          <w:rFonts w:hint="default" w:ascii="Times New Roman" w:hAnsi="Times New Roman" w:eastAsia="方正仿宋_GBK" w:cs="Times New Roman"/>
          <w:sz w:val="32"/>
          <w:szCs w:val="32"/>
          <w:shd w:val="clear" w:color="auto" w:fill="FFFFFF"/>
        </w:rPr>
        <w:t>2023年度政府性基金预算财政拨款年初结转结余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万元，年末结转结余</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万元。本年收入</w:t>
      </w:r>
      <w:r>
        <w:rPr>
          <w:rFonts w:hint="default" w:ascii="Times New Roman" w:hAnsi="Times New Roman" w:eastAsia="方正仿宋_GBK" w:cs="Times New Roman"/>
          <w:sz w:val="32"/>
          <w:szCs w:val="32"/>
        </w:rPr>
        <w:t>100.00</w:t>
      </w:r>
      <w:r>
        <w:rPr>
          <w:rFonts w:hint="default" w:ascii="Times New Roman" w:hAnsi="Times New Roman" w:eastAsia="方正仿宋_GBK" w:cs="Times New Roman"/>
          <w:sz w:val="32"/>
          <w:szCs w:val="32"/>
          <w:shd w:val="clear" w:color="auto" w:fill="FFFFFF"/>
        </w:rPr>
        <w:t>万元，较上年决算数增加100.00万元，增长100.00%，</w:t>
      </w:r>
      <w:r>
        <w:rPr>
          <w:rFonts w:hint="default" w:ascii="Times New Roman" w:hAnsi="Times New Roman" w:eastAsia="方正仿宋_GBK" w:cs="Times New Roman"/>
          <w:sz w:val="32"/>
          <w:szCs w:val="32"/>
          <w:highlight w:val="none"/>
          <w:shd w:val="clear" w:color="auto" w:fill="FFFFFF"/>
        </w:rPr>
        <w:t>主要原因是</w:t>
      </w:r>
      <w:r>
        <w:rPr>
          <w:rFonts w:hint="eastAsia" w:ascii="Times New Roman" w:hAnsi="Times New Roman" w:eastAsia="方正仿宋_GBK" w:cs="Times New Roman"/>
          <w:sz w:val="32"/>
          <w:szCs w:val="32"/>
          <w:highlight w:val="none"/>
          <w:shd w:val="clear" w:color="auto" w:fill="FFFFFF"/>
          <w:lang w:val="en-US" w:eastAsia="zh-CN"/>
        </w:rPr>
        <w:t>编外劳务费增加以及支付往来款项</w:t>
      </w:r>
      <w:r>
        <w:rPr>
          <w:rFonts w:hint="default" w:ascii="Times New Roman" w:hAnsi="Times New Roman" w:eastAsia="方正仿宋_GBK" w:cs="Times New Roman"/>
          <w:sz w:val="32"/>
          <w:szCs w:val="32"/>
          <w:highlight w:val="none"/>
          <w:shd w:val="clear" w:color="auto" w:fill="FFFFFF"/>
          <w:lang w:val="en-US" w:eastAsia="zh-CN"/>
        </w:rPr>
        <w:t>。</w:t>
      </w:r>
      <w:r>
        <w:rPr>
          <w:rFonts w:hint="default" w:ascii="Times New Roman" w:hAnsi="Times New Roman" w:eastAsia="方正仿宋_GBK" w:cs="Times New Roman"/>
          <w:sz w:val="32"/>
          <w:szCs w:val="32"/>
          <w:shd w:val="clear" w:color="auto" w:fill="FFFFFF"/>
        </w:rPr>
        <w:t>本年支出</w:t>
      </w:r>
      <w:r>
        <w:rPr>
          <w:rFonts w:hint="default" w:ascii="Times New Roman" w:hAnsi="Times New Roman" w:eastAsia="方正仿宋_GBK" w:cs="Times New Roman"/>
          <w:sz w:val="32"/>
          <w:szCs w:val="32"/>
        </w:rPr>
        <w:t>100.00</w:t>
      </w:r>
      <w:r>
        <w:rPr>
          <w:rFonts w:hint="default" w:ascii="Times New Roman" w:hAnsi="Times New Roman" w:eastAsia="方正仿宋_GBK" w:cs="Times New Roman"/>
          <w:sz w:val="32"/>
          <w:szCs w:val="32"/>
          <w:shd w:val="clear" w:color="auto" w:fill="FFFFFF"/>
        </w:rPr>
        <w:t>万元，较上年决算数增加100.00万元，增长100.00%</w:t>
      </w:r>
      <w:r>
        <w:rPr>
          <w:rFonts w:hint="default" w:ascii="Times New Roman" w:hAnsi="Times New Roman" w:eastAsia="方正仿宋_GBK" w:cs="Times New Roman"/>
          <w:sz w:val="32"/>
          <w:szCs w:val="32"/>
          <w:highlight w:val="none"/>
          <w:shd w:val="clear" w:color="auto" w:fill="FFFFFF"/>
        </w:rPr>
        <w:t>，主要原因是</w:t>
      </w:r>
      <w:r>
        <w:rPr>
          <w:rFonts w:hint="eastAsia" w:ascii="Times New Roman" w:hAnsi="Times New Roman" w:eastAsia="方正仿宋_GBK" w:cs="Times New Roman"/>
          <w:sz w:val="32"/>
          <w:szCs w:val="32"/>
          <w:highlight w:val="none"/>
          <w:shd w:val="clear" w:color="auto" w:fill="FFFFFF"/>
          <w:lang w:val="en-US" w:eastAsia="zh-CN"/>
        </w:rPr>
        <w:t>编外劳务费增加以及支付往来款项</w:t>
      </w:r>
      <w:r>
        <w:rPr>
          <w:rFonts w:hint="default" w:ascii="Times New Roman" w:hAnsi="Times New Roman" w:eastAsia="方正仿宋_GBK" w:cs="Times New Roman"/>
          <w:sz w:val="32"/>
          <w:szCs w:val="32"/>
          <w:highlight w:val="none"/>
          <w:shd w:val="clear" w:color="auto" w:fill="FFFFFF"/>
          <w:lang w:val="en-US" w:eastAsia="zh-CN"/>
        </w:rPr>
        <w:t>。</w:t>
      </w:r>
    </w:p>
    <w:p w14:paraId="16638DE5">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3"/>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14:paraId="0FB35096">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 </w:t>
      </w:r>
      <w:r>
        <w:rPr>
          <w:rFonts w:hint="default" w:ascii="Times New Roman" w:hAnsi="Times New Roman" w:eastAsia="方正仿宋_GBK" w:cs="Times New Roman"/>
          <w:sz w:val="32"/>
          <w:szCs w:val="32"/>
          <w:shd w:val="clear" w:color="auto" w:fill="FFFFFF"/>
          <w:lang w:val="en-US" w:eastAsia="zh-CN"/>
        </w:rPr>
        <w:t xml:space="preserve"> 本单位2023年度无国有资本经营预算财政拨款支出。</w:t>
      </w:r>
    </w:p>
    <w:p w14:paraId="6D4D0E33">
      <w:pPr>
        <w:pStyle w:val="7"/>
        <w:keepNext w:val="0"/>
        <w:keepLines w:val="0"/>
        <w:pageBreakBefore w:val="0"/>
        <w:shd w:val="clear" w:color="auto" w:fill="FFFFFF"/>
        <w:kinsoku/>
        <w:overflowPunct/>
        <w:topLinePunct w:val="0"/>
        <w:autoSpaceDN/>
        <w:bidi w:val="0"/>
        <w:adjustRightInd/>
        <w:spacing w:beforeAutospacing="0" w:after="0" w:afterAutospacing="0" w:line="600" w:lineRule="exact"/>
        <w:ind w:left="0" w:leftChars="0" w:right="0" w:firstLine="640" w:firstLineChars="200"/>
        <w:rPr>
          <w:rFonts w:hint="default" w:ascii="Times New Roman" w:hAnsi="Times New Roman" w:eastAsia="方正黑体_GBK" w:cs="Times New Roman"/>
          <w:b w:val="0"/>
          <w:bCs/>
          <w:sz w:val="32"/>
          <w:szCs w:val="32"/>
        </w:rPr>
      </w:pPr>
      <w:r>
        <w:rPr>
          <w:rStyle w:val="11"/>
          <w:rFonts w:hint="default" w:ascii="Times New Roman" w:hAnsi="Times New Roman" w:eastAsia="方正黑体_GBK" w:cs="Times New Roman"/>
          <w:b w:val="0"/>
          <w:bCs/>
          <w:sz w:val="32"/>
          <w:szCs w:val="32"/>
          <w:shd w:val="clear" w:color="auto" w:fill="FFFFFF"/>
        </w:rPr>
        <w:t>三、“三公”经费情况说明</w:t>
      </w:r>
    </w:p>
    <w:p w14:paraId="49FA3BBB">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0" w:firstLineChars="200"/>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14:paraId="10A4227C">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2023年度“三公”经费支出共计</w:t>
      </w:r>
      <w:r>
        <w:rPr>
          <w:rFonts w:hint="default" w:ascii="Times New Roman" w:hAnsi="Times New Roman" w:eastAsia="方正仿宋_GBK" w:cs="Times New Roman"/>
          <w:sz w:val="32"/>
          <w:szCs w:val="32"/>
        </w:rPr>
        <w:t>45.70</w:t>
      </w:r>
      <w:r>
        <w:rPr>
          <w:rFonts w:hint="default" w:ascii="Times New Roman" w:hAnsi="Times New Roman" w:eastAsia="方正仿宋_GBK" w:cs="Times New Roman"/>
          <w:sz w:val="32"/>
          <w:szCs w:val="32"/>
          <w:shd w:val="clear" w:color="auto" w:fill="FFFFFF"/>
        </w:rPr>
        <w:t>万元，较年初预算数增加7.70万元，增长20.26%，</w:t>
      </w:r>
      <w:r>
        <w:rPr>
          <w:rFonts w:hint="default" w:ascii="Times New Roman" w:hAnsi="Times New Roman" w:eastAsia="方正仿宋_GBK" w:cs="Times New Roman"/>
          <w:sz w:val="32"/>
          <w:szCs w:val="32"/>
          <w:highlight w:val="none"/>
          <w:shd w:val="clear" w:color="auto" w:fill="FFFFFF"/>
        </w:rPr>
        <w:t>主要原因是</w:t>
      </w:r>
      <w:r>
        <w:rPr>
          <w:rFonts w:hint="eastAsia" w:ascii="Times New Roman" w:hAnsi="Times New Roman" w:eastAsia="方正仿宋_GBK" w:cs="Times New Roman"/>
          <w:sz w:val="32"/>
          <w:szCs w:val="32"/>
          <w:highlight w:val="none"/>
          <w:shd w:val="clear" w:color="auto" w:fill="FFFFFF"/>
          <w:lang w:val="en-US" w:eastAsia="zh-CN"/>
        </w:rPr>
        <w:t>本年支付以前年度执法车辆维修费欠款</w:t>
      </w:r>
      <w:r>
        <w:rPr>
          <w:rFonts w:hint="default" w:ascii="Times New Roman" w:hAnsi="Times New Roman" w:eastAsia="方正仿宋_GBK" w:cs="Times New Roman"/>
          <w:sz w:val="32"/>
          <w:szCs w:val="32"/>
          <w:shd w:val="clear" w:color="auto" w:fill="FFFFFF"/>
          <w:lang w:val="en-US" w:eastAsia="zh-CN"/>
        </w:rPr>
        <w:t>。</w:t>
      </w:r>
      <w:r>
        <w:rPr>
          <w:rFonts w:hint="default" w:ascii="Times New Roman" w:hAnsi="Times New Roman" w:eastAsia="方正仿宋_GBK" w:cs="Times New Roman"/>
          <w:sz w:val="32"/>
          <w:szCs w:val="32"/>
          <w:shd w:val="clear" w:color="auto" w:fill="FFFFFF"/>
        </w:rPr>
        <w:t>较上年支出数减少29.96万元，下降39.60%，主要原因是</w:t>
      </w:r>
      <w:r>
        <w:rPr>
          <w:rFonts w:hint="default" w:ascii="Times New Roman" w:hAnsi="Times New Roman" w:eastAsia="方正仿宋_GBK" w:cs="Times New Roman"/>
          <w:sz w:val="32"/>
          <w:szCs w:val="32"/>
          <w:shd w:val="clear" w:color="auto" w:fill="FFFFFF"/>
          <w:lang w:val="en-US" w:eastAsia="zh-CN"/>
        </w:rPr>
        <w:t>贯彻落实中央关于厉行节约的各项要求，严格控制“三公”经费开支，压减不必要的支出。</w:t>
      </w:r>
    </w:p>
    <w:p w14:paraId="2D0E3CF0">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0" w:firstLineChars="200"/>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14:paraId="73BC7F99">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shd w:val="clear" w:color="auto" w:fill="FFFFFF"/>
          <w:lang w:val="en-US" w:eastAsia="zh-CN"/>
        </w:rPr>
        <w:t>本单位2023年度未发生</w:t>
      </w:r>
      <w:r>
        <w:rPr>
          <w:rFonts w:hint="default" w:ascii="Times New Roman" w:hAnsi="Times New Roman" w:eastAsia="方正仿宋_GBK" w:cs="Times New Roman"/>
          <w:sz w:val="32"/>
          <w:szCs w:val="32"/>
          <w:highlight w:val="none"/>
          <w:shd w:val="clear" w:color="auto" w:fill="FFFFFF"/>
        </w:rPr>
        <w:t>因公出国（境）</w:t>
      </w:r>
      <w:r>
        <w:rPr>
          <w:rFonts w:hint="eastAsia" w:ascii="Times New Roman" w:hAnsi="Times New Roman" w:eastAsia="方正仿宋_GBK" w:cs="Times New Roman"/>
          <w:sz w:val="32"/>
          <w:szCs w:val="32"/>
          <w:highlight w:val="none"/>
          <w:shd w:val="clear" w:color="auto" w:fill="FFFFFF"/>
          <w:lang w:val="en-US" w:eastAsia="zh-CN"/>
        </w:rPr>
        <w:t>费用，与上年决算数持平。</w:t>
      </w:r>
    </w:p>
    <w:p w14:paraId="16D647BE">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0" w:firstLineChars="200"/>
        <w:jc w:val="both"/>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rPr>
        <w:t> 公务车购置费</w:t>
      </w:r>
      <w:r>
        <w:rPr>
          <w:rFonts w:hint="default" w:ascii="Times New Roman" w:hAnsi="Times New Roman" w:eastAsia="方正仿宋_GBK" w:cs="Times New Roman"/>
          <w:sz w:val="32"/>
          <w:szCs w:val="32"/>
        </w:rPr>
        <w:t>9.54</w:t>
      </w:r>
      <w:r>
        <w:rPr>
          <w:rFonts w:hint="default" w:ascii="Times New Roman" w:hAnsi="Times New Roman" w:eastAsia="方正仿宋_GBK" w:cs="Times New Roman"/>
          <w:sz w:val="32"/>
          <w:szCs w:val="32"/>
          <w:shd w:val="clear" w:color="auto" w:fill="FFFFFF"/>
        </w:rPr>
        <w:t>万元，主要用于</w:t>
      </w:r>
      <w:r>
        <w:rPr>
          <w:rFonts w:hint="default" w:ascii="Times New Roman" w:hAnsi="Times New Roman" w:eastAsia="方正仿宋_GBK" w:cs="Times New Roman"/>
          <w:sz w:val="32"/>
          <w:szCs w:val="32"/>
          <w:shd w:val="clear" w:color="auto" w:fill="FFFFFF"/>
          <w:lang w:val="en-US" w:eastAsia="zh-CN"/>
        </w:rPr>
        <w:t>支付2022年车辆购置尾款</w:t>
      </w:r>
      <w:r>
        <w:rPr>
          <w:rFonts w:hint="default" w:ascii="Times New Roman" w:hAnsi="Times New Roman" w:eastAsia="方正仿宋_GBK" w:cs="Times New Roman"/>
          <w:sz w:val="32"/>
          <w:szCs w:val="32"/>
          <w:shd w:val="clear" w:color="auto" w:fill="FFFFFF"/>
        </w:rPr>
        <w:t>。费用支出较年初预算数增加9.54万元，增长100.00%，主要原因是</w:t>
      </w:r>
      <w:r>
        <w:rPr>
          <w:rFonts w:hint="default" w:ascii="Times New Roman" w:hAnsi="Times New Roman" w:eastAsia="方正仿宋_GBK" w:cs="Times New Roman"/>
          <w:sz w:val="32"/>
          <w:szCs w:val="32"/>
          <w:shd w:val="clear" w:color="auto" w:fill="FFFFFF"/>
          <w:lang w:val="en-US" w:eastAsia="zh-CN"/>
        </w:rPr>
        <w:t>支付以前年度车辆购置欠款</w:t>
      </w:r>
      <w:r>
        <w:rPr>
          <w:rFonts w:hint="default" w:ascii="Times New Roman" w:hAnsi="Times New Roman" w:eastAsia="方正仿宋_GBK" w:cs="Times New Roman"/>
          <w:sz w:val="32"/>
          <w:szCs w:val="32"/>
          <w:shd w:val="clear" w:color="auto" w:fill="FFFFFF"/>
        </w:rPr>
        <w:t>。较上年支出数减少10.46万元，下降52.30%，主要原因是</w:t>
      </w:r>
      <w:r>
        <w:rPr>
          <w:rFonts w:hint="default" w:ascii="Times New Roman" w:hAnsi="Times New Roman" w:eastAsia="方正仿宋_GBK" w:cs="Times New Roman"/>
          <w:sz w:val="32"/>
          <w:szCs w:val="32"/>
          <w:shd w:val="clear" w:color="auto" w:fill="FFFFFF"/>
          <w:lang w:val="en-US" w:eastAsia="zh-CN"/>
        </w:rPr>
        <w:t>从严控制和压缩公务用车相关支出，从而有效的减少了车辆支出。</w:t>
      </w:r>
    </w:p>
    <w:p w14:paraId="69507049">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 公务车运行维护费</w:t>
      </w:r>
      <w:r>
        <w:rPr>
          <w:rFonts w:hint="default" w:ascii="Times New Roman" w:hAnsi="Times New Roman" w:eastAsia="方正仿宋_GBK" w:cs="Times New Roman"/>
          <w:sz w:val="32"/>
          <w:szCs w:val="32"/>
        </w:rPr>
        <w:t>35.84</w:t>
      </w:r>
      <w:r>
        <w:rPr>
          <w:rFonts w:hint="default" w:ascii="Times New Roman" w:hAnsi="Times New Roman" w:eastAsia="方正仿宋_GBK" w:cs="Times New Roman"/>
          <w:sz w:val="32"/>
          <w:szCs w:val="32"/>
          <w:shd w:val="clear" w:color="auto" w:fill="FFFFFF"/>
        </w:rPr>
        <w:t>万元，主要用于</w:t>
      </w:r>
      <w:r>
        <w:rPr>
          <w:rFonts w:hint="eastAsia" w:ascii="Times New Roman" w:hAnsi="Times New Roman" w:eastAsia="方正仿宋_GBK" w:cs="Times New Roman"/>
          <w:sz w:val="32"/>
          <w:szCs w:val="32"/>
          <w:highlight w:val="none"/>
          <w:shd w:val="clear" w:color="auto" w:fill="FFFFFF"/>
          <w:lang w:val="en-US" w:eastAsia="zh-CN"/>
        </w:rPr>
        <w:t>交通运输综合行政执法</w:t>
      </w:r>
      <w:r>
        <w:rPr>
          <w:rFonts w:hint="default" w:ascii="Times New Roman" w:hAnsi="Times New Roman" w:eastAsia="方正仿宋_GBK" w:cs="Times New Roman"/>
          <w:sz w:val="32"/>
          <w:szCs w:val="32"/>
          <w:highlight w:val="none"/>
          <w:shd w:val="clear" w:color="auto" w:fill="FFFFFF"/>
          <w:lang w:val="en-US" w:eastAsia="zh-CN"/>
        </w:rPr>
        <w:t>车辆保险</w:t>
      </w:r>
      <w:r>
        <w:rPr>
          <w:rFonts w:hint="eastAsia" w:ascii="Times New Roman" w:hAnsi="Times New Roman" w:eastAsia="方正仿宋_GBK" w:cs="Times New Roman"/>
          <w:sz w:val="32"/>
          <w:szCs w:val="32"/>
          <w:highlight w:val="none"/>
          <w:shd w:val="clear" w:color="auto" w:fill="FFFFFF"/>
          <w:lang w:val="en-US" w:eastAsia="zh-CN"/>
        </w:rPr>
        <w:t>费</w:t>
      </w:r>
      <w:r>
        <w:rPr>
          <w:rFonts w:hint="default" w:ascii="Times New Roman" w:hAnsi="Times New Roman" w:eastAsia="方正仿宋_GBK" w:cs="Times New Roman"/>
          <w:sz w:val="32"/>
          <w:szCs w:val="32"/>
          <w:highlight w:val="none"/>
          <w:shd w:val="clear" w:color="auto" w:fill="FFFFFF"/>
          <w:lang w:val="en-US" w:eastAsia="zh-CN"/>
        </w:rPr>
        <w:t>，日常维修</w:t>
      </w:r>
      <w:r>
        <w:rPr>
          <w:rFonts w:hint="eastAsia" w:ascii="Times New Roman" w:hAnsi="Times New Roman" w:eastAsia="方正仿宋_GBK" w:cs="Times New Roman"/>
          <w:sz w:val="32"/>
          <w:szCs w:val="32"/>
          <w:highlight w:val="none"/>
          <w:shd w:val="clear" w:color="auto" w:fill="FFFFFF"/>
          <w:lang w:val="en-US" w:eastAsia="zh-CN"/>
        </w:rPr>
        <w:t>维护</w:t>
      </w:r>
      <w:r>
        <w:rPr>
          <w:rFonts w:hint="default" w:ascii="Times New Roman" w:hAnsi="Times New Roman" w:eastAsia="方正仿宋_GBK" w:cs="Times New Roman"/>
          <w:sz w:val="32"/>
          <w:szCs w:val="32"/>
          <w:highlight w:val="none"/>
          <w:shd w:val="clear" w:color="auto" w:fill="FFFFFF"/>
          <w:lang w:val="en-US" w:eastAsia="zh-CN"/>
        </w:rPr>
        <w:t>费，燃油费等</w:t>
      </w:r>
      <w:r>
        <w:rPr>
          <w:rFonts w:hint="default" w:ascii="Times New Roman" w:hAnsi="Times New Roman" w:eastAsia="方正仿宋_GBK" w:cs="Times New Roman"/>
          <w:sz w:val="32"/>
          <w:szCs w:val="32"/>
          <w:shd w:val="clear" w:color="auto" w:fill="FFFFFF"/>
          <w:lang w:val="en-US" w:eastAsia="zh-CN"/>
        </w:rPr>
        <w:t>。</w:t>
      </w:r>
      <w:r>
        <w:rPr>
          <w:rFonts w:hint="default" w:ascii="Times New Roman" w:hAnsi="Times New Roman" w:eastAsia="方正仿宋_GBK" w:cs="Times New Roman"/>
          <w:sz w:val="32"/>
          <w:szCs w:val="32"/>
          <w:shd w:val="clear" w:color="auto" w:fill="FFFFFF"/>
        </w:rPr>
        <w:t>费用支出较年初预算数减少0.16万元，下降0.44%，主要原因是</w:t>
      </w:r>
      <w:r>
        <w:rPr>
          <w:rFonts w:hint="default" w:ascii="Times New Roman" w:hAnsi="Times New Roman" w:eastAsia="方正仿宋_GBK" w:cs="Times New Roman"/>
          <w:sz w:val="32"/>
          <w:szCs w:val="32"/>
          <w:shd w:val="clear" w:color="auto" w:fill="FFFFFF"/>
          <w:lang w:val="en-US" w:eastAsia="zh-CN"/>
        </w:rPr>
        <w:t>落实过紧日子要求。</w:t>
      </w:r>
      <w:r>
        <w:rPr>
          <w:rFonts w:hint="default" w:ascii="Times New Roman" w:hAnsi="Times New Roman" w:eastAsia="方正仿宋_GBK" w:cs="Times New Roman"/>
          <w:sz w:val="32"/>
          <w:szCs w:val="32"/>
          <w:shd w:val="clear" w:color="auto" w:fill="FFFFFF"/>
        </w:rPr>
        <w:t>较上年支出数减少19.43万元，下降35.15%，主要原因是</w:t>
      </w:r>
      <w:r>
        <w:rPr>
          <w:rFonts w:hint="default" w:ascii="Times New Roman" w:hAnsi="Times New Roman" w:eastAsia="方正仿宋_GBK" w:cs="Times New Roman"/>
          <w:sz w:val="32"/>
          <w:szCs w:val="32"/>
          <w:shd w:val="clear" w:color="auto" w:fill="FFFFFF"/>
          <w:lang w:val="en-US" w:eastAsia="zh-CN"/>
        </w:rPr>
        <w:t>贯彻落实中央八项规定、过紧日子要求、厉行节约、加强公务用车管理等因素。</w:t>
      </w:r>
    </w:p>
    <w:p w14:paraId="652010A7">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 公务接待费</w:t>
      </w:r>
      <w:r>
        <w:rPr>
          <w:rFonts w:hint="default" w:ascii="Times New Roman" w:hAnsi="Times New Roman" w:eastAsia="方正仿宋_GBK" w:cs="Times New Roman"/>
          <w:sz w:val="32"/>
          <w:szCs w:val="32"/>
        </w:rPr>
        <w:t>0.32</w:t>
      </w:r>
      <w:r>
        <w:rPr>
          <w:rFonts w:hint="default" w:ascii="Times New Roman" w:hAnsi="Times New Roman" w:eastAsia="方正仿宋_GBK" w:cs="Times New Roman"/>
          <w:sz w:val="32"/>
          <w:szCs w:val="32"/>
          <w:shd w:val="clear" w:color="auto" w:fill="FFFFFF"/>
        </w:rPr>
        <w:t>万元，主要用于</w:t>
      </w:r>
      <w:r>
        <w:rPr>
          <w:rFonts w:hint="default" w:ascii="Times New Roman" w:hAnsi="Times New Roman" w:eastAsia="方正仿宋_GBK" w:cs="Times New Roman"/>
          <w:sz w:val="32"/>
          <w:szCs w:val="32"/>
          <w:shd w:val="clear" w:color="auto" w:fill="FFFFFF"/>
          <w:lang w:val="en-US" w:eastAsia="zh-CN"/>
        </w:rPr>
        <w:t>单位实际发生的一切接待费用支出。</w:t>
      </w:r>
      <w:r>
        <w:rPr>
          <w:rFonts w:hint="default" w:ascii="Times New Roman" w:hAnsi="Times New Roman" w:eastAsia="方正仿宋_GBK" w:cs="Times New Roman"/>
          <w:sz w:val="32"/>
          <w:szCs w:val="32"/>
          <w:shd w:val="clear" w:color="auto" w:fill="FFFFFF"/>
        </w:rPr>
        <w:t>费用支出较年初预算数减少1.68万元，下降84.00%，主要原因是</w:t>
      </w:r>
      <w:r>
        <w:rPr>
          <w:rFonts w:hint="default" w:ascii="Times New Roman" w:hAnsi="Times New Roman" w:eastAsia="方正仿宋_GBK" w:cs="Times New Roman"/>
          <w:sz w:val="32"/>
          <w:szCs w:val="32"/>
          <w:shd w:val="clear" w:color="auto" w:fill="FFFFFF"/>
          <w:lang w:val="en-US" w:eastAsia="zh-CN"/>
        </w:rPr>
        <w:t>本单位接待费减少及控制不必要的支出。</w:t>
      </w:r>
      <w:r>
        <w:rPr>
          <w:rFonts w:hint="default" w:ascii="Times New Roman" w:hAnsi="Times New Roman" w:eastAsia="方正仿宋_GBK" w:cs="Times New Roman"/>
          <w:sz w:val="32"/>
          <w:szCs w:val="32"/>
          <w:shd w:val="clear" w:color="auto" w:fill="FFFFFF"/>
        </w:rPr>
        <w:t>较上年支出数减少0.07万元，下降17.95%，主要原因是</w:t>
      </w:r>
      <w:r>
        <w:rPr>
          <w:rFonts w:hint="default" w:ascii="Times New Roman" w:hAnsi="Times New Roman" w:eastAsia="方正仿宋_GBK" w:cs="Times New Roman"/>
          <w:sz w:val="32"/>
          <w:szCs w:val="32"/>
        </w:rPr>
        <w:t>落实中央八项规定精神，严禁违规行为，要有效地减少了三公经费的不正常支出</w:t>
      </w:r>
      <w:r>
        <w:rPr>
          <w:rFonts w:hint="default" w:ascii="Times New Roman" w:hAnsi="Times New Roman" w:eastAsia="方正仿宋_GBK" w:cs="Times New Roman"/>
          <w:sz w:val="32"/>
          <w:szCs w:val="32"/>
          <w:lang w:eastAsia="zh-CN"/>
        </w:rPr>
        <w:t>。</w:t>
      </w:r>
    </w:p>
    <w:p w14:paraId="3349625E">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0" w:firstLineChars="200"/>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14:paraId="186F1481">
      <w:pPr>
        <w:pStyle w:val="7"/>
        <w:keepNext w:val="0"/>
        <w:keepLines w:val="0"/>
        <w:pageBreakBefore w:val="0"/>
        <w:kinsoku/>
        <w:overflowPunct/>
        <w:topLinePunct w:val="0"/>
        <w:autoSpaceDN/>
        <w:bidi w:val="0"/>
        <w:adjustRightInd/>
        <w:snapToGrid w:val="0"/>
        <w:spacing w:before="0" w:beforeAutospacing="0" w:after="0" w:afterAutospacing="0" w:line="600" w:lineRule="exact"/>
        <w:ind w:left="0" w:leftChars="0" w:right="0"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 2023年度本单位因公出国（境）共计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个团组，</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人；公务用车购置</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辆，公务车保有量为</w:t>
      </w:r>
      <w:r>
        <w:rPr>
          <w:rFonts w:hint="default" w:ascii="Times New Roman" w:hAnsi="Times New Roman" w:eastAsia="方正仿宋_GBK" w:cs="Times New Roman"/>
          <w:sz w:val="32"/>
          <w:szCs w:val="32"/>
        </w:rPr>
        <w:t>12</w:t>
      </w:r>
      <w:r>
        <w:rPr>
          <w:rFonts w:hint="default" w:ascii="Times New Roman" w:hAnsi="Times New Roman" w:eastAsia="方正仿宋_GBK" w:cs="Times New Roman"/>
          <w:sz w:val="32"/>
          <w:szCs w:val="32"/>
          <w:shd w:val="clear" w:color="auto" w:fill="FFFFFF"/>
        </w:rPr>
        <w:t>辆；国内公务接待</w:t>
      </w:r>
      <w:r>
        <w:rPr>
          <w:rFonts w:hint="default" w:ascii="Times New Roman" w:hAnsi="Times New Roman" w:eastAsia="方正仿宋_GBK" w:cs="Times New Roman"/>
          <w:sz w:val="32"/>
          <w:szCs w:val="32"/>
        </w:rPr>
        <w:t>6</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33</w:t>
      </w:r>
      <w:r>
        <w:rPr>
          <w:rFonts w:hint="default" w:ascii="Times New Roman" w:hAnsi="Times New Roman" w:eastAsia="方正仿宋_GBK" w:cs="Times New Roman"/>
          <w:sz w:val="32"/>
          <w:szCs w:val="32"/>
          <w:shd w:val="clear" w:color="auto" w:fill="FFFFFF"/>
        </w:rPr>
        <w:t>人，其中：国内外事接待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人；国（境）外公务接待</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批次，</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人。2023年本单位人均接待费</w:t>
      </w:r>
      <w:r>
        <w:rPr>
          <w:rFonts w:hint="default" w:ascii="Times New Roman" w:hAnsi="Times New Roman" w:eastAsia="方正仿宋_GBK" w:cs="Times New Roman"/>
          <w:sz w:val="32"/>
          <w:szCs w:val="32"/>
        </w:rPr>
        <w:t>97.52</w:t>
      </w:r>
      <w:r>
        <w:rPr>
          <w:rFonts w:hint="default" w:ascii="Times New Roman" w:hAnsi="Times New Roman" w:eastAsia="方正仿宋_GBK" w:cs="Times New Roman"/>
          <w:sz w:val="32"/>
          <w:szCs w:val="32"/>
          <w:shd w:val="clear" w:color="auto" w:fill="FFFFFF"/>
        </w:rPr>
        <w:t>元，车均购置费</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万元，车均维护费</w:t>
      </w:r>
      <w:r>
        <w:rPr>
          <w:rFonts w:hint="default" w:ascii="Times New Roman" w:hAnsi="Times New Roman" w:eastAsia="方正仿宋_GBK" w:cs="Times New Roman"/>
          <w:sz w:val="32"/>
          <w:szCs w:val="32"/>
        </w:rPr>
        <w:t>2.99</w:t>
      </w:r>
      <w:r>
        <w:rPr>
          <w:rFonts w:hint="default" w:ascii="Times New Roman" w:hAnsi="Times New Roman" w:eastAsia="方正仿宋_GBK" w:cs="Times New Roman"/>
          <w:sz w:val="32"/>
          <w:szCs w:val="32"/>
          <w:shd w:val="clear" w:color="auto" w:fill="FFFFFF"/>
        </w:rPr>
        <w:t>万元。</w:t>
      </w:r>
    </w:p>
    <w:p w14:paraId="2B01A3E1">
      <w:pPr>
        <w:pStyle w:val="7"/>
        <w:keepNext w:val="0"/>
        <w:keepLines w:val="0"/>
        <w:pageBreakBefore w:val="0"/>
        <w:shd w:val="clear" w:color="auto" w:fill="FFFFFF"/>
        <w:kinsoku/>
        <w:overflowPunct/>
        <w:topLinePunct w:val="0"/>
        <w:autoSpaceDN/>
        <w:bidi w:val="0"/>
        <w:adjustRightInd/>
        <w:spacing w:beforeAutospacing="0" w:after="0" w:afterAutospacing="0" w:line="600" w:lineRule="exact"/>
        <w:ind w:left="0" w:leftChars="0" w:right="0" w:firstLine="640" w:firstLineChars="200"/>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四、其他需要说明的事项</w:t>
      </w:r>
    </w:p>
    <w:p w14:paraId="4EF83CF8">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3"/>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 （一）财政拨款会议费和培训费情况说明</w:t>
      </w:r>
    </w:p>
    <w:p w14:paraId="472E4021">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本年度会议费支出</w:t>
      </w:r>
      <w:r>
        <w:rPr>
          <w:rFonts w:hint="default" w:ascii="Times New Roman" w:hAnsi="Times New Roman" w:eastAsia="方正仿宋_GBK" w:cs="Times New Roman"/>
          <w:sz w:val="32"/>
          <w:szCs w:val="32"/>
        </w:rPr>
        <w:t>0.01</w:t>
      </w:r>
      <w:r>
        <w:rPr>
          <w:rFonts w:hint="default" w:ascii="Times New Roman" w:hAnsi="Times New Roman" w:eastAsia="方正仿宋_GBK" w:cs="Times New Roman"/>
          <w:sz w:val="32"/>
          <w:szCs w:val="32"/>
          <w:shd w:val="clear" w:color="auto" w:fill="FFFFFF"/>
        </w:rPr>
        <w:t>万元，较上年决算数减少0.01万元，下降50.00%，主要原因是</w:t>
      </w:r>
      <w:r>
        <w:rPr>
          <w:rFonts w:hint="default" w:ascii="Times New Roman" w:hAnsi="Times New Roman" w:eastAsia="方正仿宋_GBK" w:cs="Times New Roman"/>
          <w:sz w:val="32"/>
          <w:szCs w:val="32"/>
          <w:shd w:val="clear" w:color="auto" w:fill="FFFFFF"/>
          <w:lang w:val="en-US" w:eastAsia="zh-CN"/>
        </w:rPr>
        <w:t>本单位切实落实中央有关厉行节约的要求，减少相关支出</w:t>
      </w:r>
      <w:r>
        <w:rPr>
          <w:rFonts w:hint="default" w:ascii="Times New Roman" w:hAnsi="Times New Roman" w:eastAsia="方正仿宋_GBK" w:cs="Times New Roman"/>
          <w:sz w:val="32"/>
          <w:szCs w:val="32"/>
          <w:shd w:val="clear" w:color="auto" w:fill="FFFFFF"/>
        </w:rPr>
        <w:t>。本年度培训费支出</w:t>
      </w:r>
      <w:r>
        <w:rPr>
          <w:rFonts w:hint="default" w:ascii="Times New Roman" w:hAnsi="Times New Roman" w:eastAsia="方正仿宋_GBK" w:cs="Times New Roman"/>
          <w:sz w:val="32"/>
          <w:szCs w:val="32"/>
        </w:rPr>
        <w:t>1.10</w:t>
      </w:r>
      <w:r>
        <w:rPr>
          <w:rFonts w:hint="default" w:ascii="Times New Roman" w:hAnsi="Times New Roman" w:eastAsia="方正仿宋_GBK" w:cs="Times New Roman"/>
          <w:sz w:val="32"/>
          <w:szCs w:val="32"/>
          <w:shd w:val="clear" w:color="auto" w:fill="FFFFFF"/>
        </w:rPr>
        <w:t>万元，较上年决算数增加0.55万元，增长100.00%，主要原因是</w:t>
      </w:r>
      <w:r>
        <w:rPr>
          <w:rFonts w:hint="default" w:ascii="Times New Roman" w:hAnsi="Times New Roman" w:eastAsia="方正仿宋_GBK" w:cs="Times New Roman"/>
          <w:sz w:val="32"/>
          <w:szCs w:val="32"/>
          <w:shd w:val="clear" w:color="auto" w:fill="FFFFFF"/>
          <w:lang w:val="en-US" w:eastAsia="zh-CN"/>
        </w:rPr>
        <w:t>本年度本单位新招录职工用于法制专业培训</w:t>
      </w:r>
      <w:r>
        <w:rPr>
          <w:rFonts w:hint="default" w:ascii="Times New Roman" w:hAnsi="Times New Roman" w:eastAsia="方正仿宋_GBK" w:cs="Times New Roman"/>
          <w:sz w:val="32"/>
          <w:szCs w:val="32"/>
          <w:shd w:val="clear" w:color="auto" w:fill="FFFFFF"/>
        </w:rPr>
        <w:t>。</w:t>
      </w:r>
    </w:p>
    <w:p w14:paraId="0B699EC1">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3"/>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（二）机关运行经费情况说明</w:t>
      </w:r>
    </w:p>
    <w:p w14:paraId="3E78F1AC">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Times New Roman" w:hAnsi="Times New Roman" w:eastAsia="方正仿宋_GBK" w:cs="Times New Roman"/>
          <w:color w:val="FF0000"/>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按照部门决算列报口径，我单位不在机关运行经费统计范围之内。</w:t>
      </w:r>
    </w:p>
    <w:p w14:paraId="5554AFDD">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3"/>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（三）国有资产占用情况说明</w:t>
      </w:r>
    </w:p>
    <w:p w14:paraId="736E5B0A">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截至2023年12月31日，本单位共有车辆</w:t>
      </w:r>
      <w:r>
        <w:rPr>
          <w:rFonts w:hint="default" w:ascii="Times New Roman" w:hAnsi="Times New Roman" w:eastAsia="方正仿宋_GBK" w:cs="Times New Roman"/>
          <w:sz w:val="32"/>
          <w:szCs w:val="32"/>
        </w:rPr>
        <w:t>12</w:t>
      </w:r>
      <w:r>
        <w:rPr>
          <w:rFonts w:hint="default" w:ascii="Times New Roman" w:hAnsi="Times New Roman" w:eastAsia="方正仿宋_GBK" w:cs="Times New Roman"/>
          <w:sz w:val="32"/>
          <w:szCs w:val="32"/>
          <w:shd w:val="clear" w:color="auto" w:fill="FFFFFF"/>
        </w:rPr>
        <w:t>辆，其中，副部（省）级及以上领导用车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辆、主要</w:t>
      </w:r>
      <w:r>
        <w:rPr>
          <w:rFonts w:hint="eastAsia" w:ascii="Times New Roman" w:hAnsi="Times New Roman" w:eastAsia="方正仿宋_GBK" w:cs="Times New Roman"/>
          <w:sz w:val="32"/>
          <w:szCs w:val="32"/>
          <w:shd w:val="clear" w:color="auto" w:fill="FFFFFF"/>
          <w:lang w:val="en-US" w:eastAsia="zh-CN"/>
        </w:rPr>
        <w:t>领导干部</w:t>
      </w:r>
      <w:r>
        <w:rPr>
          <w:rFonts w:hint="default" w:ascii="Times New Roman" w:hAnsi="Times New Roman" w:eastAsia="方正仿宋_GBK" w:cs="Times New Roman"/>
          <w:sz w:val="32"/>
          <w:szCs w:val="32"/>
          <w:shd w:val="clear" w:color="auto" w:fill="FFFFFF"/>
        </w:rPr>
        <w:t>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辆、机要通信用车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辆、应急保障用车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辆、执法执勤用车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辆，特种专业技术用车</w:t>
      </w:r>
      <w:r>
        <w:rPr>
          <w:rFonts w:hint="default" w:ascii="Times New Roman" w:hAnsi="Times New Roman" w:eastAsia="方正仿宋_GBK" w:cs="Times New Roman"/>
          <w:sz w:val="32"/>
          <w:szCs w:val="32"/>
        </w:rPr>
        <w:t>12</w:t>
      </w:r>
      <w:r>
        <w:rPr>
          <w:rFonts w:hint="default" w:ascii="Times New Roman" w:hAnsi="Times New Roman" w:eastAsia="方正仿宋_GBK" w:cs="Times New Roman"/>
          <w:sz w:val="32"/>
          <w:szCs w:val="32"/>
          <w:shd w:val="clear" w:color="auto" w:fill="FFFFFF"/>
        </w:rPr>
        <w:t>辆，离退休干部用车</w:t>
      </w:r>
      <w:r>
        <w:rPr>
          <w:rFonts w:hint="default" w:ascii="Times New Roman" w:hAnsi="Times New Roman" w:eastAsia="方正仿宋_GBK" w:cs="Times New Roman"/>
          <w:sz w:val="32"/>
          <w:szCs w:val="32"/>
        </w:rPr>
        <w:t>0</w:t>
      </w:r>
      <w:r>
        <w:rPr>
          <w:rFonts w:hint="default" w:ascii="Times New Roman" w:hAnsi="Times New Roman" w:eastAsia="方正仿宋_GBK" w:cs="Times New Roman"/>
          <w:sz w:val="32"/>
          <w:szCs w:val="32"/>
          <w:shd w:val="clear" w:color="auto" w:fill="FFFFFF"/>
        </w:rPr>
        <w:t>辆。单价100万元（含）以上设备</w:t>
      </w:r>
      <w:r>
        <w:rPr>
          <w:rFonts w:ascii="Times New Roman" w:hAnsi="Times New Roman" w:eastAsia="方正仿宋_GBK"/>
          <w:sz w:val="32"/>
          <w:szCs w:val="32"/>
          <w:highlight w:val="none"/>
          <w:shd w:val="clear" w:color="auto" w:fill="FFFFFF"/>
        </w:rPr>
        <w:t>“（不含车辆）”</w:t>
      </w:r>
      <w:r>
        <w:rPr>
          <w:rFonts w:hint="default" w:ascii="Times New Roman" w:hAnsi="Times New Roman" w:eastAsia="方正仿宋_GBK" w:cs="Times New Roman"/>
          <w:sz w:val="32"/>
          <w:szCs w:val="32"/>
        </w:rPr>
        <w:t>2</w:t>
      </w:r>
      <w:r>
        <w:rPr>
          <w:rFonts w:hint="default" w:ascii="Times New Roman" w:hAnsi="Times New Roman" w:eastAsia="方正仿宋_GBK" w:cs="Times New Roman"/>
          <w:sz w:val="32"/>
          <w:szCs w:val="32"/>
          <w:shd w:val="clear" w:color="auto" w:fill="FFFFFF"/>
        </w:rPr>
        <w:t>台（套）。</w:t>
      </w:r>
    </w:p>
    <w:p w14:paraId="53995865">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3"/>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（四）政府采购支出情况说明</w:t>
      </w:r>
    </w:p>
    <w:p w14:paraId="3169A78A">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2023年度本单位政府采购支出总额</w:t>
      </w:r>
      <w:r>
        <w:rPr>
          <w:rFonts w:hint="default" w:ascii="Times New Roman" w:hAnsi="Times New Roman" w:eastAsia="方正仿宋_GBK" w:cs="Times New Roman"/>
          <w:sz w:val="32"/>
          <w:szCs w:val="32"/>
        </w:rPr>
        <w:t>248.80</w:t>
      </w:r>
      <w:r>
        <w:rPr>
          <w:rFonts w:hint="default" w:ascii="Times New Roman" w:hAnsi="Times New Roman" w:eastAsia="方正仿宋_GBK" w:cs="Times New Roman"/>
          <w:sz w:val="32"/>
          <w:szCs w:val="32"/>
          <w:shd w:val="clear" w:color="auto" w:fill="FFFFFF"/>
        </w:rPr>
        <w:t>万元，其中：政府采购货物支出</w:t>
      </w:r>
      <w:r>
        <w:rPr>
          <w:rFonts w:hint="default" w:ascii="Times New Roman" w:hAnsi="Times New Roman" w:eastAsia="方正仿宋_GBK" w:cs="Times New Roman"/>
          <w:sz w:val="32"/>
          <w:szCs w:val="32"/>
        </w:rPr>
        <w:t>248.80</w:t>
      </w:r>
      <w:r>
        <w:rPr>
          <w:rFonts w:hint="default" w:ascii="Times New Roman" w:hAnsi="Times New Roman" w:eastAsia="方正仿宋_GBK" w:cs="Times New Roman"/>
          <w:sz w:val="32"/>
          <w:szCs w:val="32"/>
          <w:shd w:val="clear" w:color="auto" w:fill="FFFFFF"/>
        </w:rPr>
        <w:t>万元、政府采购工程支出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万元、政府采购服务支出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万元。授予中小企业合同金额</w:t>
      </w:r>
      <w:r>
        <w:rPr>
          <w:rFonts w:hint="default" w:ascii="Times New Roman" w:hAnsi="Times New Roman" w:eastAsia="方正仿宋_GBK" w:cs="Times New Roman"/>
          <w:sz w:val="32"/>
          <w:szCs w:val="32"/>
        </w:rPr>
        <w:t>248.80万</w:t>
      </w:r>
      <w:r>
        <w:rPr>
          <w:rFonts w:hint="default" w:ascii="Times New Roman" w:hAnsi="Times New Roman" w:eastAsia="方正仿宋_GBK" w:cs="Times New Roman"/>
          <w:sz w:val="32"/>
          <w:szCs w:val="32"/>
          <w:shd w:val="clear" w:color="auto" w:fill="FFFFFF"/>
        </w:rPr>
        <w:t>元，占政府采购支出总额的</w:t>
      </w:r>
      <w:r>
        <w:rPr>
          <w:rFonts w:hint="default" w:ascii="Times New Roman" w:hAnsi="Times New Roman" w:eastAsia="方正仿宋_GBK" w:cs="Times New Roman"/>
          <w:sz w:val="32"/>
          <w:szCs w:val="32"/>
        </w:rPr>
        <w:t>100.00</w:t>
      </w:r>
      <w:r>
        <w:rPr>
          <w:rFonts w:hint="default" w:ascii="Times New Roman" w:hAnsi="Times New Roman" w:eastAsia="方正仿宋_GBK" w:cs="Times New Roman"/>
          <w:sz w:val="32"/>
          <w:szCs w:val="32"/>
          <w:shd w:val="clear" w:color="auto" w:fill="FFFFFF"/>
        </w:rPr>
        <w:t>%，其中：授予小微企业合同金额</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万元，占政府采购支出总额的</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 xml:space="preserve"> %。主要用于采购</w:t>
      </w:r>
      <w:r>
        <w:rPr>
          <w:rFonts w:hint="default" w:ascii="Times New Roman" w:hAnsi="Times New Roman" w:eastAsia="方正仿宋_GBK" w:cs="Times New Roman"/>
          <w:sz w:val="32"/>
          <w:szCs w:val="32"/>
          <w:shd w:val="clear" w:color="auto" w:fill="FFFFFF"/>
          <w:lang w:val="en-US" w:eastAsia="zh-CN"/>
        </w:rPr>
        <w:t>公路动态监控监测执法系统。</w:t>
      </w:r>
    </w:p>
    <w:p w14:paraId="6DBE8AD2">
      <w:pPr>
        <w:pStyle w:val="7"/>
        <w:keepNext w:val="0"/>
        <w:keepLines w:val="0"/>
        <w:pageBreakBefore w:val="0"/>
        <w:numPr>
          <w:ilvl w:val="0"/>
          <w:numId w:val="0"/>
        </w:numPr>
        <w:shd w:val="clear" w:color="auto" w:fill="FFFFFF"/>
        <w:kinsoku/>
        <w:overflowPunct/>
        <w:topLinePunct w:val="0"/>
        <w:autoSpaceDN/>
        <w:bidi w:val="0"/>
        <w:adjustRightInd/>
        <w:spacing w:beforeAutospacing="0" w:after="0" w:afterAutospacing="0" w:line="600" w:lineRule="exact"/>
        <w:ind w:left="0" w:leftChars="0" w:right="0" w:rightChars="0" w:firstLine="640" w:firstLineChars="200"/>
        <w:rPr>
          <w:rStyle w:val="11"/>
          <w:rFonts w:hint="default" w:ascii="Times New Roman" w:hAnsi="Times New Roman" w:eastAsia="方正黑体_GBK" w:cs="Times New Roman"/>
          <w:b w:val="0"/>
          <w:bCs/>
          <w:sz w:val="32"/>
          <w:szCs w:val="32"/>
          <w:shd w:val="clear" w:color="auto" w:fill="FFFFFF"/>
        </w:rPr>
      </w:pPr>
      <w:r>
        <w:rPr>
          <w:rFonts w:hint="eastAsia" w:ascii="Times New Roman" w:hAnsi="Times New Roman" w:eastAsia="方正黑体_GBK" w:cs="Times New Roman"/>
          <w:b w:val="0"/>
          <w:bCs/>
          <w:sz w:val="32"/>
          <w:szCs w:val="32"/>
          <w:shd w:val="clear" w:fill="FFFFFF"/>
          <w:lang w:val="en-US" w:eastAsia="zh-CN" w:bidi="ar-SA"/>
        </w:rPr>
        <w:t>五、</w:t>
      </w:r>
      <w:r>
        <w:rPr>
          <w:rStyle w:val="11"/>
          <w:rFonts w:hint="default" w:ascii="Times New Roman" w:hAnsi="Times New Roman" w:eastAsia="方正黑体_GBK" w:cs="Times New Roman"/>
          <w:b w:val="0"/>
          <w:bCs/>
          <w:sz w:val="32"/>
          <w:szCs w:val="32"/>
          <w:shd w:val="clear" w:color="auto" w:fill="FFFFFF"/>
        </w:rPr>
        <w:t>预算绩效管理情况说明</w:t>
      </w:r>
    </w:p>
    <w:p w14:paraId="067DEB48">
      <w:pPr>
        <w:pStyle w:val="13"/>
        <w:keepNext w:val="0"/>
        <w:keepLines w:val="0"/>
        <w:pageBreakBefore w:val="0"/>
        <w:kinsoku/>
        <w:overflowPunct/>
        <w:topLinePunct w:val="0"/>
        <w:autoSpaceDE w:val="0"/>
        <w:autoSpaceDN/>
        <w:bidi w:val="0"/>
        <w:adjustRightInd/>
        <w:spacing w:before="0" w:beforeAutospacing="0" w:after="0" w:afterAutospacing="0" w:line="600" w:lineRule="exact"/>
        <w:ind w:right="0" w:firstLine="640" w:firstLineChars="200"/>
        <w:jc w:val="both"/>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（一）单位自评情况</w:t>
      </w:r>
    </w:p>
    <w:p w14:paraId="73010933">
      <w:pPr>
        <w:keepNext w:val="0"/>
        <w:keepLines w:val="0"/>
        <w:pageBreakBefore w:val="0"/>
        <w:shd w:val="clear" w:color="auto" w:fill="auto"/>
        <w:kinsoku/>
        <w:wordWrap/>
        <w:overflowPunct/>
        <w:topLinePunct w:val="0"/>
        <w:autoSpaceDE/>
        <w:autoSpaceDN/>
        <w:bidi w:val="0"/>
        <w:adjustRightInd/>
        <w:snapToGrid/>
        <w:spacing w:beforeAutospacing="0" w:afterAutospacing="0" w:line="600" w:lineRule="exact"/>
        <w:ind w:left="0" w:leftChars="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根据预算绩效管理要求，我单位对</w:t>
      </w:r>
      <w:r>
        <w:rPr>
          <w:rFonts w:hint="default" w:ascii="Times New Roman" w:hAnsi="Times New Roman" w:eastAsia="方正仿宋_GBK" w:cs="Times New Roman"/>
          <w:sz w:val="32"/>
          <w:szCs w:val="32"/>
          <w:shd w:val="clear" w:color="auto" w:fill="FFFFFF"/>
          <w:lang w:val="en-US" w:eastAsia="zh-CN"/>
        </w:rPr>
        <w:t>7</w:t>
      </w:r>
      <w:r>
        <w:rPr>
          <w:rFonts w:hint="default" w:ascii="Times New Roman" w:hAnsi="Times New Roman" w:eastAsia="方正仿宋_GBK" w:cs="Times New Roman"/>
          <w:sz w:val="32"/>
          <w:szCs w:val="32"/>
          <w:shd w:val="clear" w:color="auto" w:fill="FFFFFF"/>
        </w:rPr>
        <w:t>个二级项目开展了绩效自评，涉及财政拨款项目支出资金</w:t>
      </w:r>
      <w:r>
        <w:rPr>
          <w:rFonts w:hint="default" w:ascii="Times New Roman" w:hAnsi="Times New Roman" w:eastAsia="方正仿宋_GBK" w:cs="Times New Roman"/>
          <w:sz w:val="32"/>
          <w:szCs w:val="32"/>
          <w:shd w:val="clear" w:color="auto" w:fill="FFFFFF"/>
          <w:lang w:val="en-US" w:eastAsia="zh-CN"/>
        </w:rPr>
        <w:t>847.12</w:t>
      </w:r>
      <w:r>
        <w:rPr>
          <w:rFonts w:hint="default" w:ascii="Times New Roman" w:hAnsi="Times New Roman" w:eastAsia="方正仿宋_GBK" w:cs="Times New Roman"/>
          <w:sz w:val="32"/>
          <w:szCs w:val="32"/>
          <w:shd w:val="clear" w:color="auto" w:fill="FFFFFF"/>
        </w:rPr>
        <w:t>万元</w:t>
      </w:r>
      <w:r>
        <w:rPr>
          <w:rFonts w:hint="default" w:ascii="Times New Roman" w:hAnsi="Times New Roman" w:eastAsia="方正仿宋_GBK" w:cs="Times New Roman"/>
          <w:sz w:val="32"/>
          <w:szCs w:val="32"/>
          <w:shd w:val="clear" w:color="auto" w:fill="FFFFFF"/>
          <w:lang w:eastAsia="zh-CN"/>
        </w:rPr>
        <w:t>。</w:t>
      </w:r>
    </w:p>
    <w:p w14:paraId="17DEAAD4">
      <w:pPr>
        <w:keepNext w:val="0"/>
        <w:keepLines w:val="0"/>
        <w:pageBreakBefore w:val="0"/>
        <w:numPr>
          <w:ilvl w:val="0"/>
          <w:numId w:val="0"/>
        </w:numPr>
        <w:shd w:val="clear" w:color="auto" w:fill="auto"/>
        <w:kinsoku/>
        <w:wordWrap/>
        <w:overflowPunct/>
        <w:topLinePunct w:val="0"/>
        <w:autoSpaceDE/>
        <w:autoSpaceDN/>
        <w:bidi w:val="0"/>
        <w:adjustRightInd/>
        <w:snapToGrid/>
        <w:spacing w:beforeAutospacing="0" w:afterAutospacing="0" w:line="600" w:lineRule="exact"/>
        <w:ind w:left="0" w:leftChars="0" w:right="0" w:firstLine="320" w:firstLineChars="100"/>
        <w:jc w:val="both"/>
        <w:textAlignment w:val="auto"/>
        <w:rPr>
          <w:rFonts w:hint="default" w:ascii="Times New Roman" w:hAnsi="Times New Roman" w:eastAsia="方正仿宋_GBK" w:cs="Times New Roman"/>
          <w:sz w:val="32"/>
          <w:szCs w:val="32"/>
        </w:rPr>
      </w:pPr>
      <w:r>
        <w:rPr>
          <w:rFonts w:hint="eastAsia" w:ascii="Times New Roman" w:hAnsi="Times New Roman" w:eastAsia="方正仿宋_GBK"/>
          <w:sz w:val="32"/>
          <w:szCs w:val="32"/>
          <w:highlight w:val="none"/>
          <w:shd w:val="clear" w:color="auto" w:fill="FFFFFF"/>
          <w:lang w:eastAsia="zh-CN"/>
        </w:rPr>
        <w:t>“</w:t>
      </w:r>
      <w:r>
        <w:rPr>
          <w:rFonts w:ascii="Times New Roman" w:hAnsi="Times New Roman" w:eastAsia="方正仿宋_GBK"/>
          <w:sz w:val="32"/>
          <w:szCs w:val="32"/>
          <w:highlight w:val="none"/>
          <w:shd w:val="clear" w:color="auto" w:fill="FFFFFF"/>
        </w:rPr>
        <w:t>2023年度项目支出绩效评价自评情况表见附件</w:t>
      </w:r>
      <w:r>
        <w:rPr>
          <w:rFonts w:hint="eastAsia" w:ascii="Times New Roman" w:hAnsi="Times New Roman" w:eastAsia="方正仿宋_GBK"/>
          <w:sz w:val="32"/>
          <w:szCs w:val="32"/>
          <w:highlight w:val="none"/>
          <w:shd w:val="clear" w:color="auto" w:fill="FFFFFF"/>
          <w:lang w:eastAsia="zh-CN"/>
        </w:rPr>
        <w:t>”</w:t>
      </w:r>
    </w:p>
    <w:p w14:paraId="4803EB78">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3"/>
        <w:jc w:val="both"/>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（二）单位绩效评价情况</w:t>
      </w:r>
    </w:p>
    <w:p w14:paraId="1A236161">
      <w:pPr>
        <w:pStyle w:val="15"/>
        <w:keepNext w:val="0"/>
        <w:keepLines w:val="0"/>
        <w:pageBreakBefore w:val="0"/>
        <w:kinsoku/>
        <w:overflowPunct/>
        <w:topLinePunct w:val="0"/>
        <w:autoSpaceDE w:val="0"/>
        <w:autoSpaceDN/>
        <w:bidi w:val="0"/>
        <w:adjustRightInd/>
        <w:spacing w:beforeAutospacing="0" w:afterAutospacing="0" w:line="600" w:lineRule="exact"/>
        <w:ind w:left="0" w:leftChars="0" w:right="0" w:firstLine="640" w:firstLineChars="200"/>
        <w:rPr>
          <w:rFonts w:hint="default" w:ascii="方正仿宋_GBK" w:hAnsi="方正仿宋_GBK" w:eastAsia="方正仿宋_GBK" w:cs="方正仿宋_GBK"/>
          <w:sz w:val="32"/>
          <w:szCs w:val="32"/>
          <w:shd w:val="clear" w:color="auto" w:fill="FFFFFF"/>
          <w:lang w:val="en-US" w:eastAsia="zh-CN"/>
        </w:rPr>
      </w:pPr>
      <w:r>
        <w:rPr>
          <w:rFonts w:hint="eastAsia" w:ascii="方正仿宋_GBK" w:hAnsi="方正仿宋_GBK" w:eastAsia="方正仿宋_GBK" w:cs="方正仿宋_GBK"/>
          <w:sz w:val="32"/>
          <w:szCs w:val="32"/>
          <w:shd w:val="clear" w:color="auto" w:fill="FFFFFF"/>
          <w:lang w:val="en-US" w:eastAsia="zh-CN"/>
        </w:rPr>
        <w:t>我单位未组织开展绩效评价。</w:t>
      </w:r>
    </w:p>
    <w:p w14:paraId="775E141C">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3"/>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（三）财政绩效评价情况</w:t>
      </w:r>
    </w:p>
    <w:p w14:paraId="480A20DD">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640" w:firstLineChars="200"/>
        <w:rPr>
          <w:rFonts w:hint="eastAsia" w:ascii="方正仿宋_GBK" w:hAnsi="方正仿宋_GBK" w:eastAsia="楷体" w:cs="方正仿宋_GBK"/>
          <w:sz w:val="32"/>
          <w:szCs w:val="32"/>
          <w:highlight w:val="none"/>
          <w:shd w:val="clear" w:color="auto" w:fill="FFFFFF"/>
          <w:lang w:val="en-US" w:eastAsia="zh-CN"/>
        </w:rPr>
      </w:pPr>
      <w:r>
        <w:rPr>
          <w:rFonts w:hint="eastAsia" w:ascii="方正仿宋_GBK" w:hAnsi="方正仿宋_GBK" w:eastAsia="方正仿宋_GBK" w:cs="方正仿宋_GBK"/>
          <w:sz w:val="32"/>
          <w:szCs w:val="32"/>
          <w:highlight w:val="none"/>
          <w:shd w:val="clear" w:color="auto" w:fill="FFFFFF"/>
          <w:lang w:val="en-US" w:eastAsia="zh-CN" w:bidi="ar-SA"/>
        </w:rPr>
        <w:t>县</w:t>
      </w:r>
      <w:r>
        <w:rPr>
          <w:rFonts w:hint="eastAsia" w:ascii="方正仿宋_GBK" w:hAnsi="方正仿宋_GBK" w:eastAsia="方正仿宋_GBK" w:cs="方正仿宋_GBK"/>
          <w:sz w:val="32"/>
          <w:szCs w:val="32"/>
          <w:shd w:val="clear" w:color="auto" w:fill="FFFFFF"/>
          <w:lang w:val="en-US" w:eastAsia="zh-CN" w:bidi="ar-SA"/>
        </w:rPr>
        <w:t>财政局未委托第三方对我单位开展绩效评价。</w:t>
      </w:r>
    </w:p>
    <w:p w14:paraId="41F23C71">
      <w:pPr>
        <w:pStyle w:val="7"/>
        <w:keepNext w:val="0"/>
        <w:keepLines w:val="0"/>
        <w:pageBreakBefore w:val="0"/>
        <w:shd w:val="clear" w:color="auto" w:fill="FFFFFF"/>
        <w:kinsoku/>
        <w:overflowPunct/>
        <w:topLinePunct w:val="0"/>
        <w:autoSpaceDN/>
        <w:bidi w:val="0"/>
        <w:adjustRightInd/>
        <w:spacing w:beforeAutospacing="0" w:after="0" w:afterAutospacing="0" w:line="600" w:lineRule="exact"/>
        <w:ind w:left="0" w:leftChars="0" w:right="0" w:firstLine="640" w:firstLineChars="200"/>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六、专业名词解释</w:t>
      </w:r>
    </w:p>
    <w:p w14:paraId="7F0840A2">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方正仿宋_GBK" w:hAnsi="方正仿宋_GBK" w:eastAsia="方正仿宋_GBK" w:cs="方正仿宋_GBK"/>
          <w:sz w:val="32"/>
          <w:szCs w:val="32"/>
          <w:shd w:val="clear" w:color="auto" w:fill="FFFFFF"/>
        </w:rPr>
        <w:t>指本年度从本级财政部门取得的财政拨款，包括一般公共预算财政拨款和政府性基金预算财政拨款。</w:t>
      </w:r>
    </w:p>
    <w:p w14:paraId="7BEF31F0">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（二）事业收入</w:t>
      </w:r>
      <w:r>
        <w:rPr>
          <w:rFonts w:hint="eastAsia" w:ascii="方正楷体_GBK" w:hAnsi="方正楷体_GBK" w:eastAsia="方正楷体_GBK" w:cs="方正楷体_GBK"/>
          <w:sz w:val="32"/>
          <w:szCs w:val="32"/>
          <w:shd w:val="clear" w:color="auto" w:fill="FFFFFF"/>
        </w:rPr>
        <w:t>：</w:t>
      </w:r>
      <w:r>
        <w:rPr>
          <w:rFonts w:ascii="方正仿宋_GBK" w:hAnsi="方正仿宋_GBK" w:eastAsia="方正仿宋_GBK" w:cs="方正仿宋_GBK"/>
          <w:sz w:val="32"/>
          <w:szCs w:val="32"/>
          <w:shd w:val="clear" w:color="auto" w:fill="FFFFFF"/>
        </w:rPr>
        <w:t>指事业单位开展专业业务活动及其辅助活动取得的现金流入；事业单位收到的财政专户实际核拨的教育收费等资金在此反映。</w:t>
      </w:r>
    </w:p>
    <w:p w14:paraId="7349D280">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（三）经营收入</w:t>
      </w:r>
      <w:r>
        <w:rPr>
          <w:rFonts w:hint="eastAsia" w:ascii="方正楷体_GBK" w:hAnsi="方正楷体_GBK" w:eastAsia="方正楷体_GBK" w:cs="方正楷体_GBK"/>
          <w:sz w:val="32"/>
          <w:szCs w:val="32"/>
          <w:shd w:val="clear" w:color="auto" w:fill="FFFFFF"/>
        </w:rPr>
        <w:t>：</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指事业单位在专业业务活动及其辅助活动之外开展非独立核算经营活动取得的现金流入。</w:t>
      </w:r>
    </w:p>
    <w:p w14:paraId="55FA05AE">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（四）其他收入</w:t>
      </w:r>
      <w:r>
        <w:rPr>
          <w:rFonts w:hint="eastAsia" w:ascii="方正楷体_GBK" w:hAnsi="方正楷体_GBK" w:eastAsia="方正楷体_GBK" w:cs="方正楷体_GBK"/>
          <w:sz w:val="32"/>
          <w:szCs w:val="32"/>
          <w:shd w:val="clear" w:color="auto" w:fill="FFFFFF"/>
        </w:rPr>
        <w:t>：</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14:paraId="6DE5AD5D">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（五）使用非财政拨款结余</w:t>
      </w:r>
      <w:r>
        <w:rPr>
          <w:rFonts w:hint="eastAsia" w:ascii="方正楷体_GBK" w:hAnsi="方正楷体_GBK" w:eastAsia="方正楷体_GBK" w:cs="方正楷体_GBK"/>
          <w:sz w:val="32"/>
          <w:szCs w:val="32"/>
          <w:shd w:val="clear" w:color="auto" w:fill="FFFFFF"/>
        </w:rPr>
        <w:t>：</w:t>
      </w:r>
      <w:r>
        <w:rPr>
          <w:rFonts w:ascii="方正仿宋_GBK" w:hAnsi="方正仿宋_GBK" w:eastAsia="方正仿宋_GBK" w:cs="方正仿宋_GBK"/>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14:paraId="7831EDAC">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（六）年初结转和结余</w:t>
      </w:r>
      <w:r>
        <w:rPr>
          <w:rFonts w:hint="eastAsia" w:ascii="方正楷体_GBK" w:hAnsi="方正楷体_GBK" w:eastAsia="方正楷体_GBK" w:cs="方正楷体_GBK"/>
          <w:sz w:val="32"/>
          <w:szCs w:val="32"/>
          <w:shd w:val="clear" w:color="auto" w:fill="FFFFFF"/>
        </w:rPr>
        <w:t>：</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14:paraId="3A804FEE">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（七）结余分配</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14:paraId="320DDBAC">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（八）年末结转和结余</w:t>
      </w:r>
      <w:r>
        <w:rPr>
          <w:rFonts w:hint="eastAsia" w:ascii="方正楷体_GBK" w:hAnsi="方正楷体_GBK" w:eastAsia="方正楷体_GBK" w:cs="方正楷体_GBK"/>
          <w:sz w:val="32"/>
          <w:szCs w:val="32"/>
          <w:shd w:val="clear" w:color="auto" w:fill="FFFFFF"/>
        </w:rPr>
        <w:t>：</w:t>
      </w:r>
      <w:r>
        <w:rPr>
          <w:rFonts w:ascii="方正仿宋_GBK" w:hAnsi="方正仿宋_GBK" w:eastAsia="方正仿宋_GBK" w:cs="方正仿宋_GBK"/>
          <w:sz w:val="32"/>
          <w:szCs w:val="32"/>
          <w:shd w:val="clear" w:color="auto" w:fill="FFFFFF"/>
        </w:rPr>
        <w:t>指单位结转下年的基本支出结转、项目支出结转和结余、经营结余。</w:t>
      </w:r>
    </w:p>
    <w:p w14:paraId="4D66A9F6">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（九）基本支出</w:t>
      </w:r>
      <w:r>
        <w:rPr>
          <w:rFonts w:hint="eastAsia" w:ascii="方正楷体_GBK" w:hAnsi="方正楷体_GBK" w:eastAsia="方正楷体_GBK" w:cs="方正楷体_GBK"/>
          <w:sz w:val="32"/>
          <w:szCs w:val="32"/>
          <w:shd w:val="clear" w:color="auto" w:fill="FFFFFF"/>
        </w:rPr>
        <w:t>：</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60BF6FF5">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（十）项目支出</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14:paraId="73B5B755">
      <w:pPr>
        <w:pStyle w:val="7"/>
        <w:keepNext w:val="0"/>
        <w:keepLines w:val="0"/>
        <w:pageBreakBefore w:val="0"/>
        <w:kinsoku/>
        <w:overflowPunct/>
        <w:topLinePunct w:val="0"/>
        <w:autoSpaceDN/>
        <w:bidi w:val="0"/>
        <w:adjustRightInd/>
        <w:snapToGrid w:val="0"/>
        <w:spacing w:before="0" w:beforeAutospacing="0" w:after="0" w:afterAutospacing="0" w:line="600" w:lineRule="exact"/>
        <w:ind w:right="0" w:firstLine="640" w:firstLineChars="200"/>
        <w:jc w:val="both"/>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（十一）经营支出</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14:paraId="6705DE77">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600" w:lineRule="exact"/>
        <w:ind w:right="0"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（十二）“三公”经费</w:t>
      </w:r>
      <w:r>
        <w:rPr>
          <w:rFonts w:hint="eastAsia" w:ascii="方正楷体_GBK" w:hAnsi="方正楷体_GBK" w:eastAsia="方正楷体_GBK" w:cs="方正楷体_GBK"/>
          <w:sz w:val="32"/>
          <w:szCs w:val="32"/>
          <w:shd w:val="clear" w:color="auto" w:fill="FFFFFF"/>
        </w:rPr>
        <w:t>：</w:t>
      </w:r>
      <w:r>
        <w:rPr>
          <w:rFonts w:ascii="方正仿宋_GBK" w:hAnsi="方正仿宋_GBK" w:eastAsia="方正仿宋_GBK" w:cs="方正仿宋_GBK"/>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14:paraId="0BD9C9D0">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600" w:lineRule="exact"/>
        <w:ind w:right="0"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（十三）机关运行经费</w:t>
      </w:r>
      <w:r>
        <w:rPr>
          <w:rFonts w:hint="eastAsia" w:ascii="方正楷体_GBK" w:hAnsi="方正楷体_GBK" w:eastAsia="方正楷体_GBK" w:cs="方正楷体_GBK"/>
          <w:sz w:val="32"/>
          <w:szCs w:val="32"/>
          <w:shd w:val="clear" w:color="auto" w:fill="FFFFFF"/>
        </w:rPr>
        <w:t>：</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14:paraId="2A2B167B">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600" w:lineRule="exact"/>
        <w:ind w:right="0"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（十四）工资福利支出（支出经济分类科目类级）</w:t>
      </w:r>
      <w:r>
        <w:rPr>
          <w:rFonts w:hint="eastAsia" w:ascii="方正楷体_GBK" w:hAnsi="方正楷体_GBK" w:eastAsia="方正楷体_GBK" w:cs="方正楷体_GBK"/>
          <w:sz w:val="32"/>
          <w:szCs w:val="32"/>
          <w:shd w:val="clear" w:color="auto" w:fill="FFFFFF"/>
        </w:rPr>
        <w:t>：</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14:paraId="4BF3858F">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600" w:lineRule="exact"/>
        <w:ind w:right="0"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（十五）商品和服务支出（支出经济分类科目类级）</w:t>
      </w:r>
      <w:r>
        <w:rPr>
          <w:rFonts w:hint="eastAsia" w:ascii="方正楷体_GBK" w:hAnsi="方正楷体_GBK" w:eastAsia="方正楷体_GBK" w:cs="方正楷体_GBK"/>
          <w:sz w:val="32"/>
          <w:szCs w:val="32"/>
          <w:shd w:val="clear" w:color="auto" w:fill="FFFFFF"/>
        </w:rPr>
        <w:t>：</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14:paraId="60F4BCA8">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600" w:lineRule="exact"/>
        <w:ind w:right="0"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（十六）对个人和家庭的补助（支出经济分类科目类级）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反映用于对个人和家庭的补助支出。</w:t>
      </w:r>
    </w:p>
    <w:p w14:paraId="04410EAF">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600" w:lineRule="exact"/>
        <w:ind w:right="0"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（十七）其他资本性支出（支出经济分类科目类级）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14:paraId="364D5EDB">
      <w:pPr>
        <w:pStyle w:val="7"/>
        <w:keepNext w:val="0"/>
        <w:keepLines w:val="0"/>
        <w:pageBreakBefore w:val="0"/>
        <w:widowControl/>
        <w:shd w:val="clear" w:color="auto" w:fill="FFFFFF"/>
        <w:kinsoku/>
        <w:wordWrap/>
        <w:overflowPunct/>
        <w:topLinePunct w:val="0"/>
        <w:autoSpaceDE/>
        <w:autoSpaceDN/>
        <w:bidi w:val="0"/>
        <w:adjustRightInd/>
        <w:spacing w:beforeAutospacing="0" w:after="0" w:afterAutospacing="0" w:line="600" w:lineRule="exact"/>
        <w:ind w:left="0" w:leftChars="0" w:right="0" w:firstLine="640" w:firstLineChars="200"/>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七、决算公开联系方式及信息反馈渠道</w:t>
      </w:r>
    </w:p>
    <w:p w14:paraId="49D94471">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600" w:lineRule="exact"/>
        <w:ind w:left="0" w:leftChars="0" w:right="0" w:firstLine="640" w:firstLineChars="200"/>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本单位决算公开信息反馈和联系方式：</w:t>
      </w:r>
    </w:p>
    <w:p w14:paraId="7ED5260A">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600" w:lineRule="exact"/>
        <w:ind w:left="0" w:leftChars="0" w:right="0" w:firstLine="640" w:firstLineChars="200"/>
        <w:jc w:val="both"/>
        <w:textAlignment w:val="auto"/>
        <w:rPr>
          <w:rFonts w:hint="default" w:ascii="Times New Roman" w:hAnsi="Times New Roman" w:eastAsia="方正仿宋_GBK" w:cs="Times New Roman"/>
          <w:sz w:val="32"/>
          <w:szCs w:val="32"/>
        </w:rPr>
      </w:pPr>
      <w:r>
        <w:rPr>
          <w:rFonts w:hint="eastAsia" w:ascii="方正仿宋_GBK" w:hAnsi="方正仿宋_GBK" w:eastAsia="方正仿宋_GBK" w:cs="方正仿宋_GBK"/>
          <w:sz w:val="32"/>
          <w:szCs w:val="32"/>
          <w:shd w:val="clear" w:color="auto" w:fill="FFFFFF"/>
          <w:lang w:val="en-US" w:eastAsia="zh-CN"/>
        </w:rPr>
        <w:t xml:space="preserve">蔡奉伶      </w:t>
      </w:r>
      <w:r>
        <w:rPr>
          <w:rFonts w:hint="default" w:ascii="Times New Roman" w:hAnsi="Times New Roman" w:eastAsia="方正仿宋_GBK" w:cs="Times New Roman"/>
          <w:sz w:val="32"/>
          <w:szCs w:val="32"/>
          <w:shd w:val="clear" w:color="auto" w:fill="FFFFFF"/>
          <w:lang w:val="en-US" w:eastAsia="zh-CN"/>
        </w:rPr>
        <w:t>023-70700732</w:t>
      </w:r>
    </w:p>
    <w:p w14:paraId="6D17BE4E">
      <w:pPr>
        <w:pStyle w:val="12"/>
        <w:keepNext w:val="0"/>
        <w:keepLines w:val="0"/>
        <w:pageBreakBefore w:val="0"/>
        <w:kinsoku/>
        <w:overflowPunct/>
        <w:topLinePunct w:val="0"/>
        <w:autoSpaceDE w:val="0"/>
        <w:autoSpaceDN/>
        <w:bidi w:val="0"/>
        <w:adjustRightInd/>
        <w:spacing w:beforeAutospacing="0" w:afterAutospacing="0" w:line="600" w:lineRule="exact"/>
        <w:ind w:left="0" w:leftChars="0" w:right="0" w:firstLine="0" w:firstLineChars="0"/>
        <w:rPr>
          <w:rStyle w:val="11"/>
          <w:rFonts w:ascii="方正仿宋_GBK" w:hAnsi="方正仿宋_GBK" w:eastAsia="方正仿宋_GBK" w:cs="方正仿宋_GBK"/>
          <w:sz w:val="32"/>
          <w:szCs w:val="32"/>
          <w:shd w:val="clear" w:color="auto" w:fill="FFFF00"/>
        </w:rPr>
        <w:sectPr>
          <w:footerReference r:id="rId3" w:type="default"/>
          <w:pgSz w:w="11915" w:h="16840"/>
          <w:pgMar w:top="2098" w:right="1474" w:bottom="1984" w:left="1587" w:header="851" w:footer="992" w:gutter="0"/>
          <w:paperSrc/>
          <w:pgNumType w:fmt="decimal"/>
          <w:cols w:space="0" w:num="1"/>
          <w:rtlGutter w:val="0"/>
          <w:docGrid w:type="lines" w:linePitch="327" w:charSpace="0"/>
        </w:sectPr>
      </w:pPr>
    </w:p>
    <w:tbl>
      <w:tblPr>
        <w:tblStyle w:val="8"/>
        <w:tblW w:w="4833" w:type="pct"/>
        <w:tblInd w:w="0" w:type="dxa"/>
        <w:tblLayout w:type="autofit"/>
        <w:tblCellMar>
          <w:top w:w="0" w:type="dxa"/>
          <w:left w:w="0" w:type="dxa"/>
          <w:bottom w:w="0" w:type="dxa"/>
          <w:right w:w="0" w:type="dxa"/>
        </w:tblCellMar>
      </w:tblPr>
      <w:tblGrid>
        <w:gridCol w:w="5116"/>
        <w:gridCol w:w="2022"/>
        <w:gridCol w:w="4807"/>
        <w:gridCol w:w="2919"/>
      </w:tblGrid>
      <w:tr w14:paraId="6408EE8B">
        <w:tblPrEx>
          <w:tblCellMar>
            <w:top w:w="0" w:type="dxa"/>
            <w:left w:w="0" w:type="dxa"/>
            <w:bottom w:w="0" w:type="dxa"/>
            <w:right w:w="0" w:type="dxa"/>
          </w:tblCellMar>
        </w:tblPrEx>
        <w:trPr>
          <w:trHeight w:val="232" w:hRule="atLeast"/>
        </w:trPr>
        <w:tc>
          <w:tcPr>
            <w:tcW w:w="5000" w:type="pct"/>
            <w:gridSpan w:val="4"/>
            <w:tcBorders>
              <w:top w:val="nil"/>
              <w:left w:val="nil"/>
              <w:bottom w:val="nil"/>
              <w:right w:val="nil"/>
            </w:tcBorders>
            <w:shd w:val="clear" w:color="auto" w:fill="auto"/>
            <w:noWrap/>
            <w:tcMar>
              <w:top w:w="15" w:type="dxa"/>
              <w:left w:w="15" w:type="dxa"/>
              <w:right w:w="15" w:type="dxa"/>
            </w:tcMar>
            <w:vAlign w:val="bottom"/>
          </w:tcPr>
          <w:p w14:paraId="41132BFA">
            <w:pPr>
              <w:keepNext w:val="0"/>
              <w:keepLines w:val="0"/>
              <w:pageBreakBefore w:val="0"/>
              <w:widowControl/>
              <w:kinsoku/>
              <w:wordWrap/>
              <w:overflowPunct/>
              <w:topLinePunct w:val="0"/>
              <w:autoSpaceDE/>
              <w:autoSpaceDN/>
              <w:bidi w:val="0"/>
              <w:adjustRightInd/>
              <w:snapToGrid/>
              <w:spacing w:line="380" w:lineRule="exact"/>
              <w:jc w:val="center"/>
              <w:textAlignment w:val="bottom"/>
              <w:rPr>
                <w:rFonts w:hint="default" w:cs="宋体"/>
                <w:b/>
                <w:color w:val="000000"/>
                <w:sz w:val="32"/>
                <w:szCs w:val="32"/>
              </w:rPr>
            </w:pPr>
            <w:r>
              <w:rPr>
                <w:rFonts w:cs="宋体"/>
                <w:b/>
                <w:color w:val="000000"/>
                <w:sz w:val="32"/>
                <w:szCs w:val="32"/>
              </w:rPr>
              <w:t>收入支出决算总表</w:t>
            </w:r>
          </w:p>
        </w:tc>
      </w:tr>
      <w:tr w14:paraId="1D8736B2">
        <w:tblPrEx>
          <w:tblCellMar>
            <w:top w:w="0" w:type="dxa"/>
            <w:left w:w="0" w:type="dxa"/>
            <w:bottom w:w="0" w:type="dxa"/>
            <w:right w:w="0" w:type="dxa"/>
          </w:tblCellMar>
        </w:tblPrEx>
        <w:trPr>
          <w:trHeight w:val="232" w:hRule="atLeast"/>
        </w:trPr>
        <w:tc>
          <w:tcPr>
            <w:tcW w:w="1721" w:type="pct"/>
            <w:tcBorders>
              <w:top w:val="nil"/>
              <w:left w:val="nil"/>
              <w:bottom w:val="nil"/>
              <w:right w:val="nil"/>
            </w:tcBorders>
            <w:shd w:val="clear" w:color="auto" w:fill="auto"/>
            <w:noWrap/>
            <w:tcMar>
              <w:top w:w="15" w:type="dxa"/>
              <w:left w:w="15" w:type="dxa"/>
              <w:right w:w="15" w:type="dxa"/>
            </w:tcMar>
            <w:vAlign w:val="bottom"/>
          </w:tcPr>
          <w:p w14:paraId="0D447E74">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Arial" w:hAnsi="Arial" w:cs="Arial"/>
                <w:color w:val="000000"/>
                <w:sz w:val="20"/>
                <w:szCs w:val="20"/>
              </w:rPr>
            </w:pPr>
          </w:p>
        </w:tc>
        <w:tc>
          <w:tcPr>
            <w:tcW w:w="679" w:type="pct"/>
            <w:tcBorders>
              <w:top w:val="nil"/>
              <w:left w:val="nil"/>
              <w:bottom w:val="nil"/>
              <w:right w:val="nil"/>
            </w:tcBorders>
            <w:shd w:val="clear" w:color="auto" w:fill="auto"/>
            <w:noWrap/>
            <w:tcMar>
              <w:top w:w="15" w:type="dxa"/>
              <w:left w:w="15" w:type="dxa"/>
              <w:right w:w="15" w:type="dxa"/>
            </w:tcMar>
            <w:vAlign w:val="bottom"/>
          </w:tcPr>
          <w:p w14:paraId="3E97130F">
            <w:pPr>
              <w:keepNext w:val="0"/>
              <w:keepLines w:val="0"/>
              <w:pageBreakBefore w:val="0"/>
              <w:widowControl/>
              <w:kinsoku/>
              <w:wordWrap/>
              <w:overflowPunct/>
              <w:topLinePunct w:val="0"/>
              <w:autoSpaceDE/>
              <w:autoSpaceDN/>
              <w:bidi w:val="0"/>
              <w:adjustRightInd/>
              <w:snapToGrid/>
              <w:spacing w:line="240" w:lineRule="exact"/>
              <w:jc w:val="right"/>
              <w:textAlignment w:val="auto"/>
              <w:rPr>
                <w:rFonts w:hint="default" w:ascii="Arial" w:hAnsi="Arial" w:cs="Arial"/>
                <w:color w:val="000000"/>
                <w:sz w:val="20"/>
                <w:szCs w:val="20"/>
              </w:rPr>
            </w:pPr>
          </w:p>
        </w:tc>
        <w:tc>
          <w:tcPr>
            <w:tcW w:w="1617" w:type="pct"/>
            <w:tcBorders>
              <w:top w:val="nil"/>
              <w:left w:val="nil"/>
              <w:bottom w:val="nil"/>
              <w:right w:val="nil"/>
            </w:tcBorders>
            <w:shd w:val="clear" w:color="auto" w:fill="auto"/>
            <w:noWrap/>
            <w:tcMar>
              <w:top w:w="15" w:type="dxa"/>
              <w:left w:w="15" w:type="dxa"/>
              <w:right w:w="15" w:type="dxa"/>
            </w:tcMar>
            <w:vAlign w:val="bottom"/>
          </w:tcPr>
          <w:p w14:paraId="710E53DD">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color w:val="000000"/>
                <w:sz w:val="20"/>
                <w:szCs w:val="20"/>
              </w:rPr>
            </w:pPr>
          </w:p>
        </w:tc>
        <w:tc>
          <w:tcPr>
            <w:tcW w:w="981" w:type="pct"/>
            <w:tcBorders>
              <w:top w:val="nil"/>
              <w:left w:val="nil"/>
              <w:bottom w:val="nil"/>
              <w:right w:val="nil"/>
            </w:tcBorders>
            <w:shd w:val="clear" w:color="auto" w:fill="auto"/>
            <w:noWrap/>
            <w:tcMar>
              <w:top w:w="15" w:type="dxa"/>
              <w:left w:w="15" w:type="dxa"/>
              <w:right w:w="15" w:type="dxa"/>
            </w:tcMar>
            <w:vAlign w:val="bottom"/>
          </w:tcPr>
          <w:p w14:paraId="426D6282">
            <w:pPr>
              <w:keepNext w:val="0"/>
              <w:keepLines w:val="0"/>
              <w:pageBreakBefore w:val="0"/>
              <w:widowControl/>
              <w:kinsoku/>
              <w:wordWrap/>
              <w:overflowPunct/>
              <w:topLinePunct w:val="0"/>
              <w:autoSpaceDE/>
              <w:autoSpaceDN/>
              <w:bidi w:val="0"/>
              <w:adjustRightInd/>
              <w:snapToGrid/>
              <w:spacing w:line="240" w:lineRule="exact"/>
              <w:jc w:val="right"/>
              <w:textAlignment w:val="bottom"/>
              <w:rPr>
                <w:rFonts w:hint="default" w:cs="宋体"/>
                <w:color w:val="000000"/>
                <w:sz w:val="20"/>
                <w:szCs w:val="20"/>
              </w:rPr>
            </w:pPr>
            <w:r>
              <w:rPr>
                <w:rFonts w:cs="宋体"/>
                <w:color w:val="000000"/>
                <w:sz w:val="20"/>
                <w:szCs w:val="20"/>
              </w:rPr>
              <w:t>公开01表</w:t>
            </w:r>
          </w:p>
        </w:tc>
      </w:tr>
      <w:tr w14:paraId="096428DA">
        <w:tblPrEx>
          <w:tblCellMar>
            <w:top w:w="0" w:type="dxa"/>
            <w:left w:w="0" w:type="dxa"/>
            <w:bottom w:w="0" w:type="dxa"/>
            <w:right w:w="0" w:type="dxa"/>
          </w:tblCellMar>
        </w:tblPrEx>
        <w:trPr>
          <w:trHeight w:val="232" w:hRule="atLeast"/>
        </w:trPr>
        <w:tc>
          <w:tcPr>
            <w:tcW w:w="2401" w:type="pct"/>
            <w:gridSpan w:val="2"/>
            <w:tcBorders>
              <w:top w:val="nil"/>
              <w:left w:val="nil"/>
              <w:bottom w:val="nil"/>
              <w:right w:val="nil"/>
            </w:tcBorders>
            <w:shd w:val="clear" w:color="auto" w:fill="auto"/>
            <w:noWrap/>
            <w:tcMar>
              <w:top w:w="15" w:type="dxa"/>
              <w:left w:w="15" w:type="dxa"/>
              <w:right w:w="15" w:type="dxa"/>
            </w:tcMar>
            <w:vAlign w:val="bottom"/>
          </w:tcPr>
          <w:p w14:paraId="1768CA64">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Arial" w:hAnsi="Arial" w:cs="Arial"/>
                <w:color w:val="000000"/>
                <w:sz w:val="22"/>
                <w:szCs w:val="22"/>
              </w:rPr>
            </w:pPr>
            <w:r>
              <w:rPr>
                <w:rFonts w:cs="宋体"/>
                <w:sz w:val="20"/>
                <w:szCs w:val="20"/>
              </w:rPr>
              <w:t>公开单位：</w:t>
            </w:r>
            <w:r>
              <w:rPr>
                <w:sz w:val="20"/>
                <w:u w:color="auto"/>
              </w:rPr>
              <w:t>丰都县交通运输综合行政执法支队</w:t>
            </w:r>
          </w:p>
        </w:tc>
        <w:tc>
          <w:tcPr>
            <w:tcW w:w="1617" w:type="pct"/>
            <w:tcBorders>
              <w:top w:val="nil"/>
              <w:left w:val="nil"/>
              <w:bottom w:val="nil"/>
              <w:right w:val="nil"/>
            </w:tcBorders>
            <w:shd w:val="clear" w:color="auto" w:fill="auto"/>
            <w:noWrap/>
            <w:tcMar>
              <w:top w:w="15" w:type="dxa"/>
              <w:left w:w="15" w:type="dxa"/>
              <w:right w:w="15" w:type="dxa"/>
            </w:tcMar>
            <w:vAlign w:val="bottom"/>
          </w:tcPr>
          <w:p w14:paraId="3A15D511">
            <w:pPr>
              <w:keepNext w:val="0"/>
              <w:keepLines w:val="0"/>
              <w:pageBreakBefore w:val="0"/>
              <w:widowControl/>
              <w:kinsoku/>
              <w:wordWrap/>
              <w:overflowPunct/>
              <w:topLinePunct w:val="0"/>
              <w:autoSpaceDE/>
              <w:autoSpaceDN/>
              <w:bidi w:val="0"/>
              <w:adjustRightInd/>
              <w:snapToGrid/>
              <w:spacing w:line="240" w:lineRule="exact"/>
              <w:rPr>
                <w:rFonts w:hint="default" w:ascii="Arial" w:hAnsi="Arial" w:cs="Arial"/>
                <w:color w:val="000000"/>
                <w:sz w:val="22"/>
                <w:szCs w:val="22"/>
              </w:rPr>
            </w:pPr>
          </w:p>
        </w:tc>
        <w:tc>
          <w:tcPr>
            <w:tcW w:w="981" w:type="pct"/>
            <w:tcBorders>
              <w:top w:val="nil"/>
              <w:left w:val="nil"/>
              <w:bottom w:val="nil"/>
              <w:right w:val="nil"/>
            </w:tcBorders>
            <w:shd w:val="clear" w:color="auto" w:fill="auto"/>
            <w:noWrap/>
            <w:tcMar>
              <w:top w:w="15" w:type="dxa"/>
              <w:left w:w="15" w:type="dxa"/>
              <w:right w:w="15" w:type="dxa"/>
            </w:tcMar>
            <w:vAlign w:val="bottom"/>
          </w:tcPr>
          <w:p w14:paraId="5F18A53C">
            <w:pPr>
              <w:keepNext w:val="0"/>
              <w:keepLines w:val="0"/>
              <w:pageBreakBefore w:val="0"/>
              <w:widowControl/>
              <w:kinsoku/>
              <w:wordWrap/>
              <w:overflowPunct/>
              <w:topLinePunct w:val="0"/>
              <w:autoSpaceDE/>
              <w:autoSpaceDN/>
              <w:bidi w:val="0"/>
              <w:adjustRightInd/>
              <w:snapToGrid/>
              <w:spacing w:line="24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034CD182">
        <w:tblPrEx>
          <w:tblCellMar>
            <w:top w:w="0" w:type="dxa"/>
            <w:left w:w="0" w:type="dxa"/>
            <w:bottom w:w="0" w:type="dxa"/>
            <w:right w:w="0" w:type="dxa"/>
          </w:tblCellMar>
        </w:tblPrEx>
        <w:trPr>
          <w:trHeight w:val="243" w:hRule="atLeast"/>
        </w:trPr>
        <w:tc>
          <w:tcPr>
            <w:tcW w:w="2401" w:type="pct"/>
            <w:gridSpan w:val="2"/>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423839D">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2598" w:type="pct"/>
            <w:gridSpan w:val="2"/>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14:paraId="5068561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支出</w:t>
            </w:r>
          </w:p>
        </w:tc>
      </w:tr>
      <w:tr w14:paraId="1B201009">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921E7A6">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679"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74085A6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6684EA8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981"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3AC354D7">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决算数</w:t>
            </w:r>
          </w:p>
        </w:tc>
      </w:tr>
      <w:tr w14:paraId="009706E9">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E12E8C6">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一、一般公共预算财政拨款收入</w:t>
            </w: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DA12D7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1,458.18</w:t>
            </w:r>
            <w:r>
              <w:rPr>
                <w:color w:val="000000"/>
                <w:sz w:val="20"/>
                <w:u w:color="auto"/>
              </w:rPr>
              <w:t xml:space="preserve"> </w:t>
            </w: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4A4FD891">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一、一般公共服务支出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765E8B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40A887F9">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39740D0">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二、政府性基金预算财政拨款收入</w:t>
            </w: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F69756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100.00</w:t>
            </w:r>
            <w:r>
              <w:rPr>
                <w:color w:val="000000"/>
                <w:sz w:val="20"/>
                <w:u w:color="auto"/>
              </w:rPr>
              <w:t xml:space="preserve"> </w:t>
            </w: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07FAA01F">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二、外交支出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A37147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5465C531">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7C15ADE">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三、国有资本经营预算财政拨款收入</w:t>
            </w: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7C5937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3B8D7FE0">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三、国防支出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9E0FD9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2CE30C88">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A8CDCA2">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四、上级补助收入</w:t>
            </w: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DB4EDF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2BF9E038">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四、公共安全支出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C1B74C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037C1749">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E5F63CE">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五、事业收入</w:t>
            </w: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31D120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3E3742C7">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五、教育支出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0F905CA">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39236A4B">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B1497A8">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六、经营收入</w:t>
            </w: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BC574A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24D6252C">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六、科学技术支出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F68170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0B5DC22E">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34EA99B">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七、附属单位上缴收入</w:t>
            </w: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6103F0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7E68EA20">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七、文化旅游体育与传媒支出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64555C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56BCAE2F">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0FA6C97">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八、其他收入</w:t>
            </w:r>
          </w:p>
        </w:tc>
        <w:tc>
          <w:tcPr>
            <w:tcW w:w="679" w:type="pct"/>
            <w:tcBorders>
              <w:top w:val="nil"/>
              <w:left w:val="nil"/>
              <w:bottom w:val="nil"/>
              <w:right w:val="single" w:color="000000" w:sz="4" w:space="0"/>
            </w:tcBorders>
            <w:shd w:val="clear" w:color="auto" w:fill="auto"/>
            <w:noWrap/>
            <w:tcMar>
              <w:top w:w="15" w:type="dxa"/>
              <w:left w:w="15" w:type="dxa"/>
              <w:right w:w="15" w:type="dxa"/>
            </w:tcMar>
            <w:vAlign w:val="center"/>
          </w:tcPr>
          <w:p w14:paraId="64E359E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17.23</w:t>
            </w:r>
            <w:r>
              <w:rPr>
                <w:color w:val="000000"/>
                <w:sz w:val="20"/>
                <w:u w:color="auto"/>
              </w:rPr>
              <w:t xml:space="preserve"> </w:t>
            </w: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4DAB3774">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八、社会保障和就业支出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627BF0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97.76</w:t>
            </w:r>
            <w:r>
              <w:rPr>
                <w:color w:val="000000"/>
                <w:sz w:val="20"/>
                <w:u w:color="auto"/>
              </w:rPr>
              <w:t xml:space="preserve"> </w:t>
            </w:r>
          </w:p>
        </w:tc>
      </w:tr>
      <w:tr w14:paraId="47B46608">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B869EE5">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DC6D69C">
            <w:pPr>
              <w:keepNext w:val="0"/>
              <w:keepLines w:val="0"/>
              <w:pageBreakBefore w:val="0"/>
              <w:widowControl/>
              <w:kinsoku/>
              <w:wordWrap/>
              <w:overflowPunct/>
              <w:topLinePunct w:val="0"/>
              <w:autoSpaceDE/>
              <w:autoSpaceDN/>
              <w:bidi w:val="0"/>
              <w:adjustRightInd/>
              <w:snapToGrid/>
              <w:spacing w:line="240" w:lineRule="exact"/>
              <w:jc w:val="right"/>
              <w:rPr>
                <w:rFonts w:hint="default" w:ascii="Arial" w:hAnsi="Arial" w:cs="Arial"/>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571302AC">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九、卫生健康支出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EB2ABC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44.14</w:t>
            </w:r>
            <w:r>
              <w:rPr>
                <w:color w:val="000000"/>
                <w:sz w:val="20"/>
                <w:u w:color="auto"/>
              </w:rPr>
              <w:t xml:space="preserve"> </w:t>
            </w:r>
          </w:p>
        </w:tc>
      </w:tr>
      <w:tr w14:paraId="3444B5CF">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C441FEA">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8A2656B">
            <w:pPr>
              <w:keepNext w:val="0"/>
              <w:keepLines w:val="0"/>
              <w:pageBreakBefore w:val="0"/>
              <w:widowControl/>
              <w:kinsoku/>
              <w:wordWrap/>
              <w:overflowPunct/>
              <w:topLinePunct w:val="0"/>
              <w:autoSpaceDE/>
              <w:autoSpaceDN/>
              <w:bidi w:val="0"/>
              <w:adjustRightInd/>
              <w:snapToGrid/>
              <w:spacing w:line="240" w:lineRule="exact"/>
              <w:jc w:val="right"/>
              <w:rPr>
                <w:rFonts w:hint="default" w:ascii="Arial" w:hAnsi="Arial" w:cs="Arial"/>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214DB992">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十、节能环保支出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6AE7EF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4C7E98B7">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2ACA637">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46B0AF1">
            <w:pPr>
              <w:keepNext w:val="0"/>
              <w:keepLines w:val="0"/>
              <w:pageBreakBefore w:val="0"/>
              <w:widowControl/>
              <w:kinsoku/>
              <w:wordWrap/>
              <w:overflowPunct/>
              <w:topLinePunct w:val="0"/>
              <w:autoSpaceDE/>
              <w:autoSpaceDN/>
              <w:bidi w:val="0"/>
              <w:adjustRightInd/>
              <w:snapToGrid/>
              <w:spacing w:line="240" w:lineRule="exact"/>
              <w:jc w:val="right"/>
              <w:rPr>
                <w:rFonts w:hint="default" w:ascii="Arial" w:hAnsi="Arial" w:cs="Arial"/>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6298B430">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十一、城乡社区支出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C2E533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100.00</w:t>
            </w:r>
            <w:r>
              <w:rPr>
                <w:color w:val="000000"/>
                <w:sz w:val="20"/>
                <w:u w:color="auto"/>
              </w:rPr>
              <w:t xml:space="preserve"> </w:t>
            </w:r>
          </w:p>
        </w:tc>
      </w:tr>
      <w:tr w14:paraId="6976B2B9">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0400C3F">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71EB35A">
            <w:pPr>
              <w:keepNext w:val="0"/>
              <w:keepLines w:val="0"/>
              <w:pageBreakBefore w:val="0"/>
              <w:widowControl/>
              <w:kinsoku/>
              <w:wordWrap/>
              <w:overflowPunct/>
              <w:topLinePunct w:val="0"/>
              <w:autoSpaceDE/>
              <w:autoSpaceDN/>
              <w:bidi w:val="0"/>
              <w:adjustRightInd/>
              <w:snapToGrid/>
              <w:spacing w:line="240" w:lineRule="exact"/>
              <w:jc w:val="right"/>
              <w:rPr>
                <w:rFonts w:hint="default" w:ascii="Arial" w:hAnsi="Arial" w:cs="Arial"/>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2A2659E6">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十二、农林水支出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3CD822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1064BE9C">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39F024D">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D9117A">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15E2EEED">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十三、交通运输支出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BB64418">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1,560.37</w:t>
            </w:r>
            <w:r>
              <w:rPr>
                <w:color w:val="000000"/>
                <w:sz w:val="20"/>
                <w:u w:color="auto"/>
              </w:rPr>
              <w:t xml:space="preserve"> </w:t>
            </w:r>
          </w:p>
        </w:tc>
      </w:tr>
      <w:tr w14:paraId="3179931A">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102DB33">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3B6A4DB">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4ECDE132">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十四、资源勘探工业信息等支出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591524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2E6ACB6A">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596E632">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14CE601">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24318FE2">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十五、商业服务业等支出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B3F0AE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2558EFD2">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35A648F">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95B5369">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5A975F0B">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十六、金融支出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8416446">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656C7DA4">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A921C2F">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BFBDA92">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2FEB669A">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十七、援助其他地区支出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D78C4E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77914920">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82323A0">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8916AC9">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1EAC5719">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十八、自然资源海洋气象等支出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CB2827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17521FEF">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E064965">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B0B3430">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1ADB8AA2">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十九、住房保障支出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221F11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33.11</w:t>
            </w:r>
            <w:r>
              <w:rPr>
                <w:color w:val="000000"/>
                <w:sz w:val="20"/>
                <w:u w:color="auto"/>
              </w:rPr>
              <w:t xml:space="preserve"> </w:t>
            </w:r>
          </w:p>
        </w:tc>
      </w:tr>
      <w:tr w14:paraId="5BCE1AEC">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DFA0199">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008477A">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5ECD8AF3">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二十、粮油物资储备支出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31800C4">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74932CD6">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D9BC7E8">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4F80B49">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34B2C589">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二十一、国有资本经营预算支出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538261E">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725CC2B2">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E9CEAA0">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485491A">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2B91EEF1">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二十二、灾害防治及应急管理支出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CF0C105">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501210D7">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6565FCB">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139F796">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7D4A9EEB">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二十三、其他支出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5B44572">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3B8E5448">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53A143C">
            <w:pPr>
              <w:keepNext w:val="0"/>
              <w:keepLines w:val="0"/>
              <w:pageBreakBefore w:val="0"/>
              <w:widowControl/>
              <w:kinsoku/>
              <w:wordWrap/>
              <w:overflowPunct/>
              <w:topLinePunct w:val="0"/>
              <w:autoSpaceDE/>
              <w:autoSpaceDN/>
              <w:bidi w:val="0"/>
              <w:adjustRightInd/>
              <w:snapToGrid/>
              <w:spacing w:line="240" w:lineRule="exact"/>
              <w:jc w:val="center"/>
              <w:rPr>
                <w:rFonts w:hint="default" w:cs="宋体"/>
                <w:b/>
                <w:color w:val="000000"/>
                <w:sz w:val="20"/>
                <w:szCs w:val="20"/>
              </w:rPr>
            </w:pP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2026000">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5726A2A2">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二十四、债务还本支出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B633C2C">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1559591B">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D43E076">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29329B1">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48BEA6D6">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二十五、债务付息支出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C930A5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7FE77C24">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3EE373C">
            <w:pPr>
              <w:keepNext w:val="0"/>
              <w:keepLines w:val="0"/>
              <w:pageBreakBefore w:val="0"/>
              <w:widowControl/>
              <w:kinsoku/>
              <w:wordWrap/>
              <w:overflowPunct/>
              <w:topLinePunct w:val="0"/>
              <w:autoSpaceDE/>
              <w:autoSpaceDN/>
              <w:bidi w:val="0"/>
              <w:adjustRightInd/>
              <w:snapToGrid/>
              <w:spacing w:line="240" w:lineRule="exact"/>
              <w:rPr>
                <w:rFonts w:hint="default" w:cs="宋体"/>
                <w:color w:val="000000"/>
                <w:sz w:val="20"/>
                <w:szCs w:val="20"/>
              </w:rPr>
            </w:pP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398A7A1">
            <w:pPr>
              <w:keepNext w:val="0"/>
              <w:keepLines w:val="0"/>
              <w:pageBreakBefore w:val="0"/>
              <w:widowControl/>
              <w:kinsoku/>
              <w:wordWrap/>
              <w:overflowPunct/>
              <w:topLinePunct w:val="0"/>
              <w:autoSpaceDE/>
              <w:autoSpaceDN/>
              <w:bidi w:val="0"/>
              <w:adjustRightInd/>
              <w:snapToGrid/>
              <w:spacing w:line="240" w:lineRule="exact"/>
              <w:jc w:val="right"/>
              <w:rPr>
                <w:rFonts w:hint="default" w:cs="宋体"/>
                <w:color w:val="000000"/>
                <w:sz w:val="20"/>
                <w:szCs w:val="20"/>
              </w:rPr>
            </w:pP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42A4F253">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二十六、抗疫特别国债安排的支出</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C7B5C21">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675E6B1A">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31095E3">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BD7745D">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1,575.41</w:t>
            </w:r>
            <w:r>
              <w:rPr>
                <w:color w:val="000000"/>
                <w:sz w:val="20"/>
                <w:u w:color="auto"/>
              </w:rPr>
              <w:t xml:space="preserve"> </w:t>
            </w: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2DFD0AF0">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本年支出合计</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7D8E77B">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1,835.37</w:t>
            </w:r>
            <w:r>
              <w:rPr>
                <w:color w:val="000000"/>
                <w:sz w:val="20"/>
                <w:u w:color="auto"/>
              </w:rPr>
              <w:t xml:space="preserve"> </w:t>
            </w:r>
          </w:p>
        </w:tc>
      </w:tr>
      <w:tr w14:paraId="649431E8">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CC8AAF1">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使用非财政拨款结余和专用结余</w:t>
            </w: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FC7761F">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75E9C3D5">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结余分配</w:t>
            </w:r>
          </w:p>
        </w:tc>
        <w:tc>
          <w:tcPr>
            <w:tcW w:w="98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7F21B69">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6A14D40A">
        <w:tblPrEx>
          <w:tblCellMar>
            <w:top w:w="0" w:type="dxa"/>
            <w:left w:w="0" w:type="dxa"/>
            <w:bottom w:w="0" w:type="dxa"/>
            <w:right w:w="0" w:type="dxa"/>
          </w:tblCellMar>
        </w:tblPrEx>
        <w:trPr>
          <w:trHeight w:val="24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621F598">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年初结转和结余</w:t>
            </w:r>
          </w:p>
        </w:tc>
        <w:tc>
          <w:tcPr>
            <w:tcW w:w="6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226F21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277.76</w:t>
            </w:r>
            <w:r>
              <w:rPr>
                <w:color w:val="000000"/>
                <w:sz w:val="20"/>
                <w:u w:color="auto"/>
              </w:rPr>
              <w:t xml:space="preserve"> </w:t>
            </w:r>
          </w:p>
        </w:tc>
        <w:tc>
          <w:tcPr>
            <w:tcW w:w="1617" w:type="pct"/>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6A24E5C4">
            <w:pPr>
              <w:keepNext w:val="0"/>
              <w:keepLines w:val="0"/>
              <w:pageBreakBefore w:val="0"/>
              <w:widowControl/>
              <w:kinsoku/>
              <w:wordWrap/>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年末结转和结余</w:t>
            </w:r>
          </w:p>
        </w:tc>
        <w:tc>
          <w:tcPr>
            <w:tcW w:w="981" w:type="pct"/>
            <w:tcBorders>
              <w:top w:val="nil"/>
              <w:left w:val="nil"/>
              <w:bottom w:val="single" w:color="auto" w:sz="4" w:space="0"/>
              <w:right w:val="single" w:color="000000" w:sz="4" w:space="0"/>
            </w:tcBorders>
            <w:shd w:val="clear" w:color="auto" w:fill="auto"/>
            <w:noWrap/>
            <w:tcMar>
              <w:top w:w="15" w:type="dxa"/>
              <w:left w:w="15" w:type="dxa"/>
              <w:right w:w="15" w:type="dxa"/>
            </w:tcMar>
            <w:vAlign w:val="center"/>
          </w:tcPr>
          <w:p w14:paraId="7193C32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17.80</w:t>
            </w:r>
            <w:r>
              <w:rPr>
                <w:color w:val="000000"/>
                <w:sz w:val="20"/>
                <w:u w:color="auto"/>
              </w:rPr>
              <w:t xml:space="preserve"> </w:t>
            </w:r>
          </w:p>
        </w:tc>
      </w:tr>
      <w:tr w14:paraId="28C6C52E">
        <w:tblPrEx>
          <w:tblCellMar>
            <w:top w:w="0" w:type="dxa"/>
            <w:left w:w="0" w:type="dxa"/>
            <w:bottom w:w="0" w:type="dxa"/>
            <w:right w:w="0" w:type="dxa"/>
          </w:tblCellMar>
        </w:tblPrEx>
        <w:trPr>
          <w:trHeight w:val="253" w:hRule="atLeast"/>
        </w:trPr>
        <w:tc>
          <w:tcPr>
            <w:tcW w:w="1721"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0BE95F1">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67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280830">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1,853.17</w:t>
            </w:r>
            <w:r>
              <w:rPr>
                <w:color w:val="000000"/>
                <w:sz w:val="20"/>
                <w:u w:color="auto"/>
              </w:rPr>
              <w:t xml:space="preserve"> </w:t>
            </w:r>
          </w:p>
        </w:tc>
        <w:tc>
          <w:tcPr>
            <w:tcW w:w="1617" w:type="pct"/>
            <w:tcBorders>
              <w:top w:val="nil"/>
              <w:left w:val="nil"/>
              <w:bottom w:val="single" w:color="000000" w:sz="4" w:space="0"/>
              <w:right w:val="single" w:color="auto" w:sz="4" w:space="0"/>
            </w:tcBorders>
            <w:shd w:val="clear" w:color="FFFFFF" w:fill="C0C0C0"/>
            <w:noWrap/>
            <w:tcMar>
              <w:top w:w="15" w:type="dxa"/>
              <w:left w:w="15" w:type="dxa"/>
              <w:right w:w="15" w:type="dxa"/>
            </w:tcMar>
            <w:vAlign w:val="center"/>
          </w:tcPr>
          <w:p w14:paraId="2A2C6F0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981"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2C6DAF7">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1,853.17</w:t>
            </w:r>
            <w:r>
              <w:rPr>
                <w:color w:val="000000"/>
                <w:sz w:val="20"/>
                <w:u w:color="auto"/>
              </w:rPr>
              <w:t xml:space="preserve"> </w:t>
            </w:r>
          </w:p>
        </w:tc>
      </w:tr>
    </w:tbl>
    <w:p w14:paraId="327E64D5">
      <w:pPr>
        <w:keepNext w:val="0"/>
        <w:keepLines w:val="0"/>
        <w:pageBreakBefore w:val="0"/>
        <w:widowControl/>
        <w:kinsoku/>
        <w:wordWrap/>
        <w:overflowPunct/>
        <w:topLinePunct w:val="0"/>
        <w:autoSpaceDE/>
        <w:autoSpaceDN/>
        <w:bidi w:val="0"/>
        <w:adjustRightInd/>
        <w:snapToGrid/>
        <w:spacing w:beforeAutospacing="0" w:afterAutospacing="0" w:line="240" w:lineRule="exact"/>
        <w:ind w:left="0" w:leftChars="0" w:right="0"/>
        <w:textAlignment w:val="auto"/>
        <w:rPr>
          <w:rFonts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p>
    <w:p w14:paraId="51AB9E31">
      <w:pPr>
        <w:keepNext w:val="0"/>
        <w:keepLines w:val="0"/>
        <w:pageBreakBefore w:val="0"/>
        <w:widowControl/>
        <w:kinsoku/>
        <w:wordWrap/>
        <w:overflowPunct/>
        <w:topLinePunct w:val="0"/>
        <w:autoSpaceDE/>
        <w:autoSpaceDN/>
        <w:bidi w:val="0"/>
        <w:adjustRightInd/>
        <w:snapToGrid/>
        <w:spacing w:beforeAutospacing="0" w:afterAutospacing="0" w:line="600" w:lineRule="exact"/>
        <w:ind w:left="0" w:leftChars="0" w:right="0"/>
        <w:textAlignment w:val="auto"/>
        <w:rPr>
          <w:rFonts w:cs="宋体"/>
          <w:sz w:val="20"/>
          <w:szCs w:val="20"/>
        </w:rPr>
      </w:pPr>
    </w:p>
    <w:tbl>
      <w:tblPr>
        <w:tblStyle w:val="8"/>
        <w:tblW w:w="4768" w:type="pct"/>
        <w:tblInd w:w="0" w:type="dxa"/>
        <w:tblLayout w:type="fixed"/>
        <w:tblCellMar>
          <w:top w:w="0" w:type="dxa"/>
          <w:left w:w="0" w:type="dxa"/>
          <w:bottom w:w="0" w:type="dxa"/>
          <w:right w:w="0" w:type="dxa"/>
        </w:tblCellMar>
      </w:tblPr>
      <w:tblGrid>
        <w:gridCol w:w="1680"/>
        <w:gridCol w:w="3637"/>
        <w:gridCol w:w="938"/>
        <w:gridCol w:w="950"/>
        <w:gridCol w:w="1056"/>
        <w:gridCol w:w="1187"/>
        <w:gridCol w:w="1315"/>
        <w:gridCol w:w="1258"/>
        <w:gridCol w:w="1220"/>
        <w:gridCol w:w="1425"/>
      </w:tblGrid>
      <w:tr w14:paraId="272FC43C">
        <w:tblPrEx>
          <w:tblCellMar>
            <w:top w:w="0" w:type="dxa"/>
            <w:left w:w="0" w:type="dxa"/>
            <w:bottom w:w="0" w:type="dxa"/>
            <w:right w:w="0" w:type="dxa"/>
          </w:tblCellMar>
        </w:tblPrEx>
        <w:trPr>
          <w:trHeight w:val="90" w:hRule="atLeast"/>
        </w:trPr>
        <w:tc>
          <w:tcPr>
            <w:tcW w:w="5000" w:type="pct"/>
            <w:gridSpan w:val="10"/>
            <w:tcBorders>
              <w:top w:val="nil"/>
              <w:left w:val="nil"/>
              <w:bottom w:val="nil"/>
              <w:right w:val="nil"/>
            </w:tcBorders>
            <w:shd w:val="clear" w:color="auto" w:fill="auto"/>
            <w:noWrap/>
            <w:tcMar>
              <w:top w:w="15" w:type="dxa"/>
              <w:left w:w="15" w:type="dxa"/>
              <w:right w:w="15" w:type="dxa"/>
            </w:tcMar>
            <w:vAlign w:val="bottom"/>
          </w:tcPr>
          <w:p w14:paraId="59357AFB">
            <w:pPr>
              <w:keepNext w:val="0"/>
              <w:keepLines w:val="0"/>
              <w:pageBreakBefore w:val="0"/>
              <w:widowControl/>
              <w:kinsoku/>
              <w:wordWrap/>
              <w:overflowPunct/>
              <w:topLinePunct w:val="0"/>
              <w:autoSpaceDE/>
              <w:autoSpaceDN/>
              <w:bidi w:val="0"/>
              <w:adjustRightInd/>
              <w:snapToGrid/>
              <w:spacing w:line="240" w:lineRule="auto"/>
              <w:jc w:val="center"/>
              <w:textAlignment w:val="bottom"/>
              <w:rPr>
                <w:rFonts w:hint="default" w:cs="宋体"/>
                <w:b/>
                <w:color w:val="000000"/>
                <w:sz w:val="32"/>
                <w:szCs w:val="32"/>
              </w:rPr>
            </w:pPr>
            <w:r>
              <w:rPr>
                <w:rFonts w:cs="宋体"/>
                <w:b/>
                <w:color w:val="000000"/>
                <w:sz w:val="32"/>
                <w:szCs w:val="32"/>
              </w:rPr>
              <w:t>收入决算表</w:t>
            </w:r>
          </w:p>
        </w:tc>
      </w:tr>
      <w:tr w14:paraId="443C06BF">
        <w:tblPrEx>
          <w:tblCellMar>
            <w:top w:w="0" w:type="dxa"/>
            <w:left w:w="0" w:type="dxa"/>
            <w:bottom w:w="0" w:type="dxa"/>
            <w:right w:w="0" w:type="dxa"/>
          </w:tblCellMar>
        </w:tblPrEx>
        <w:trPr>
          <w:trHeight w:val="90" w:hRule="atLeast"/>
        </w:trPr>
        <w:tc>
          <w:tcPr>
            <w:tcW w:w="2132" w:type="pct"/>
            <w:gridSpan w:val="3"/>
            <w:vMerge w:val="restart"/>
            <w:tcBorders>
              <w:top w:val="nil"/>
              <w:left w:val="nil"/>
              <w:right w:val="nil"/>
            </w:tcBorders>
            <w:shd w:val="clear" w:color="auto" w:fill="auto"/>
            <w:noWrap/>
            <w:tcMar>
              <w:top w:w="15" w:type="dxa"/>
              <w:left w:w="15" w:type="dxa"/>
              <w:right w:w="15" w:type="dxa"/>
            </w:tcMar>
            <w:vAlign w:val="bottom"/>
          </w:tcPr>
          <w:p w14:paraId="4F29F010">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r>
              <w:rPr>
                <w:rFonts w:cs="宋体"/>
                <w:sz w:val="20"/>
                <w:szCs w:val="20"/>
              </w:rPr>
              <w:t>公开单位：</w:t>
            </w:r>
            <w:r>
              <w:rPr>
                <w:sz w:val="20"/>
                <w:u w:color="auto"/>
              </w:rPr>
              <w:t>丰都县交通运输综合行政执法支队</w:t>
            </w:r>
          </w:p>
        </w:tc>
        <w:tc>
          <w:tcPr>
            <w:tcW w:w="323" w:type="pct"/>
            <w:tcBorders>
              <w:top w:val="nil"/>
              <w:left w:val="nil"/>
              <w:bottom w:val="nil"/>
              <w:right w:val="nil"/>
            </w:tcBorders>
            <w:shd w:val="clear" w:color="auto" w:fill="auto"/>
            <w:noWrap/>
            <w:tcMar>
              <w:top w:w="15" w:type="dxa"/>
              <w:left w:w="15" w:type="dxa"/>
              <w:right w:w="15" w:type="dxa"/>
            </w:tcMar>
            <w:vAlign w:val="bottom"/>
          </w:tcPr>
          <w:p w14:paraId="4934F565">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360" w:type="pct"/>
            <w:tcBorders>
              <w:top w:val="nil"/>
              <w:left w:val="nil"/>
              <w:bottom w:val="nil"/>
              <w:right w:val="nil"/>
            </w:tcBorders>
            <w:shd w:val="clear" w:color="auto" w:fill="auto"/>
            <w:noWrap/>
            <w:tcMar>
              <w:top w:w="15" w:type="dxa"/>
              <w:left w:w="15" w:type="dxa"/>
              <w:right w:w="15" w:type="dxa"/>
            </w:tcMar>
            <w:vAlign w:val="bottom"/>
          </w:tcPr>
          <w:p w14:paraId="1FB907F3">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404" w:type="pct"/>
            <w:tcBorders>
              <w:top w:val="nil"/>
              <w:left w:val="nil"/>
              <w:bottom w:val="nil"/>
              <w:right w:val="nil"/>
            </w:tcBorders>
            <w:shd w:val="clear" w:color="auto" w:fill="auto"/>
            <w:noWrap/>
            <w:tcMar>
              <w:top w:w="15" w:type="dxa"/>
              <w:left w:w="15" w:type="dxa"/>
              <w:right w:w="15" w:type="dxa"/>
            </w:tcMar>
            <w:vAlign w:val="bottom"/>
          </w:tcPr>
          <w:p w14:paraId="00C6345C">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448" w:type="pct"/>
            <w:tcBorders>
              <w:top w:val="nil"/>
              <w:left w:val="nil"/>
              <w:bottom w:val="nil"/>
              <w:right w:val="nil"/>
            </w:tcBorders>
            <w:shd w:val="clear" w:color="auto" w:fill="auto"/>
            <w:noWrap/>
            <w:tcMar>
              <w:top w:w="15" w:type="dxa"/>
              <w:left w:w="15" w:type="dxa"/>
              <w:right w:w="15" w:type="dxa"/>
            </w:tcMar>
            <w:vAlign w:val="bottom"/>
          </w:tcPr>
          <w:p w14:paraId="5F2E6000">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428" w:type="pct"/>
            <w:tcBorders>
              <w:top w:val="nil"/>
              <w:left w:val="nil"/>
              <w:bottom w:val="nil"/>
              <w:right w:val="nil"/>
            </w:tcBorders>
            <w:shd w:val="clear" w:color="auto" w:fill="auto"/>
            <w:noWrap/>
            <w:tcMar>
              <w:top w:w="15" w:type="dxa"/>
              <w:left w:w="15" w:type="dxa"/>
              <w:right w:w="15" w:type="dxa"/>
            </w:tcMar>
            <w:vAlign w:val="bottom"/>
          </w:tcPr>
          <w:p w14:paraId="0A967D04">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415" w:type="pct"/>
            <w:tcBorders>
              <w:top w:val="nil"/>
              <w:left w:val="nil"/>
              <w:bottom w:val="nil"/>
              <w:right w:val="nil"/>
            </w:tcBorders>
            <w:shd w:val="clear" w:color="auto" w:fill="auto"/>
            <w:noWrap/>
            <w:tcMar>
              <w:top w:w="15" w:type="dxa"/>
              <w:left w:w="15" w:type="dxa"/>
              <w:right w:w="15" w:type="dxa"/>
            </w:tcMar>
            <w:vAlign w:val="bottom"/>
          </w:tcPr>
          <w:p w14:paraId="094D74B2">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485" w:type="pct"/>
            <w:tcBorders>
              <w:top w:val="nil"/>
              <w:left w:val="nil"/>
              <w:bottom w:val="nil"/>
              <w:right w:val="nil"/>
            </w:tcBorders>
            <w:shd w:val="clear" w:color="auto" w:fill="auto"/>
            <w:noWrap/>
            <w:tcMar>
              <w:top w:w="15" w:type="dxa"/>
              <w:left w:w="15" w:type="dxa"/>
              <w:right w:w="15" w:type="dxa"/>
            </w:tcMar>
            <w:vAlign w:val="bottom"/>
          </w:tcPr>
          <w:p w14:paraId="39B2E338">
            <w:pPr>
              <w:keepNext w:val="0"/>
              <w:keepLines w:val="0"/>
              <w:pageBreakBefore w:val="0"/>
              <w:widowControl/>
              <w:kinsoku/>
              <w:overflowPunct/>
              <w:topLinePunct w:val="0"/>
              <w:autoSpaceDE/>
              <w:autoSpaceDN/>
              <w:bidi w:val="0"/>
              <w:adjustRightInd/>
              <w:snapToGrid/>
              <w:spacing w:line="240" w:lineRule="exact"/>
              <w:jc w:val="right"/>
              <w:textAlignment w:val="bottom"/>
              <w:rPr>
                <w:rFonts w:hint="default" w:cs="宋体"/>
                <w:color w:val="000000"/>
                <w:sz w:val="20"/>
                <w:szCs w:val="20"/>
              </w:rPr>
            </w:pPr>
            <w:r>
              <w:rPr>
                <w:rFonts w:cs="宋体"/>
                <w:color w:val="000000"/>
                <w:sz w:val="20"/>
                <w:szCs w:val="20"/>
              </w:rPr>
              <w:t>公开02表</w:t>
            </w:r>
          </w:p>
        </w:tc>
      </w:tr>
      <w:tr w14:paraId="733D86E5">
        <w:tblPrEx>
          <w:tblCellMar>
            <w:top w:w="0" w:type="dxa"/>
            <w:left w:w="0" w:type="dxa"/>
            <w:bottom w:w="0" w:type="dxa"/>
            <w:right w:w="0" w:type="dxa"/>
          </w:tblCellMar>
        </w:tblPrEx>
        <w:trPr>
          <w:trHeight w:val="90" w:hRule="atLeast"/>
        </w:trPr>
        <w:tc>
          <w:tcPr>
            <w:tcW w:w="2132" w:type="pct"/>
            <w:gridSpan w:val="3"/>
            <w:vMerge w:val="continue"/>
            <w:tcBorders>
              <w:left w:val="nil"/>
              <w:bottom w:val="nil"/>
              <w:right w:val="nil"/>
            </w:tcBorders>
            <w:shd w:val="clear" w:color="auto" w:fill="auto"/>
            <w:noWrap/>
            <w:tcMar>
              <w:top w:w="15" w:type="dxa"/>
              <w:left w:w="15" w:type="dxa"/>
              <w:right w:w="15" w:type="dxa"/>
            </w:tcMar>
            <w:vAlign w:val="bottom"/>
          </w:tcPr>
          <w:p w14:paraId="35BDEBA8">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323" w:type="pct"/>
            <w:tcBorders>
              <w:top w:val="nil"/>
              <w:left w:val="nil"/>
              <w:bottom w:val="nil"/>
              <w:right w:val="nil"/>
            </w:tcBorders>
            <w:shd w:val="clear" w:color="auto" w:fill="auto"/>
            <w:noWrap/>
            <w:tcMar>
              <w:top w:w="15" w:type="dxa"/>
              <w:left w:w="15" w:type="dxa"/>
              <w:right w:w="15" w:type="dxa"/>
            </w:tcMar>
            <w:vAlign w:val="bottom"/>
          </w:tcPr>
          <w:p w14:paraId="524BCBC2">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360" w:type="pct"/>
            <w:tcBorders>
              <w:top w:val="nil"/>
              <w:left w:val="nil"/>
              <w:bottom w:val="nil"/>
              <w:right w:val="nil"/>
            </w:tcBorders>
            <w:shd w:val="clear" w:color="auto" w:fill="auto"/>
            <w:noWrap/>
            <w:tcMar>
              <w:top w:w="15" w:type="dxa"/>
              <w:left w:w="15" w:type="dxa"/>
              <w:right w:w="15" w:type="dxa"/>
            </w:tcMar>
            <w:vAlign w:val="bottom"/>
          </w:tcPr>
          <w:p w14:paraId="2558821D">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404" w:type="pct"/>
            <w:tcBorders>
              <w:top w:val="nil"/>
              <w:left w:val="nil"/>
              <w:bottom w:val="nil"/>
              <w:right w:val="nil"/>
            </w:tcBorders>
            <w:shd w:val="clear" w:color="auto" w:fill="auto"/>
            <w:noWrap/>
            <w:tcMar>
              <w:top w:w="15" w:type="dxa"/>
              <w:left w:w="15" w:type="dxa"/>
              <w:right w:w="15" w:type="dxa"/>
            </w:tcMar>
            <w:vAlign w:val="bottom"/>
          </w:tcPr>
          <w:p w14:paraId="3C5CF119">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448" w:type="pct"/>
            <w:tcBorders>
              <w:top w:val="nil"/>
              <w:left w:val="nil"/>
              <w:bottom w:val="nil"/>
              <w:right w:val="nil"/>
            </w:tcBorders>
            <w:shd w:val="clear" w:color="auto" w:fill="auto"/>
            <w:noWrap/>
            <w:tcMar>
              <w:top w:w="15" w:type="dxa"/>
              <w:left w:w="15" w:type="dxa"/>
              <w:right w:w="15" w:type="dxa"/>
            </w:tcMar>
            <w:vAlign w:val="bottom"/>
          </w:tcPr>
          <w:p w14:paraId="72B811BE">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428" w:type="pct"/>
            <w:tcBorders>
              <w:top w:val="nil"/>
              <w:left w:val="nil"/>
              <w:bottom w:val="nil"/>
              <w:right w:val="nil"/>
            </w:tcBorders>
            <w:shd w:val="clear" w:color="auto" w:fill="auto"/>
            <w:noWrap/>
            <w:tcMar>
              <w:top w:w="15" w:type="dxa"/>
              <w:left w:w="15" w:type="dxa"/>
              <w:right w:w="15" w:type="dxa"/>
            </w:tcMar>
            <w:vAlign w:val="bottom"/>
          </w:tcPr>
          <w:p w14:paraId="57016A24">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415" w:type="pct"/>
            <w:tcBorders>
              <w:top w:val="nil"/>
              <w:left w:val="nil"/>
              <w:bottom w:val="nil"/>
              <w:right w:val="nil"/>
            </w:tcBorders>
            <w:shd w:val="clear" w:color="auto" w:fill="auto"/>
            <w:noWrap/>
            <w:tcMar>
              <w:top w:w="15" w:type="dxa"/>
              <w:left w:w="15" w:type="dxa"/>
              <w:right w:w="15" w:type="dxa"/>
            </w:tcMar>
            <w:vAlign w:val="bottom"/>
          </w:tcPr>
          <w:p w14:paraId="2A01EDB1">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485" w:type="pct"/>
            <w:tcBorders>
              <w:top w:val="nil"/>
              <w:left w:val="nil"/>
              <w:bottom w:val="nil"/>
              <w:right w:val="nil"/>
            </w:tcBorders>
            <w:shd w:val="clear" w:color="auto" w:fill="auto"/>
            <w:noWrap/>
            <w:tcMar>
              <w:top w:w="15" w:type="dxa"/>
              <w:left w:w="15" w:type="dxa"/>
              <w:right w:w="15" w:type="dxa"/>
            </w:tcMar>
            <w:vAlign w:val="bottom"/>
          </w:tcPr>
          <w:p w14:paraId="3E84D939">
            <w:pPr>
              <w:keepNext w:val="0"/>
              <w:keepLines w:val="0"/>
              <w:pageBreakBefore w:val="0"/>
              <w:widowControl/>
              <w:kinsoku/>
              <w:overflowPunct/>
              <w:topLinePunct w:val="0"/>
              <w:autoSpaceDE/>
              <w:autoSpaceDN/>
              <w:bidi w:val="0"/>
              <w:adjustRightInd/>
              <w:snapToGrid/>
              <w:spacing w:line="24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5775F3B3">
        <w:tblPrEx>
          <w:tblCellMar>
            <w:top w:w="0" w:type="dxa"/>
            <w:left w:w="0" w:type="dxa"/>
            <w:bottom w:w="0" w:type="dxa"/>
            <w:right w:w="0" w:type="dxa"/>
          </w:tblCellMar>
        </w:tblPrEx>
        <w:trPr>
          <w:trHeight w:val="90" w:hRule="atLeast"/>
        </w:trPr>
        <w:tc>
          <w:tcPr>
            <w:tcW w:w="1812" w:type="pct"/>
            <w:gridSpan w:val="2"/>
            <w:tcBorders>
              <w:top w:val="single" w:color="000000" w:sz="4" w:space="0"/>
              <w:left w:val="single" w:color="000000" w:sz="4" w:space="0"/>
              <w:bottom w:val="single" w:color="000000" w:sz="4" w:space="0"/>
              <w:right w:val="nil"/>
            </w:tcBorders>
            <w:shd w:val="clear" w:color="auto" w:fill="D0CECE"/>
            <w:noWrap/>
            <w:tcMar>
              <w:top w:w="15" w:type="dxa"/>
              <w:left w:w="15" w:type="dxa"/>
              <w:right w:w="15" w:type="dxa"/>
            </w:tcMar>
            <w:vAlign w:val="bottom"/>
          </w:tcPr>
          <w:p w14:paraId="770F97E8">
            <w:pPr>
              <w:keepNext w:val="0"/>
              <w:keepLines w:val="0"/>
              <w:pageBreakBefore w:val="0"/>
              <w:widowControl/>
              <w:kinsoku/>
              <w:wordWrap/>
              <w:overflowPunct/>
              <w:topLinePunct w:val="0"/>
              <w:autoSpaceDE/>
              <w:autoSpaceDN/>
              <w:bidi w:val="0"/>
              <w:adjustRightInd/>
              <w:snapToGrid/>
              <w:spacing w:line="240" w:lineRule="exact"/>
              <w:jc w:val="center"/>
              <w:textAlignment w:val="bottom"/>
              <w:rPr>
                <w:rFonts w:hint="default" w:cs="宋体"/>
                <w:b/>
                <w:color w:val="000000"/>
                <w:sz w:val="20"/>
                <w:szCs w:val="20"/>
              </w:rPr>
            </w:pPr>
            <w:r>
              <w:rPr>
                <w:rFonts w:cs="宋体"/>
                <w:b/>
                <w:color w:val="000000"/>
                <w:sz w:val="20"/>
                <w:szCs w:val="20"/>
              </w:rPr>
              <w:t>项目</w:t>
            </w:r>
          </w:p>
        </w:tc>
        <w:tc>
          <w:tcPr>
            <w:tcW w:w="319"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0AAAA5E">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本年收入合计</w:t>
            </w:r>
          </w:p>
        </w:tc>
        <w:tc>
          <w:tcPr>
            <w:tcW w:w="323"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4974C73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财政拨款收入</w:t>
            </w:r>
          </w:p>
        </w:tc>
        <w:tc>
          <w:tcPr>
            <w:tcW w:w="360"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61DEEB4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上级补助收入</w:t>
            </w:r>
          </w:p>
        </w:tc>
        <w:tc>
          <w:tcPr>
            <w:tcW w:w="852" w:type="pct"/>
            <w:gridSpan w:val="2"/>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bottom"/>
          </w:tcPr>
          <w:p w14:paraId="2C4DF767">
            <w:pPr>
              <w:keepNext w:val="0"/>
              <w:keepLines w:val="0"/>
              <w:pageBreakBefore w:val="0"/>
              <w:widowControl/>
              <w:kinsoku/>
              <w:wordWrap/>
              <w:overflowPunct/>
              <w:topLinePunct w:val="0"/>
              <w:autoSpaceDE/>
              <w:autoSpaceDN/>
              <w:bidi w:val="0"/>
              <w:adjustRightInd/>
              <w:snapToGrid/>
              <w:spacing w:line="240" w:lineRule="exact"/>
              <w:jc w:val="center"/>
              <w:textAlignment w:val="bottom"/>
              <w:rPr>
                <w:rFonts w:hint="default" w:cs="宋体"/>
                <w:b/>
                <w:color w:val="000000"/>
                <w:sz w:val="20"/>
                <w:szCs w:val="20"/>
              </w:rPr>
            </w:pPr>
            <w:r>
              <w:rPr>
                <w:rFonts w:cs="宋体"/>
                <w:b/>
                <w:color w:val="000000"/>
                <w:sz w:val="20"/>
                <w:szCs w:val="20"/>
              </w:rPr>
              <w:t>事业收入</w:t>
            </w:r>
          </w:p>
        </w:tc>
        <w:tc>
          <w:tcPr>
            <w:tcW w:w="428"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417355B">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经营收入</w:t>
            </w:r>
          </w:p>
        </w:tc>
        <w:tc>
          <w:tcPr>
            <w:tcW w:w="415"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6708AAEC">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附属单位上缴收入</w:t>
            </w:r>
          </w:p>
        </w:tc>
        <w:tc>
          <w:tcPr>
            <w:tcW w:w="485"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4F03E615">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其他收入</w:t>
            </w:r>
          </w:p>
        </w:tc>
      </w:tr>
      <w:tr w14:paraId="3321631E">
        <w:tblPrEx>
          <w:tblCellMar>
            <w:top w:w="0" w:type="dxa"/>
            <w:left w:w="0" w:type="dxa"/>
            <w:bottom w:w="0" w:type="dxa"/>
            <w:right w:w="0" w:type="dxa"/>
          </w:tblCellMar>
        </w:tblPrEx>
        <w:trPr>
          <w:trHeight w:val="312" w:hRule="atLeast"/>
        </w:trPr>
        <w:tc>
          <w:tcPr>
            <w:tcW w:w="572" w:type="pct"/>
            <w:vMerge w:val="restar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752F48F">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功能分类科目编码</w:t>
            </w:r>
          </w:p>
        </w:tc>
        <w:tc>
          <w:tcPr>
            <w:tcW w:w="1239" w:type="pct"/>
            <w:vMerge w:val="restart"/>
            <w:tcBorders>
              <w:top w:val="nil"/>
              <w:left w:val="nil"/>
              <w:bottom w:val="single" w:color="000000" w:sz="4" w:space="0"/>
              <w:right w:val="nil"/>
            </w:tcBorders>
            <w:shd w:val="clear" w:color="FFFFFF" w:fill="C0C0C0"/>
            <w:noWrap/>
            <w:tcMar>
              <w:top w:w="15" w:type="dxa"/>
              <w:left w:w="15" w:type="dxa"/>
              <w:right w:w="15" w:type="dxa"/>
            </w:tcMar>
            <w:vAlign w:val="center"/>
          </w:tcPr>
          <w:p w14:paraId="24E5845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项目（按“项”级功能分类科目）</w:t>
            </w:r>
          </w:p>
        </w:tc>
        <w:tc>
          <w:tcPr>
            <w:tcW w:w="319"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655EBBD">
            <w:pPr>
              <w:keepNext w:val="0"/>
              <w:keepLines w:val="0"/>
              <w:pageBreakBefore w:val="0"/>
              <w:widowControl/>
              <w:kinsoku/>
              <w:wordWrap/>
              <w:overflowPunct/>
              <w:topLinePunct w:val="0"/>
              <w:autoSpaceDE/>
              <w:autoSpaceDN/>
              <w:bidi w:val="0"/>
              <w:adjustRightInd/>
              <w:snapToGrid/>
              <w:spacing w:line="240" w:lineRule="exact"/>
              <w:jc w:val="center"/>
              <w:rPr>
                <w:rFonts w:hint="default" w:cs="宋体"/>
                <w:b/>
                <w:color w:val="000000"/>
                <w:sz w:val="20"/>
                <w:szCs w:val="20"/>
              </w:rPr>
            </w:pPr>
          </w:p>
        </w:tc>
        <w:tc>
          <w:tcPr>
            <w:tcW w:w="323"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8ECD9FA">
            <w:pPr>
              <w:keepNext w:val="0"/>
              <w:keepLines w:val="0"/>
              <w:pageBreakBefore w:val="0"/>
              <w:widowControl/>
              <w:kinsoku/>
              <w:wordWrap/>
              <w:overflowPunct/>
              <w:topLinePunct w:val="0"/>
              <w:autoSpaceDE/>
              <w:autoSpaceDN/>
              <w:bidi w:val="0"/>
              <w:adjustRightInd/>
              <w:snapToGrid/>
              <w:spacing w:line="240" w:lineRule="exact"/>
              <w:jc w:val="center"/>
              <w:rPr>
                <w:rFonts w:hint="default" w:cs="宋体"/>
                <w:b/>
                <w:color w:val="000000"/>
                <w:sz w:val="20"/>
                <w:szCs w:val="20"/>
              </w:rPr>
            </w:pPr>
          </w:p>
        </w:tc>
        <w:tc>
          <w:tcPr>
            <w:tcW w:w="360"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2998BC5">
            <w:pPr>
              <w:keepNext w:val="0"/>
              <w:keepLines w:val="0"/>
              <w:pageBreakBefore w:val="0"/>
              <w:widowControl/>
              <w:kinsoku/>
              <w:wordWrap/>
              <w:overflowPunct/>
              <w:topLinePunct w:val="0"/>
              <w:autoSpaceDE/>
              <w:autoSpaceDN/>
              <w:bidi w:val="0"/>
              <w:adjustRightInd/>
              <w:snapToGrid/>
              <w:spacing w:line="240" w:lineRule="exact"/>
              <w:jc w:val="center"/>
              <w:rPr>
                <w:rFonts w:hint="default" w:cs="宋体"/>
                <w:b/>
                <w:color w:val="000000"/>
                <w:sz w:val="20"/>
                <w:szCs w:val="20"/>
              </w:rPr>
            </w:pPr>
          </w:p>
        </w:tc>
        <w:tc>
          <w:tcPr>
            <w:tcW w:w="404"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71586459">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小计</w:t>
            </w:r>
          </w:p>
        </w:tc>
        <w:tc>
          <w:tcPr>
            <w:tcW w:w="448"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274D5144">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其中：教育收费</w:t>
            </w:r>
          </w:p>
        </w:tc>
        <w:tc>
          <w:tcPr>
            <w:tcW w:w="428"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CE77456">
            <w:pPr>
              <w:keepNext w:val="0"/>
              <w:keepLines w:val="0"/>
              <w:pageBreakBefore w:val="0"/>
              <w:widowControl/>
              <w:kinsoku/>
              <w:wordWrap/>
              <w:overflowPunct/>
              <w:topLinePunct w:val="0"/>
              <w:autoSpaceDE/>
              <w:autoSpaceDN/>
              <w:bidi w:val="0"/>
              <w:adjustRightInd/>
              <w:snapToGrid/>
              <w:spacing w:line="240" w:lineRule="exact"/>
              <w:jc w:val="center"/>
              <w:rPr>
                <w:rFonts w:hint="default" w:cs="宋体"/>
                <w:b/>
                <w:color w:val="000000"/>
                <w:sz w:val="20"/>
                <w:szCs w:val="20"/>
              </w:rPr>
            </w:pPr>
          </w:p>
        </w:tc>
        <w:tc>
          <w:tcPr>
            <w:tcW w:w="415"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6C79AB4A">
            <w:pPr>
              <w:keepNext w:val="0"/>
              <w:keepLines w:val="0"/>
              <w:pageBreakBefore w:val="0"/>
              <w:widowControl/>
              <w:kinsoku/>
              <w:wordWrap/>
              <w:overflowPunct/>
              <w:topLinePunct w:val="0"/>
              <w:autoSpaceDE/>
              <w:autoSpaceDN/>
              <w:bidi w:val="0"/>
              <w:adjustRightInd/>
              <w:snapToGrid/>
              <w:spacing w:line="240" w:lineRule="exact"/>
              <w:jc w:val="center"/>
              <w:rPr>
                <w:rFonts w:hint="default" w:cs="宋体"/>
                <w:b/>
                <w:color w:val="000000"/>
                <w:sz w:val="20"/>
                <w:szCs w:val="20"/>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B82A46B">
            <w:pPr>
              <w:keepNext w:val="0"/>
              <w:keepLines w:val="0"/>
              <w:pageBreakBefore w:val="0"/>
              <w:widowControl/>
              <w:kinsoku/>
              <w:wordWrap/>
              <w:overflowPunct/>
              <w:topLinePunct w:val="0"/>
              <w:autoSpaceDE/>
              <w:autoSpaceDN/>
              <w:bidi w:val="0"/>
              <w:adjustRightInd/>
              <w:snapToGrid/>
              <w:spacing w:line="240" w:lineRule="exact"/>
              <w:jc w:val="center"/>
              <w:rPr>
                <w:rFonts w:hint="default" w:cs="宋体"/>
                <w:b/>
                <w:color w:val="000000"/>
                <w:sz w:val="20"/>
                <w:szCs w:val="20"/>
              </w:rPr>
            </w:pPr>
          </w:p>
        </w:tc>
      </w:tr>
      <w:tr w14:paraId="1625FDB0">
        <w:tblPrEx>
          <w:tblCellMar>
            <w:top w:w="0" w:type="dxa"/>
            <w:left w:w="0" w:type="dxa"/>
            <w:bottom w:w="0" w:type="dxa"/>
            <w:right w:w="0" w:type="dxa"/>
          </w:tblCellMar>
        </w:tblPrEx>
        <w:trPr>
          <w:trHeight w:val="312" w:hRule="atLeast"/>
        </w:trPr>
        <w:tc>
          <w:tcPr>
            <w:tcW w:w="572" w:type="pct"/>
            <w:vMerge w:val="continue"/>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2E03756">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1239" w:type="pct"/>
            <w:vMerge w:val="continue"/>
            <w:tcBorders>
              <w:top w:val="nil"/>
              <w:left w:val="nil"/>
              <w:bottom w:val="single" w:color="000000" w:sz="4" w:space="0"/>
              <w:right w:val="nil"/>
            </w:tcBorders>
            <w:shd w:val="clear" w:color="FFFFFF" w:fill="C0C0C0"/>
            <w:noWrap/>
            <w:tcMar>
              <w:top w:w="15" w:type="dxa"/>
              <w:left w:w="15" w:type="dxa"/>
              <w:right w:w="15" w:type="dxa"/>
            </w:tcMar>
            <w:vAlign w:val="center"/>
          </w:tcPr>
          <w:p w14:paraId="1C8F07F3">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424E6D84">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323"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144FE2CB">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360"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43403F04">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5286B422">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581A29D2">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28"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F252F13">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15"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7799BD35">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4DA9D33">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r>
      <w:tr w14:paraId="239823CD">
        <w:tblPrEx>
          <w:tblCellMar>
            <w:top w:w="0" w:type="dxa"/>
            <w:left w:w="0" w:type="dxa"/>
            <w:bottom w:w="0" w:type="dxa"/>
            <w:right w:w="0" w:type="dxa"/>
          </w:tblCellMar>
        </w:tblPrEx>
        <w:trPr>
          <w:trHeight w:val="312" w:hRule="atLeast"/>
        </w:trPr>
        <w:tc>
          <w:tcPr>
            <w:tcW w:w="572" w:type="pct"/>
            <w:vMerge w:val="continue"/>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A9F0D35">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1239" w:type="pct"/>
            <w:vMerge w:val="continue"/>
            <w:tcBorders>
              <w:top w:val="nil"/>
              <w:left w:val="nil"/>
              <w:bottom w:val="single" w:color="000000" w:sz="4" w:space="0"/>
              <w:right w:val="nil"/>
            </w:tcBorders>
            <w:shd w:val="clear" w:color="FFFFFF" w:fill="C0C0C0"/>
            <w:noWrap/>
            <w:tcMar>
              <w:top w:w="15" w:type="dxa"/>
              <w:left w:w="15" w:type="dxa"/>
              <w:right w:w="15" w:type="dxa"/>
            </w:tcMar>
            <w:vAlign w:val="center"/>
          </w:tcPr>
          <w:p w14:paraId="013DB143">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1EF4B32">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323"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66F8659C">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360"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17EB2D89">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500403CF">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1F269FD">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28"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524331C7">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15"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3450CF7">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44CEE56A">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r>
      <w:tr w14:paraId="3B77743D">
        <w:tblPrEx>
          <w:tblCellMar>
            <w:top w:w="0" w:type="dxa"/>
            <w:left w:w="0" w:type="dxa"/>
            <w:bottom w:w="0" w:type="dxa"/>
            <w:right w:w="0" w:type="dxa"/>
          </w:tblCellMar>
        </w:tblPrEx>
        <w:trPr>
          <w:trHeight w:val="312" w:hRule="atLeast"/>
        </w:trPr>
        <w:tc>
          <w:tcPr>
            <w:tcW w:w="572" w:type="pct"/>
            <w:vMerge w:val="continue"/>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0D778DC">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1239" w:type="pct"/>
            <w:vMerge w:val="continue"/>
            <w:tcBorders>
              <w:top w:val="nil"/>
              <w:left w:val="nil"/>
              <w:bottom w:val="single" w:color="000000" w:sz="4" w:space="0"/>
              <w:right w:val="nil"/>
            </w:tcBorders>
            <w:shd w:val="clear" w:color="FFFFFF" w:fill="C0C0C0"/>
            <w:noWrap/>
            <w:tcMar>
              <w:top w:w="15" w:type="dxa"/>
              <w:left w:w="15" w:type="dxa"/>
              <w:right w:w="15" w:type="dxa"/>
            </w:tcMar>
            <w:vAlign w:val="center"/>
          </w:tcPr>
          <w:p w14:paraId="3FC16369">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6DF88862">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323"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15D1439B">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360"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243F48B1">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04"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6F2C9D2D">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48"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72E2FF7">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28"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1CD8B837">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15"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474271E">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485"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7F417C72">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r>
      <w:tr w14:paraId="49F522B7">
        <w:tblPrEx>
          <w:tblCellMar>
            <w:top w:w="0" w:type="dxa"/>
            <w:left w:w="0" w:type="dxa"/>
            <w:bottom w:w="0" w:type="dxa"/>
            <w:right w:w="0" w:type="dxa"/>
          </w:tblCellMar>
        </w:tblPrEx>
        <w:trPr>
          <w:trHeight w:val="90" w:hRule="atLeast"/>
        </w:trPr>
        <w:tc>
          <w:tcPr>
            <w:tcW w:w="1812" w:type="pct"/>
            <w:gridSpan w:val="2"/>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7E1DBFD">
            <w:pPr>
              <w:keepNext w:val="0"/>
              <w:keepLines w:val="0"/>
              <w:pageBreakBefore w:val="0"/>
              <w:widowControl/>
              <w:kinsoku/>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合计</w:t>
            </w:r>
          </w:p>
        </w:tc>
        <w:tc>
          <w:tcPr>
            <w:tcW w:w="31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225CC04">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rFonts w:cs="宋体"/>
                <w:b/>
                <w:bCs/>
                <w:color w:val="000000"/>
                <w:sz w:val="20"/>
                <w:szCs w:val="20"/>
              </w:rPr>
              <w:t>1,575.41</w:t>
            </w:r>
            <w:r>
              <w:rPr>
                <w:b/>
                <w:color w:val="000000"/>
                <w:sz w:val="20"/>
                <w:u w:color="auto"/>
              </w:rPr>
              <w:t xml:space="preserve"> </w:t>
            </w:r>
          </w:p>
        </w:tc>
        <w:tc>
          <w:tcPr>
            <w:tcW w:w="323"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0D1E0F0">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rFonts w:cs="宋体"/>
                <w:b/>
                <w:bCs/>
                <w:color w:val="000000"/>
                <w:sz w:val="20"/>
                <w:szCs w:val="20"/>
              </w:rPr>
              <w:t>1,558.18</w:t>
            </w:r>
            <w:r>
              <w:rPr>
                <w:b/>
                <w:color w:val="000000"/>
                <w:sz w:val="20"/>
                <w:u w:color="auto"/>
              </w:rPr>
              <w:t xml:space="preserve"> </w:t>
            </w:r>
          </w:p>
        </w:tc>
        <w:tc>
          <w:tcPr>
            <w:tcW w:w="360"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1F53E0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b/>
                <w:color w:val="000000"/>
                <w:sz w:val="20"/>
                <w:u w:color="auto"/>
              </w:rPr>
              <w:t xml:space="preserve"> </w:t>
            </w:r>
          </w:p>
        </w:tc>
        <w:tc>
          <w:tcPr>
            <w:tcW w:w="4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98DC24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b/>
                <w:color w:val="000000"/>
                <w:sz w:val="20"/>
                <w:u w:color="auto"/>
              </w:rPr>
              <w:t xml:space="preserve"> </w:t>
            </w:r>
          </w:p>
        </w:tc>
        <w:tc>
          <w:tcPr>
            <w:tcW w:w="44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19AD74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b/>
                <w:color w:val="000000"/>
                <w:sz w:val="20"/>
                <w:u w:color="auto"/>
              </w:rPr>
              <w:t xml:space="preserve"> </w:t>
            </w:r>
          </w:p>
        </w:tc>
        <w:tc>
          <w:tcPr>
            <w:tcW w:w="4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23458F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b/>
                <w:color w:val="000000"/>
                <w:sz w:val="20"/>
                <w:u w:color="auto"/>
              </w:rPr>
              <w:t xml:space="preserve"> </w:t>
            </w:r>
          </w:p>
        </w:tc>
        <w:tc>
          <w:tcPr>
            <w:tcW w:w="41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710B19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b/>
                <w:color w:val="000000"/>
                <w:sz w:val="20"/>
                <w:u w:color="auto"/>
              </w:rPr>
              <w:t xml:space="preserve"> </w:t>
            </w:r>
          </w:p>
        </w:tc>
        <w:tc>
          <w:tcPr>
            <w:tcW w:w="48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BE1965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rFonts w:cs="宋体"/>
                <w:b/>
                <w:bCs/>
                <w:color w:val="000000"/>
                <w:sz w:val="20"/>
                <w:szCs w:val="20"/>
              </w:rPr>
              <w:t>17.23</w:t>
            </w:r>
            <w:r>
              <w:rPr>
                <w:b/>
                <w:color w:val="000000"/>
                <w:sz w:val="20"/>
                <w:u w:color="auto"/>
              </w:rPr>
              <w:t xml:space="preserve"> </w:t>
            </w:r>
          </w:p>
        </w:tc>
      </w:tr>
      <w:tr w14:paraId="17726AE9">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104514">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208</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3CB5FBF">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社会保障和就业支出</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B750B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97.76</w:t>
            </w:r>
            <w:r>
              <w:rPr>
                <w:b/>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563D9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97.76</w:t>
            </w:r>
            <w:r>
              <w:rPr>
                <w:b/>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7FEED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ED0AC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F9B56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4C623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346BF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A3A28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43280598">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817771">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20805</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58A1B62">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行政事业单位养老支出</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80D70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97.76</w:t>
            </w:r>
            <w:r>
              <w:rPr>
                <w:b/>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8C1DB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97.76</w:t>
            </w:r>
            <w:r>
              <w:rPr>
                <w:b/>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C5539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9E700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3E5EB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29B51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FCAE9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11252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1E4AAB83">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5F9760">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2080505</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367B02B">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机关事业单位基本养老保险缴费支出</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20237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54.31</w:t>
            </w:r>
            <w:r>
              <w:rPr>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54154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54.31</w:t>
            </w:r>
            <w:r>
              <w:rPr>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056F39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EA20C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608E5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835C37">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08F75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939B2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1CD307B4">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41125F">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2080506</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EFE5974">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机关事业单位职业年金缴费支出</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40170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32.16</w:t>
            </w:r>
            <w:r>
              <w:rPr>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97593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32.16</w:t>
            </w:r>
            <w:r>
              <w:rPr>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4E912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4D3A0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E3A0C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AEB870">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1E3E8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13FD50">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286F1B39">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253A84">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2080599</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9C074E9">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其他行政事业单位养老支出</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328AF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11.28</w:t>
            </w:r>
            <w:r>
              <w:rPr>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FF829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11.28</w:t>
            </w:r>
            <w:r>
              <w:rPr>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21C75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5BC63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53F8C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94051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326FB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BC972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285FAC77">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32494A">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210</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6ADE71B">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卫生健康支出</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9E8454">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44.14</w:t>
            </w:r>
            <w:r>
              <w:rPr>
                <w:b/>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EEA0B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44.14</w:t>
            </w:r>
            <w:r>
              <w:rPr>
                <w:b/>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78C93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7CCA8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B255C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2E1CE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538E2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4CBFF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419BFF26">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24A6E8">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21011</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61730AE">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行政事业单位医疗</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8EC77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44.14</w:t>
            </w:r>
            <w:r>
              <w:rPr>
                <w:b/>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22F5B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44.14</w:t>
            </w:r>
            <w:r>
              <w:rPr>
                <w:b/>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FC6EF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FDFBC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7E696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F842D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AC189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C13C9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5D83D86F">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3FEDDB">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2101102</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32A7721">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事业单位医疗</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F79CA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27.36</w:t>
            </w:r>
            <w:r>
              <w:rPr>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21C9C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27.36</w:t>
            </w:r>
            <w:r>
              <w:rPr>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506DB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DE596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8A42C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8CDE4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58F42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EE7070">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21850ABD">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A8063F">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2101199</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2DD367D">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其他行政事业单位医疗支出</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50A5C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16.79</w:t>
            </w:r>
            <w:r>
              <w:rPr>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F471C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16.79</w:t>
            </w:r>
            <w:r>
              <w:rPr>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30DE6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EAEBF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3C077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3F17B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B735F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1E635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6AAC89C4">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EABF43">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212</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C9C08EF">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城乡社区支出</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85E76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100.00</w:t>
            </w:r>
            <w:r>
              <w:rPr>
                <w:b/>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DB43A4">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100.00</w:t>
            </w:r>
            <w:r>
              <w:rPr>
                <w:b/>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FB5FB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A6166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D7B464">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D7ECA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6DB544">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7A3C90">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3783309F">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426837">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21208</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661DC34">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国有土地使用权出让收入安排的支出</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7F68E7">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100.00</w:t>
            </w:r>
            <w:r>
              <w:rPr>
                <w:b/>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AF15B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100.00</w:t>
            </w:r>
            <w:r>
              <w:rPr>
                <w:b/>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AD961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17B71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E4A687">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5ECCF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516A1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D617A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7EAF7125">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F82384">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2120899</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E45F82B">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其他国有土地使用权出让收入安排的支出</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1A785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100.00</w:t>
            </w:r>
            <w:r>
              <w:rPr>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9F58C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100.00</w:t>
            </w:r>
            <w:r>
              <w:rPr>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84322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DD27C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94CFF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3657D4">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71A94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794F1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0B334E01">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394F28">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214</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8542BE2">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交通运输支出</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E835E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1,300.40</w:t>
            </w:r>
            <w:r>
              <w:rPr>
                <w:b/>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825EF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1,283.17</w:t>
            </w:r>
            <w:r>
              <w:rPr>
                <w:b/>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3DC21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4C7FA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125D67">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7C15D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7F263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F31F3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17.23</w:t>
            </w:r>
            <w:r>
              <w:rPr>
                <w:b/>
                <w:color w:val="000000"/>
                <w:sz w:val="20"/>
                <w:u w:color="auto"/>
              </w:rPr>
              <w:t xml:space="preserve"> </w:t>
            </w:r>
          </w:p>
        </w:tc>
      </w:tr>
      <w:tr w14:paraId="392E3812">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AC45B4">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21401</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3151195">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公路水路运输</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0A573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1,300.40</w:t>
            </w:r>
            <w:r>
              <w:rPr>
                <w:b/>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1F0F8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1,283.17</w:t>
            </w:r>
            <w:r>
              <w:rPr>
                <w:b/>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44D81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18949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4E444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2CC1C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90C91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D874E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17.23</w:t>
            </w:r>
            <w:r>
              <w:rPr>
                <w:b/>
                <w:color w:val="000000"/>
                <w:sz w:val="20"/>
                <w:u w:color="auto"/>
              </w:rPr>
              <w:t xml:space="preserve"> </w:t>
            </w:r>
          </w:p>
        </w:tc>
      </w:tr>
      <w:tr w14:paraId="7B323337">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076B4A">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2140106</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68E0387">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公路养护</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83C6C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60.00</w:t>
            </w:r>
            <w:r>
              <w:rPr>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96DC1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60.00</w:t>
            </w:r>
            <w:r>
              <w:rPr>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33A5E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7E5A8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D4AEC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CC240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D3CF3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DD04A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234D2279">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CDDDCC">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2140112</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5E36F92">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公路运输管理</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921F4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1,240.40</w:t>
            </w:r>
            <w:r>
              <w:rPr>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8D09A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1,223.17</w:t>
            </w:r>
            <w:r>
              <w:rPr>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2D5ED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529CB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47DFA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3F48C0">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CD0DC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6DD68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17.23</w:t>
            </w:r>
            <w:r>
              <w:rPr>
                <w:color w:val="000000"/>
                <w:sz w:val="20"/>
                <w:u w:color="auto"/>
              </w:rPr>
              <w:t xml:space="preserve"> </w:t>
            </w:r>
          </w:p>
        </w:tc>
      </w:tr>
      <w:tr w14:paraId="0372E1A9">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853EBF">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221</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1E6EBC2">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住房保障支出</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DA6CA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33.11</w:t>
            </w:r>
            <w:r>
              <w:rPr>
                <w:b/>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33EA20">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33.11</w:t>
            </w:r>
            <w:r>
              <w:rPr>
                <w:b/>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71AD2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72F8E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A8428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9E71B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EE975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97D1600">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72D6CA11">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055855">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22102</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5D8AAA5">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住房改革支出</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B3F88F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33.11</w:t>
            </w:r>
            <w:r>
              <w:rPr>
                <w:b/>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21A2D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33.11</w:t>
            </w:r>
            <w:r>
              <w:rPr>
                <w:b/>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0D14A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7AD08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A2CD2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B5FC0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1FDA3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F9608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322EC173">
        <w:tblPrEx>
          <w:tblCellMar>
            <w:top w:w="0" w:type="dxa"/>
            <w:left w:w="0" w:type="dxa"/>
            <w:bottom w:w="0" w:type="dxa"/>
            <w:right w:w="0" w:type="dxa"/>
          </w:tblCellMar>
        </w:tblPrEx>
        <w:trPr>
          <w:trHeight w:val="90" w:hRule="atLeast"/>
        </w:trPr>
        <w:tc>
          <w:tcPr>
            <w:tcW w:w="572"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781549">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2210201</w:t>
            </w:r>
          </w:p>
        </w:tc>
        <w:tc>
          <w:tcPr>
            <w:tcW w:w="123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97CF2F1">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住房公积金</w:t>
            </w:r>
          </w:p>
        </w:tc>
        <w:tc>
          <w:tcPr>
            <w:tcW w:w="31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7E7BE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33.11</w:t>
            </w:r>
            <w:r>
              <w:rPr>
                <w:color w:val="000000"/>
                <w:sz w:val="20"/>
                <w:u w:color="auto"/>
              </w:rPr>
              <w:t xml:space="preserve"> </w:t>
            </w:r>
          </w:p>
        </w:tc>
        <w:tc>
          <w:tcPr>
            <w:tcW w:w="32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17B2D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33.11</w:t>
            </w:r>
            <w:r>
              <w:rPr>
                <w:color w:val="000000"/>
                <w:sz w:val="20"/>
                <w:u w:color="auto"/>
              </w:rPr>
              <w:t xml:space="preserve"> </w:t>
            </w:r>
          </w:p>
        </w:tc>
        <w:tc>
          <w:tcPr>
            <w:tcW w:w="36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28EB5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9B36B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91FAF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EE7630">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BC593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48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FDA47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bl>
    <w:p w14:paraId="3BE73E76">
      <w:pPr>
        <w:keepNext w:val="0"/>
        <w:keepLines w:val="0"/>
        <w:pageBreakBefore w:val="0"/>
        <w:widowControl/>
        <w:kinsoku/>
        <w:overflowPunct/>
        <w:topLinePunct w:val="0"/>
        <w:autoSpaceDE/>
        <w:autoSpaceDN/>
        <w:bidi w:val="0"/>
        <w:adjustRightInd/>
        <w:snapToGrid/>
        <w:spacing w:line="240" w:lineRule="exact"/>
        <w:ind w:left="600" w:hanging="600" w:hangingChars="300"/>
        <w:rPr>
          <w:rFonts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p>
    <w:p w14:paraId="71D26F50">
      <w:pPr>
        <w:pStyle w:val="2"/>
        <w:keepNext w:val="0"/>
        <w:keepLines w:val="0"/>
        <w:pageBreakBefore w:val="0"/>
        <w:widowControl/>
        <w:kinsoku/>
        <w:overflowPunct/>
        <w:topLinePunct w:val="0"/>
        <w:autoSpaceDE/>
        <w:autoSpaceDN/>
        <w:bidi w:val="0"/>
        <w:adjustRightInd/>
        <w:snapToGrid/>
        <w:spacing w:line="240" w:lineRule="exact"/>
        <w:rPr>
          <w:rFonts w:cs="宋体"/>
          <w:sz w:val="20"/>
          <w:szCs w:val="20"/>
        </w:rPr>
      </w:pPr>
    </w:p>
    <w:p w14:paraId="5F64A988">
      <w:pPr>
        <w:pStyle w:val="2"/>
        <w:keepNext w:val="0"/>
        <w:keepLines w:val="0"/>
        <w:pageBreakBefore w:val="0"/>
        <w:widowControl/>
        <w:kinsoku/>
        <w:overflowPunct/>
        <w:topLinePunct w:val="0"/>
        <w:autoSpaceDE/>
        <w:autoSpaceDN/>
        <w:bidi w:val="0"/>
        <w:adjustRightInd/>
        <w:snapToGrid/>
        <w:spacing w:line="240" w:lineRule="exact"/>
        <w:rPr>
          <w:rFonts w:cs="宋体"/>
          <w:sz w:val="20"/>
          <w:szCs w:val="20"/>
        </w:rPr>
      </w:pPr>
    </w:p>
    <w:p w14:paraId="73248224">
      <w:pPr>
        <w:pStyle w:val="2"/>
        <w:keepNext w:val="0"/>
        <w:keepLines w:val="0"/>
        <w:pageBreakBefore w:val="0"/>
        <w:widowControl/>
        <w:kinsoku/>
        <w:overflowPunct/>
        <w:topLinePunct w:val="0"/>
        <w:autoSpaceDE/>
        <w:autoSpaceDN/>
        <w:bidi w:val="0"/>
        <w:adjustRightInd/>
        <w:snapToGrid/>
        <w:spacing w:line="240" w:lineRule="exact"/>
        <w:rPr>
          <w:rFonts w:cs="宋体"/>
          <w:sz w:val="20"/>
          <w:szCs w:val="20"/>
        </w:rPr>
      </w:pPr>
    </w:p>
    <w:p w14:paraId="45CA72BF">
      <w:pPr>
        <w:pStyle w:val="2"/>
        <w:rPr>
          <w:rFonts w:cs="宋体"/>
          <w:sz w:val="20"/>
          <w:szCs w:val="20"/>
        </w:rPr>
      </w:pPr>
    </w:p>
    <w:p w14:paraId="1F89DB53">
      <w:pPr>
        <w:pStyle w:val="2"/>
        <w:rPr>
          <w:rFonts w:cs="宋体"/>
          <w:sz w:val="20"/>
          <w:szCs w:val="20"/>
        </w:rPr>
      </w:pPr>
    </w:p>
    <w:p w14:paraId="0EFA2286">
      <w:pPr>
        <w:pStyle w:val="2"/>
        <w:rPr>
          <w:rFonts w:cs="宋体"/>
          <w:sz w:val="20"/>
          <w:szCs w:val="20"/>
        </w:rPr>
      </w:pPr>
    </w:p>
    <w:p w14:paraId="7D4995F5">
      <w:pPr>
        <w:pStyle w:val="2"/>
        <w:rPr>
          <w:rFonts w:cs="宋体"/>
          <w:sz w:val="20"/>
          <w:szCs w:val="20"/>
        </w:rPr>
      </w:pPr>
    </w:p>
    <w:p w14:paraId="52075697">
      <w:pPr>
        <w:pStyle w:val="2"/>
        <w:rPr>
          <w:rFonts w:cs="宋体"/>
          <w:sz w:val="20"/>
          <w:szCs w:val="20"/>
        </w:rPr>
      </w:pPr>
    </w:p>
    <w:tbl>
      <w:tblPr>
        <w:tblStyle w:val="8"/>
        <w:tblW w:w="4851" w:type="pct"/>
        <w:tblInd w:w="0" w:type="dxa"/>
        <w:tblLayout w:type="autofit"/>
        <w:tblCellMar>
          <w:top w:w="0" w:type="dxa"/>
          <w:left w:w="0" w:type="dxa"/>
          <w:bottom w:w="0" w:type="dxa"/>
          <w:right w:w="0" w:type="dxa"/>
        </w:tblCellMar>
      </w:tblPr>
      <w:tblGrid>
        <w:gridCol w:w="1661"/>
        <w:gridCol w:w="3631"/>
        <w:gridCol w:w="1596"/>
        <w:gridCol w:w="1585"/>
        <w:gridCol w:w="1585"/>
        <w:gridCol w:w="1576"/>
        <w:gridCol w:w="1576"/>
        <w:gridCol w:w="1710"/>
      </w:tblGrid>
      <w:tr w14:paraId="7BA97AB1">
        <w:tblPrEx>
          <w:tblCellMar>
            <w:top w:w="0" w:type="dxa"/>
            <w:left w:w="0" w:type="dxa"/>
            <w:bottom w:w="0" w:type="dxa"/>
            <w:right w:w="0" w:type="dxa"/>
          </w:tblCellMar>
        </w:tblPrEx>
        <w:trPr>
          <w:trHeight w:val="486" w:hRule="atLeast"/>
        </w:trPr>
        <w:tc>
          <w:tcPr>
            <w:tcW w:w="5000" w:type="pct"/>
            <w:gridSpan w:val="8"/>
            <w:tcBorders>
              <w:top w:val="nil"/>
              <w:left w:val="nil"/>
              <w:bottom w:val="nil"/>
              <w:right w:val="nil"/>
            </w:tcBorders>
            <w:shd w:val="clear" w:color="auto" w:fill="auto"/>
            <w:noWrap/>
            <w:tcMar>
              <w:top w:w="15" w:type="dxa"/>
              <w:left w:w="15" w:type="dxa"/>
              <w:right w:w="15" w:type="dxa"/>
            </w:tcMar>
            <w:vAlign w:val="bottom"/>
          </w:tcPr>
          <w:p w14:paraId="78D7FA61">
            <w:pPr>
              <w:keepNext w:val="0"/>
              <w:keepLines w:val="0"/>
              <w:pageBreakBefore w:val="0"/>
              <w:kinsoku/>
              <w:overflowPunct/>
              <w:topLinePunct w:val="0"/>
              <w:autoSpaceDN/>
              <w:bidi w:val="0"/>
              <w:adjustRightInd/>
              <w:spacing w:line="600" w:lineRule="exact"/>
              <w:jc w:val="center"/>
              <w:textAlignment w:val="bottom"/>
              <w:rPr>
                <w:rFonts w:hint="default" w:cs="宋体"/>
                <w:b/>
                <w:color w:val="000000"/>
                <w:sz w:val="32"/>
                <w:szCs w:val="32"/>
              </w:rPr>
            </w:pPr>
            <w:r>
              <w:rPr>
                <w:rFonts w:cs="宋体"/>
                <w:b/>
                <w:color w:val="000000"/>
                <w:sz w:val="32"/>
                <w:szCs w:val="32"/>
              </w:rPr>
              <w:t>支出决算表</w:t>
            </w:r>
          </w:p>
        </w:tc>
      </w:tr>
      <w:tr w14:paraId="7866B351">
        <w:tblPrEx>
          <w:tblCellMar>
            <w:top w:w="0" w:type="dxa"/>
            <w:left w:w="0" w:type="dxa"/>
            <w:bottom w:w="0" w:type="dxa"/>
            <w:right w:w="0" w:type="dxa"/>
          </w:tblCellMar>
        </w:tblPrEx>
        <w:trPr>
          <w:trHeight w:val="260" w:hRule="atLeast"/>
        </w:trPr>
        <w:tc>
          <w:tcPr>
            <w:tcW w:w="2309" w:type="pct"/>
            <w:gridSpan w:val="3"/>
            <w:vMerge w:val="restart"/>
            <w:tcBorders>
              <w:top w:val="nil"/>
              <w:left w:val="nil"/>
              <w:right w:val="nil"/>
            </w:tcBorders>
            <w:shd w:val="clear" w:color="auto" w:fill="auto"/>
            <w:noWrap/>
            <w:tcMar>
              <w:top w:w="15" w:type="dxa"/>
              <w:left w:w="15" w:type="dxa"/>
              <w:right w:w="15" w:type="dxa"/>
            </w:tcMar>
            <w:vAlign w:val="bottom"/>
          </w:tcPr>
          <w:p w14:paraId="1A6B7D34">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 xml:space="preserve">丰都县交通运输综合行政执法支队 </w:t>
            </w:r>
          </w:p>
        </w:tc>
        <w:tc>
          <w:tcPr>
            <w:tcW w:w="531" w:type="pct"/>
            <w:tcBorders>
              <w:top w:val="nil"/>
              <w:left w:val="nil"/>
              <w:bottom w:val="nil"/>
              <w:right w:val="nil"/>
            </w:tcBorders>
            <w:shd w:val="clear" w:color="auto" w:fill="auto"/>
            <w:noWrap/>
            <w:tcMar>
              <w:top w:w="15" w:type="dxa"/>
              <w:left w:w="15" w:type="dxa"/>
              <w:right w:w="15" w:type="dxa"/>
            </w:tcMar>
            <w:vAlign w:val="bottom"/>
          </w:tcPr>
          <w:p w14:paraId="681D6DFF">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531" w:type="pct"/>
            <w:tcBorders>
              <w:top w:val="nil"/>
              <w:left w:val="nil"/>
              <w:bottom w:val="nil"/>
              <w:right w:val="nil"/>
            </w:tcBorders>
            <w:shd w:val="clear" w:color="auto" w:fill="auto"/>
            <w:noWrap/>
            <w:tcMar>
              <w:top w:w="15" w:type="dxa"/>
              <w:left w:w="15" w:type="dxa"/>
              <w:right w:w="15" w:type="dxa"/>
            </w:tcMar>
            <w:vAlign w:val="bottom"/>
          </w:tcPr>
          <w:p w14:paraId="700EDB6B">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528" w:type="pct"/>
            <w:tcBorders>
              <w:top w:val="nil"/>
              <w:left w:val="nil"/>
              <w:bottom w:val="nil"/>
              <w:right w:val="nil"/>
            </w:tcBorders>
            <w:shd w:val="clear" w:color="auto" w:fill="auto"/>
            <w:noWrap/>
            <w:tcMar>
              <w:top w:w="15" w:type="dxa"/>
              <w:left w:w="15" w:type="dxa"/>
              <w:right w:w="15" w:type="dxa"/>
            </w:tcMar>
            <w:vAlign w:val="bottom"/>
          </w:tcPr>
          <w:p w14:paraId="0F87B0F9">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528" w:type="pct"/>
            <w:tcBorders>
              <w:top w:val="nil"/>
              <w:left w:val="nil"/>
              <w:bottom w:val="nil"/>
              <w:right w:val="nil"/>
            </w:tcBorders>
            <w:shd w:val="clear" w:color="auto" w:fill="auto"/>
            <w:noWrap/>
            <w:tcMar>
              <w:top w:w="15" w:type="dxa"/>
              <w:left w:w="15" w:type="dxa"/>
              <w:right w:w="15" w:type="dxa"/>
            </w:tcMar>
            <w:vAlign w:val="bottom"/>
          </w:tcPr>
          <w:p w14:paraId="2BBB61FD">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572" w:type="pct"/>
            <w:tcBorders>
              <w:top w:val="nil"/>
              <w:left w:val="nil"/>
              <w:bottom w:val="nil"/>
              <w:right w:val="nil"/>
            </w:tcBorders>
            <w:shd w:val="clear" w:color="auto" w:fill="auto"/>
            <w:noWrap/>
            <w:tcMar>
              <w:top w:w="15" w:type="dxa"/>
              <w:left w:w="15" w:type="dxa"/>
              <w:right w:w="15" w:type="dxa"/>
            </w:tcMar>
            <w:vAlign w:val="bottom"/>
          </w:tcPr>
          <w:p w14:paraId="751DD37F">
            <w:pPr>
              <w:keepNext w:val="0"/>
              <w:keepLines w:val="0"/>
              <w:pageBreakBefore w:val="0"/>
              <w:widowControl/>
              <w:kinsoku/>
              <w:overflowPunct/>
              <w:topLinePunct w:val="0"/>
              <w:autoSpaceDE/>
              <w:autoSpaceDN/>
              <w:bidi w:val="0"/>
              <w:adjustRightInd/>
              <w:snapToGrid/>
              <w:spacing w:line="240" w:lineRule="exact"/>
              <w:jc w:val="right"/>
              <w:textAlignment w:val="bottom"/>
              <w:rPr>
                <w:rFonts w:hint="default" w:cs="宋体"/>
                <w:color w:val="000000"/>
                <w:sz w:val="20"/>
                <w:szCs w:val="20"/>
              </w:rPr>
            </w:pPr>
            <w:r>
              <w:rPr>
                <w:rFonts w:cs="宋体"/>
                <w:color w:val="000000"/>
                <w:sz w:val="20"/>
                <w:szCs w:val="20"/>
              </w:rPr>
              <w:t>公开03表</w:t>
            </w:r>
          </w:p>
        </w:tc>
      </w:tr>
      <w:tr w14:paraId="2E289EA8">
        <w:tblPrEx>
          <w:tblCellMar>
            <w:top w:w="0" w:type="dxa"/>
            <w:left w:w="0" w:type="dxa"/>
            <w:bottom w:w="0" w:type="dxa"/>
            <w:right w:w="0" w:type="dxa"/>
          </w:tblCellMar>
        </w:tblPrEx>
        <w:trPr>
          <w:trHeight w:val="260" w:hRule="atLeast"/>
        </w:trPr>
        <w:tc>
          <w:tcPr>
            <w:tcW w:w="2309" w:type="pct"/>
            <w:gridSpan w:val="3"/>
            <w:vMerge w:val="continue"/>
            <w:tcBorders>
              <w:left w:val="nil"/>
              <w:bottom w:val="nil"/>
              <w:right w:val="nil"/>
            </w:tcBorders>
            <w:shd w:val="clear" w:color="auto" w:fill="auto"/>
            <w:noWrap/>
            <w:tcMar>
              <w:top w:w="15" w:type="dxa"/>
              <w:left w:w="15" w:type="dxa"/>
              <w:right w:w="15" w:type="dxa"/>
            </w:tcMar>
            <w:vAlign w:val="bottom"/>
          </w:tcPr>
          <w:p w14:paraId="2D6F1BEB">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531" w:type="pct"/>
            <w:tcBorders>
              <w:top w:val="nil"/>
              <w:left w:val="nil"/>
              <w:bottom w:val="nil"/>
              <w:right w:val="nil"/>
            </w:tcBorders>
            <w:shd w:val="clear" w:color="auto" w:fill="auto"/>
            <w:noWrap/>
            <w:tcMar>
              <w:top w:w="15" w:type="dxa"/>
              <w:left w:w="15" w:type="dxa"/>
              <w:right w:w="15" w:type="dxa"/>
            </w:tcMar>
            <w:vAlign w:val="bottom"/>
          </w:tcPr>
          <w:p w14:paraId="3E431FEA">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531" w:type="pct"/>
            <w:tcBorders>
              <w:top w:val="nil"/>
              <w:left w:val="nil"/>
              <w:bottom w:val="nil"/>
              <w:right w:val="nil"/>
            </w:tcBorders>
            <w:shd w:val="clear" w:color="auto" w:fill="auto"/>
            <w:noWrap/>
            <w:tcMar>
              <w:top w:w="15" w:type="dxa"/>
              <w:left w:w="15" w:type="dxa"/>
              <w:right w:w="15" w:type="dxa"/>
            </w:tcMar>
            <w:vAlign w:val="bottom"/>
          </w:tcPr>
          <w:p w14:paraId="6E616096">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528" w:type="pct"/>
            <w:tcBorders>
              <w:top w:val="nil"/>
              <w:left w:val="nil"/>
              <w:bottom w:val="nil"/>
              <w:right w:val="nil"/>
            </w:tcBorders>
            <w:shd w:val="clear" w:color="auto" w:fill="auto"/>
            <w:noWrap/>
            <w:tcMar>
              <w:top w:w="15" w:type="dxa"/>
              <w:left w:w="15" w:type="dxa"/>
              <w:right w:w="15" w:type="dxa"/>
            </w:tcMar>
            <w:vAlign w:val="bottom"/>
          </w:tcPr>
          <w:p w14:paraId="23878C9D">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528" w:type="pct"/>
            <w:tcBorders>
              <w:top w:val="nil"/>
              <w:left w:val="nil"/>
              <w:bottom w:val="nil"/>
              <w:right w:val="nil"/>
            </w:tcBorders>
            <w:shd w:val="clear" w:color="auto" w:fill="auto"/>
            <w:noWrap/>
            <w:tcMar>
              <w:top w:w="15" w:type="dxa"/>
              <w:left w:w="15" w:type="dxa"/>
              <w:right w:w="15" w:type="dxa"/>
            </w:tcMar>
            <w:vAlign w:val="bottom"/>
          </w:tcPr>
          <w:p w14:paraId="30DB8C9A">
            <w:pPr>
              <w:keepNext w:val="0"/>
              <w:keepLines w:val="0"/>
              <w:pageBreakBefore w:val="0"/>
              <w:widowControl/>
              <w:kinsoku/>
              <w:overflowPunct/>
              <w:topLinePunct w:val="0"/>
              <w:autoSpaceDE/>
              <w:autoSpaceDN/>
              <w:bidi w:val="0"/>
              <w:adjustRightInd/>
              <w:snapToGrid/>
              <w:spacing w:line="240" w:lineRule="exact"/>
              <w:rPr>
                <w:rFonts w:hint="default" w:cs="宋体"/>
                <w:color w:val="000000"/>
                <w:sz w:val="20"/>
                <w:szCs w:val="20"/>
              </w:rPr>
            </w:pPr>
          </w:p>
        </w:tc>
        <w:tc>
          <w:tcPr>
            <w:tcW w:w="572" w:type="pct"/>
            <w:tcBorders>
              <w:top w:val="nil"/>
              <w:left w:val="nil"/>
              <w:bottom w:val="nil"/>
              <w:right w:val="nil"/>
            </w:tcBorders>
            <w:shd w:val="clear" w:color="auto" w:fill="auto"/>
            <w:noWrap/>
            <w:tcMar>
              <w:top w:w="15" w:type="dxa"/>
              <w:left w:w="15" w:type="dxa"/>
              <w:right w:w="15" w:type="dxa"/>
            </w:tcMar>
            <w:vAlign w:val="bottom"/>
          </w:tcPr>
          <w:p w14:paraId="260B54F4">
            <w:pPr>
              <w:keepNext w:val="0"/>
              <w:keepLines w:val="0"/>
              <w:pageBreakBefore w:val="0"/>
              <w:widowControl/>
              <w:kinsoku/>
              <w:overflowPunct/>
              <w:topLinePunct w:val="0"/>
              <w:autoSpaceDE/>
              <w:autoSpaceDN/>
              <w:bidi w:val="0"/>
              <w:adjustRightInd/>
              <w:snapToGrid/>
              <w:spacing w:line="24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3EA884ED">
        <w:tblPrEx>
          <w:tblCellMar>
            <w:top w:w="0" w:type="dxa"/>
            <w:left w:w="0" w:type="dxa"/>
            <w:bottom w:w="0" w:type="dxa"/>
            <w:right w:w="0" w:type="dxa"/>
          </w:tblCellMar>
        </w:tblPrEx>
        <w:trPr>
          <w:trHeight w:val="312" w:hRule="atLeast"/>
        </w:trPr>
        <w:tc>
          <w:tcPr>
            <w:tcW w:w="1774" w:type="pct"/>
            <w:gridSpan w:val="2"/>
            <w:tcBorders>
              <w:top w:val="nil"/>
              <w:left w:val="single" w:color="000000" w:sz="4" w:space="0"/>
              <w:bottom w:val="single" w:color="000000" w:sz="4" w:space="0"/>
              <w:right w:val="nil"/>
            </w:tcBorders>
            <w:shd w:val="clear" w:color="FFFFFF" w:fill="C0C0C0"/>
            <w:noWrap/>
            <w:tcMar>
              <w:top w:w="15" w:type="dxa"/>
              <w:left w:w="15" w:type="dxa"/>
              <w:right w:w="15" w:type="dxa"/>
            </w:tcMar>
            <w:vAlign w:val="center"/>
          </w:tcPr>
          <w:p w14:paraId="0A25A972">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r>
              <w:rPr>
                <w:rFonts w:cs="宋体"/>
                <w:b/>
                <w:color w:val="000000"/>
                <w:sz w:val="20"/>
                <w:szCs w:val="20"/>
              </w:rPr>
              <w:t>项目</w:t>
            </w:r>
          </w:p>
        </w:tc>
        <w:tc>
          <w:tcPr>
            <w:tcW w:w="534" w:type="pct"/>
            <w:vMerge w:val="restart"/>
            <w:tcBorders>
              <w:top w:val="single" w:color="000000" w:sz="4" w:space="0"/>
              <w:left w:val="single" w:color="000000" w:sz="4" w:space="0"/>
              <w:right w:val="single" w:color="000000" w:sz="4" w:space="0"/>
            </w:tcBorders>
            <w:shd w:val="clear" w:color="FFFFFF" w:fill="C0C0C0"/>
            <w:tcMar>
              <w:top w:w="15" w:type="dxa"/>
              <w:left w:w="15" w:type="dxa"/>
              <w:right w:w="15" w:type="dxa"/>
            </w:tcMar>
            <w:vAlign w:val="center"/>
          </w:tcPr>
          <w:p w14:paraId="2D1BC4D8">
            <w:pPr>
              <w:keepNext w:val="0"/>
              <w:keepLines w:val="0"/>
              <w:pageBreakBefore w:val="0"/>
              <w:widowControl/>
              <w:kinsoku/>
              <w:overflowPunct/>
              <w:topLinePunct w:val="0"/>
              <w:autoSpaceDE/>
              <w:autoSpaceDN/>
              <w:bidi w:val="0"/>
              <w:adjustRightInd/>
              <w:snapToGrid/>
              <w:spacing w:line="240" w:lineRule="exact"/>
              <w:jc w:val="center"/>
              <w:textAlignment w:val="center"/>
              <w:rPr>
                <w:rFonts w:hint="default" w:ascii="宋体" w:hAnsi="宋体" w:eastAsia="宋体" w:cs="宋体"/>
                <w:b/>
                <w:color w:val="000000"/>
                <w:sz w:val="20"/>
                <w:szCs w:val="20"/>
                <w:lang w:val="en-US" w:eastAsia="zh-CN" w:bidi="ar-SA"/>
              </w:rPr>
            </w:pPr>
            <w:r>
              <w:rPr>
                <w:rFonts w:cs="宋体"/>
                <w:b/>
                <w:color w:val="000000"/>
                <w:sz w:val="20"/>
                <w:szCs w:val="20"/>
              </w:rPr>
              <w:t>本年支出合计</w:t>
            </w:r>
          </w:p>
        </w:tc>
        <w:tc>
          <w:tcPr>
            <w:tcW w:w="531" w:type="pct"/>
            <w:vMerge w:val="restart"/>
            <w:tcBorders>
              <w:top w:val="single" w:color="000000" w:sz="4" w:space="0"/>
              <w:left w:val="single" w:color="000000" w:sz="4" w:space="0"/>
              <w:right w:val="single" w:color="000000" w:sz="4" w:space="0"/>
            </w:tcBorders>
            <w:shd w:val="clear" w:color="FFFFFF" w:fill="C0C0C0"/>
            <w:tcMar>
              <w:top w:w="15" w:type="dxa"/>
              <w:left w:w="15" w:type="dxa"/>
              <w:right w:w="15" w:type="dxa"/>
            </w:tcMar>
            <w:vAlign w:val="center"/>
          </w:tcPr>
          <w:p w14:paraId="4C9AF53C">
            <w:pPr>
              <w:keepNext w:val="0"/>
              <w:keepLines w:val="0"/>
              <w:pageBreakBefore w:val="0"/>
              <w:widowControl/>
              <w:kinsoku/>
              <w:overflowPunct/>
              <w:topLinePunct w:val="0"/>
              <w:autoSpaceDE/>
              <w:autoSpaceDN/>
              <w:bidi w:val="0"/>
              <w:adjustRightInd/>
              <w:snapToGrid/>
              <w:spacing w:line="240" w:lineRule="exact"/>
              <w:jc w:val="center"/>
              <w:textAlignment w:val="center"/>
              <w:rPr>
                <w:rFonts w:hint="default" w:ascii="宋体" w:hAnsi="宋体" w:eastAsia="宋体" w:cs="宋体"/>
                <w:b/>
                <w:color w:val="000000"/>
                <w:sz w:val="20"/>
                <w:szCs w:val="20"/>
                <w:lang w:val="en-US" w:eastAsia="zh-CN" w:bidi="ar-SA"/>
              </w:rPr>
            </w:pPr>
            <w:r>
              <w:rPr>
                <w:rFonts w:cs="宋体"/>
                <w:b/>
                <w:color w:val="000000"/>
                <w:sz w:val="20"/>
                <w:szCs w:val="20"/>
              </w:rPr>
              <w:t>基本支出</w:t>
            </w:r>
          </w:p>
        </w:tc>
        <w:tc>
          <w:tcPr>
            <w:tcW w:w="531" w:type="pct"/>
            <w:vMerge w:val="restart"/>
            <w:tcBorders>
              <w:top w:val="single" w:color="000000" w:sz="4" w:space="0"/>
              <w:left w:val="single" w:color="000000" w:sz="4" w:space="0"/>
              <w:right w:val="single" w:color="000000" w:sz="4" w:space="0"/>
            </w:tcBorders>
            <w:shd w:val="clear" w:color="FFFFFF" w:fill="C0C0C0"/>
            <w:tcMar>
              <w:top w:w="15" w:type="dxa"/>
              <w:left w:w="15" w:type="dxa"/>
              <w:right w:w="15" w:type="dxa"/>
            </w:tcMar>
            <w:vAlign w:val="center"/>
          </w:tcPr>
          <w:p w14:paraId="59D22106">
            <w:pPr>
              <w:keepNext w:val="0"/>
              <w:keepLines w:val="0"/>
              <w:pageBreakBefore w:val="0"/>
              <w:widowControl/>
              <w:kinsoku/>
              <w:overflowPunct/>
              <w:topLinePunct w:val="0"/>
              <w:autoSpaceDE/>
              <w:autoSpaceDN/>
              <w:bidi w:val="0"/>
              <w:adjustRightInd/>
              <w:snapToGrid/>
              <w:spacing w:line="240" w:lineRule="exact"/>
              <w:jc w:val="center"/>
              <w:textAlignment w:val="center"/>
              <w:rPr>
                <w:rFonts w:hint="default" w:ascii="宋体" w:hAnsi="宋体" w:eastAsia="宋体" w:cs="宋体"/>
                <w:b/>
                <w:color w:val="000000"/>
                <w:sz w:val="20"/>
                <w:szCs w:val="20"/>
                <w:lang w:val="en-US" w:eastAsia="zh-CN" w:bidi="ar-SA"/>
              </w:rPr>
            </w:pPr>
            <w:r>
              <w:rPr>
                <w:rFonts w:cs="宋体"/>
                <w:b/>
                <w:color w:val="000000"/>
                <w:sz w:val="20"/>
                <w:szCs w:val="20"/>
              </w:rPr>
              <w:t>项目支出</w:t>
            </w:r>
          </w:p>
        </w:tc>
        <w:tc>
          <w:tcPr>
            <w:tcW w:w="528" w:type="pct"/>
            <w:vMerge w:val="restart"/>
            <w:tcBorders>
              <w:top w:val="single" w:color="000000" w:sz="4" w:space="0"/>
              <w:left w:val="single" w:color="000000" w:sz="4" w:space="0"/>
              <w:right w:val="single" w:color="000000" w:sz="4" w:space="0"/>
            </w:tcBorders>
            <w:shd w:val="clear" w:color="FFFFFF" w:fill="C0C0C0"/>
            <w:tcMar>
              <w:top w:w="15" w:type="dxa"/>
              <w:left w:w="15" w:type="dxa"/>
              <w:right w:w="15" w:type="dxa"/>
            </w:tcMar>
            <w:vAlign w:val="center"/>
          </w:tcPr>
          <w:p w14:paraId="49B25ED3">
            <w:pPr>
              <w:keepNext w:val="0"/>
              <w:keepLines w:val="0"/>
              <w:pageBreakBefore w:val="0"/>
              <w:widowControl/>
              <w:kinsoku/>
              <w:overflowPunct/>
              <w:topLinePunct w:val="0"/>
              <w:autoSpaceDE/>
              <w:autoSpaceDN/>
              <w:bidi w:val="0"/>
              <w:adjustRightInd/>
              <w:snapToGrid/>
              <w:spacing w:line="240" w:lineRule="exact"/>
              <w:jc w:val="center"/>
              <w:textAlignment w:val="center"/>
              <w:rPr>
                <w:rFonts w:hint="default" w:ascii="宋体" w:hAnsi="宋体" w:eastAsia="宋体" w:cs="宋体"/>
                <w:b/>
                <w:color w:val="000000"/>
                <w:sz w:val="20"/>
                <w:szCs w:val="20"/>
                <w:lang w:val="en-US" w:eastAsia="zh-CN" w:bidi="ar-SA"/>
              </w:rPr>
            </w:pPr>
            <w:r>
              <w:rPr>
                <w:rFonts w:cs="宋体"/>
                <w:b/>
                <w:color w:val="000000"/>
                <w:sz w:val="20"/>
                <w:szCs w:val="20"/>
              </w:rPr>
              <w:t>上缴上级支出</w:t>
            </w:r>
          </w:p>
        </w:tc>
        <w:tc>
          <w:tcPr>
            <w:tcW w:w="528" w:type="pct"/>
            <w:vMerge w:val="restart"/>
            <w:tcBorders>
              <w:top w:val="single" w:color="000000" w:sz="4" w:space="0"/>
              <w:left w:val="single" w:color="000000" w:sz="4" w:space="0"/>
              <w:right w:val="single" w:color="000000" w:sz="4" w:space="0"/>
            </w:tcBorders>
            <w:shd w:val="clear" w:color="FFFFFF" w:fill="C0C0C0"/>
            <w:tcMar>
              <w:top w:w="15" w:type="dxa"/>
              <w:left w:w="15" w:type="dxa"/>
              <w:right w:w="15" w:type="dxa"/>
            </w:tcMar>
            <w:vAlign w:val="center"/>
          </w:tcPr>
          <w:p w14:paraId="2D46F0CB">
            <w:pPr>
              <w:keepNext w:val="0"/>
              <w:keepLines w:val="0"/>
              <w:pageBreakBefore w:val="0"/>
              <w:widowControl/>
              <w:kinsoku/>
              <w:overflowPunct/>
              <w:topLinePunct w:val="0"/>
              <w:autoSpaceDE/>
              <w:autoSpaceDN/>
              <w:bidi w:val="0"/>
              <w:adjustRightInd/>
              <w:snapToGrid/>
              <w:spacing w:line="240" w:lineRule="exact"/>
              <w:jc w:val="center"/>
              <w:textAlignment w:val="center"/>
              <w:rPr>
                <w:rFonts w:hint="default" w:ascii="宋体" w:hAnsi="宋体" w:eastAsia="宋体" w:cs="宋体"/>
                <w:b/>
                <w:color w:val="000000"/>
                <w:sz w:val="20"/>
                <w:szCs w:val="20"/>
                <w:lang w:val="en-US" w:eastAsia="zh-CN" w:bidi="ar-SA"/>
              </w:rPr>
            </w:pPr>
            <w:r>
              <w:rPr>
                <w:rFonts w:cs="宋体"/>
                <w:b/>
                <w:color w:val="000000"/>
                <w:sz w:val="20"/>
                <w:szCs w:val="20"/>
              </w:rPr>
              <w:t>经营支出</w:t>
            </w:r>
          </w:p>
        </w:tc>
        <w:tc>
          <w:tcPr>
            <w:tcW w:w="572" w:type="pct"/>
            <w:vMerge w:val="restart"/>
            <w:tcBorders>
              <w:top w:val="single" w:color="000000" w:sz="4" w:space="0"/>
              <w:left w:val="single" w:color="000000" w:sz="4" w:space="0"/>
              <w:right w:val="single" w:color="000000" w:sz="4" w:space="0"/>
            </w:tcBorders>
            <w:shd w:val="clear" w:color="FFFFFF" w:fill="C0C0C0"/>
            <w:tcMar>
              <w:top w:w="15" w:type="dxa"/>
              <w:left w:w="15" w:type="dxa"/>
              <w:right w:w="15" w:type="dxa"/>
            </w:tcMar>
            <w:vAlign w:val="center"/>
          </w:tcPr>
          <w:p w14:paraId="051FA593">
            <w:pPr>
              <w:keepNext w:val="0"/>
              <w:keepLines w:val="0"/>
              <w:pageBreakBefore w:val="0"/>
              <w:widowControl/>
              <w:kinsoku/>
              <w:overflowPunct/>
              <w:topLinePunct w:val="0"/>
              <w:autoSpaceDE/>
              <w:autoSpaceDN/>
              <w:bidi w:val="0"/>
              <w:adjustRightInd/>
              <w:snapToGrid/>
              <w:spacing w:line="240" w:lineRule="exact"/>
              <w:jc w:val="center"/>
              <w:textAlignment w:val="center"/>
              <w:rPr>
                <w:rFonts w:hint="default" w:ascii="宋体" w:hAnsi="宋体" w:eastAsia="宋体" w:cs="宋体"/>
                <w:b/>
                <w:color w:val="000000"/>
                <w:sz w:val="20"/>
                <w:szCs w:val="20"/>
                <w:lang w:val="en-US" w:eastAsia="zh-CN" w:bidi="ar-SA"/>
              </w:rPr>
            </w:pPr>
            <w:r>
              <w:rPr>
                <w:rFonts w:cs="宋体"/>
                <w:b/>
                <w:color w:val="000000"/>
                <w:sz w:val="20"/>
                <w:szCs w:val="20"/>
              </w:rPr>
              <w:t>对附属单位补助支出</w:t>
            </w:r>
          </w:p>
        </w:tc>
      </w:tr>
      <w:tr w14:paraId="7C927679">
        <w:tblPrEx>
          <w:tblCellMar>
            <w:top w:w="0" w:type="dxa"/>
            <w:left w:w="0" w:type="dxa"/>
            <w:bottom w:w="0" w:type="dxa"/>
            <w:right w:w="0" w:type="dxa"/>
          </w:tblCellMar>
        </w:tblPrEx>
        <w:trPr>
          <w:trHeight w:val="312" w:hRule="atLeast"/>
        </w:trPr>
        <w:tc>
          <w:tcPr>
            <w:tcW w:w="557" w:type="pct"/>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6885138">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r>
              <w:rPr>
                <w:rFonts w:cs="宋体"/>
                <w:b/>
                <w:color w:val="000000"/>
                <w:sz w:val="20"/>
                <w:szCs w:val="20"/>
              </w:rPr>
              <w:t>功能分类科目编码</w:t>
            </w:r>
          </w:p>
        </w:tc>
        <w:tc>
          <w:tcPr>
            <w:tcW w:w="1216" w:type="pct"/>
            <w:tcBorders>
              <w:top w:val="nil"/>
              <w:left w:val="nil"/>
              <w:bottom w:val="single" w:color="000000" w:sz="4" w:space="0"/>
              <w:right w:val="nil"/>
            </w:tcBorders>
            <w:shd w:val="clear" w:color="FFFFFF" w:fill="C0C0C0"/>
            <w:noWrap/>
            <w:tcMar>
              <w:top w:w="15" w:type="dxa"/>
              <w:left w:w="15" w:type="dxa"/>
              <w:right w:w="15" w:type="dxa"/>
            </w:tcMar>
            <w:vAlign w:val="center"/>
          </w:tcPr>
          <w:p w14:paraId="1D430AA4">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r>
              <w:rPr>
                <w:rFonts w:cs="宋体"/>
                <w:b/>
                <w:color w:val="000000"/>
                <w:sz w:val="20"/>
                <w:szCs w:val="20"/>
              </w:rPr>
              <w:t>项目（按“项”级功能分类科目）</w:t>
            </w:r>
          </w:p>
        </w:tc>
        <w:tc>
          <w:tcPr>
            <w:tcW w:w="534" w:type="pct"/>
            <w:vMerge w:val="continue"/>
            <w:tcBorders>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9BB86BB">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531" w:type="pct"/>
            <w:vMerge w:val="continue"/>
            <w:tcBorders>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5DBF2BD3">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531" w:type="pct"/>
            <w:vMerge w:val="continue"/>
            <w:tcBorders>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609496C7">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528" w:type="pct"/>
            <w:vMerge w:val="continue"/>
            <w:tcBorders>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4E0ED4DB">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528" w:type="pct"/>
            <w:vMerge w:val="continue"/>
            <w:tcBorders>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15A01D28">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c>
          <w:tcPr>
            <w:tcW w:w="572" w:type="pct"/>
            <w:vMerge w:val="continue"/>
            <w:tcBorders>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78511E05">
            <w:pPr>
              <w:keepNext w:val="0"/>
              <w:keepLines w:val="0"/>
              <w:pageBreakBefore w:val="0"/>
              <w:widowControl/>
              <w:kinsoku/>
              <w:overflowPunct/>
              <w:topLinePunct w:val="0"/>
              <w:autoSpaceDE/>
              <w:autoSpaceDN/>
              <w:bidi w:val="0"/>
              <w:adjustRightInd/>
              <w:snapToGrid/>
              <w:spacing w:line="240" w:lineRule="exact"/>
              <w:jc w:val="center"/>
              <w:rPr>
                <w:rFonts w:hint="default" w:cs="宋体"/>
                <w:b/>
                <w:color w:val="000000"/>
                <w:sz w:val="20"/>
                <w:szCs w:val="20"/>
              </w:rPr>
            </w:pPr>
          </w:p>
        </w:tc>
      </w:tr>
      <w:tr w14:paraId="4EE1DB89">
        <w:tblPrEx>
          <w:tblCellMar>
            <w:top w:w="0" w:type="dxa"/>
            <w:left w:w="0" w:type="dxa"/>
            <w:bottom w:w="0" w:type="dxa"/>
            <w:right w:w="0" w:type="dxa"/>
          </w:tblCellMar>
        </w:tblPrEx>
        <w:trPr>
          <w:trHeight w:val="282" w:hRule="atLeast"/>
        </w:trPr>
        <w:tc>
          <w:tcPr>
            <w:tcW w:w="1774" w:type="pct"/>
            <w:gridSpan w:val="2"/>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63AB12B">
            <w:pPr>
              <w:keepNext w:val="0"/>
              <w:keepLines w:val="0"/>
              <w:pageBreakBefore w:val="0"/>
              <w:widowControl/>
              <w:kinsoku/>
              <w:overflowPunct/>
              <w:topLinePunct w:val="0"/>
              <w:autoSpaceDE/>
              <w:autoSpaceDN/>
              <w:bidi w:val="0"/>
              <w:adjustRightInd/>
              <w:snapToGrid/>
              <w:spacing w:line="240" w:lineRule="exact"/>
              <w:jc w:val="center"/>
              <w:textAlignment w:val="center"/>
              <w:rPr>
                <w:rFonts w:hint="default" w:cs="宋体"/>
                <w:b/>
                <w:color w:val="000000"/>
                <w:sz w:val="20"/>
                <w:szCs w:val="20"/>
              </w:rPr>
            </w:pPr>
            <w:r>
              <w:rPr>
                <w:rFonts w:cs="宋体"/>
                <w:b/>
                <w:color w:val="000000"/>
                <w:sz w:val="20"/>
                <w:szCs w:val="20"/>
              </w:rPr>
              <w:t>合计</w:t>
            </w:r>
          </w:p>
        </w:tc>
        <w:tc>
          <w:tcPr>
            <w:tcW w:w="53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AE3CC9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rFonts w:cs="宋体"/>
                <w:b/>
                <w:bCs/>
                <w:color w:val="000000"/>
                <w:sz w:val="20"/>
                <w:szCs w:val="20"/>
              </w:rPr>
              <w:t>1,835.37</w:t>
            </w:r>
            <w:r>
              <w:rPr>
                <w:b/>
                <w:color w:val="000000"/>
                <w:sz w:val="20"/>
                <w:u w:color="auto"/>
              </w:rPr>
              <w:t xml:space="preserve"> </w:t>
            </w:r>
          </w:p>
        </w:tc>
        <w:tc>
          <w:tcPr>
            <w:tcW w:w="53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60EF9C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rFonts w:cs="宋体"/>
                <w:b/>
                <w:bCs/>
                <w:color w:val="000000"/>
                <w:sz w:val="20"/>
                <w:szCs w:val="20"/>
              </w:rPr>
              <w:t>1,288.85</w:t>
            </w:r>
            <w:r>
              <w:rPr>
                <w:b/>
                <w:color w:val="000000"/>
                <w:sz w:val="20"/>
                <w:u w:color="auto"/>
              </w:rPr>
              <w:t xml:space="preserve"> </w:t>
            </w:r>
          </w:p>
        </w:tc>
        <w:tc>
          <w:tcPr>
            <w:tcW w:w="531"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E9C7E6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rFonts w:cs="宋体"/>
                <w:b/>
                <w:bCs/>
                <w:color w:val="000000"/>
                <w:sz w:val="20"/>
                <w:szCs w:val="20"/>
              </w:rPr>
              <w:t>546.53</w:t>
            </w:r>
            <w:r>
              <w:rPr>
                <w:b/>
                <w:color w:val="000000"/>
                <w:sz w:val="20"/>
                <w:u w:color="auto"/>
              </w:rPr>
              <w:t xml:space="preserve"> </w:t>
            </w:r>
          </w:p>
        </w:tc>
        <w:tc>
          <w:tcPr>
            <w:tcW w:w="5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1D1A6C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b/>
                <w:color w:val="000000"/>
                <w:sz w:val="20"/>
                <w:u w:color="auto"/>
              </w:rPr>
              <w:t xml:space="preserve"> </w:t>
            </w:r>
          </w:p>
        </w:tc>
        <w:tc>
          <w:tcPr>
            <w:tcW w:w="528"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82D855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b/>
                <w:color w:val="000000"/>
                <w:sz w:val="20"/>
                <w:u w:color="auto"/>
              </w:rPr>
              <w:t xml:space="preserve"> </w:t>
            </w:r>
          </w:p>
        </w:tc>
        <w:tc>
          <w:tcPr>
            <w:tcW w:w="572"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CE98E5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b/>
                <w:color w:val="000000"/>
                <w:sz w:val="20"/>
                <w:szCs w:val="20"/>
              </w:rPr>
            </w:pPr>
            <w:r>
              <w:rPr>
                <w:b/>
                <w:color w:val="000000"/>
                <w:sz w:val="20"/>
                <w:u w:color="auto"/>
              </w:rPr>
              <w:t xml:space="preserve"> </w:t>
            </w:r>
          </w:p>
        </w:tc>
      </w:tr>
      <w:tr w14:paraId="50D501C4">
        <w:tblPrEx>
          <w:tblCellMar>
            <w:top w:w="0" w:type="dxa"/>
            <w:left w:w="0" w:type="dxa"/>
            <w:bottom w:w="0" w:type="dxa"/>
            <w:right w:w="0" w:type="dxa"/>
          </w:tblCellMar>
        </w:tblPrEx>
        <w:trPr>
          <w:trHeight w:val="371"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F14212">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208</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965E550">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社会保障和就业支出</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F471F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97.76</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B5767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97.76</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C2A21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7988F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E9713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DD4DC4">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6EAF73BA">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B9A08A">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20805</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308822F">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行政事业单位养老支出</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B041E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97.76</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E54D7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97.76</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2EF19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B9CED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8905F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90FFF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6BE82E3F">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BCBD01">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2080505</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CB54EED">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机关事业单位基本养老保险缴费支出</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20E24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54.31</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6A723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54.31</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A2543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B6B58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33037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69D097">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276DA315">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8F3E1B">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2080506</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FA0D444">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机关事业单位职业年金缴费支出</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40A2D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32.16</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D1F98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32.16</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BE7944">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C0E73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1C8D0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148D77">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598E13DD">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AC310A">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2080599</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11D4A4A">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其他行政事业单位养老支出</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EFBFF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11.28</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17BA2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11.28</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85E09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1AF27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E14580">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AA64AE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2F861CBA">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6C3C06">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210</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19E5231">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卫生健康支出</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42FC60">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44.14</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2E3F1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44.14</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144A3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B7B4B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C88D0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71837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7F00E459">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325231">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21011</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800EC30">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行政事业单位医疗</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C7065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44.14</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72CB5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44.14</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E13A7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572CE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F0193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496DA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1016C738">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FCE776">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2101102</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23D0B42">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事业单位医疗</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7CD517">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27.36</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021C4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27.36</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66E44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F2F7F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2E63A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2966A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51FD8802">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C8710E">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2101199</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78736EB">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其他行政事业单位医疗支出</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93BCF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16.79</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97039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16.79</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6C5DA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290B6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37BF17">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43251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79C4FE78">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FE1174">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212</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BFA4558">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城乡社区支出</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F6A61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100.00</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FCB76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99760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100.00</w:t>
            </w:r>
            <w:r>
              <w:rPr>
                <w:b/>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C047B7">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C6F25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BC4CA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4E3DC413">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BCD36C">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21208</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F94CDF2">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国有土地使用权出让收入安排的支出</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324B0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100.00</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F8E73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DC3E26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100.00</w:t>
            </w:r>
            <w:r>
              <w:rPr>
                <w:b/>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E3CC94">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59568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9DE59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0222CF15">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FDB0D6">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2120899</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BB41A79">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其他国有土地使用权出让收入安排的支出</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5E5B87">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100.00</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73A50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BB8A5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100.00</w:t>
            </w: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5D5E8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CC4447">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726910">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48CF1CA2">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B59EA7">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214</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280B0AB">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交通运输支出</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EC928E7">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1,560.37</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BC08E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1,113.84</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8033D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446.53</w:t>
            </w:r>
            <w:r>
              <w:rPr>
                <w:b/>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BEC47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59C67D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A3C354">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386FA18B">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5CFC87">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21401</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9BF7AC6">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公路水路运输</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5ED55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1,560.37</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B2503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1,113.84</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56473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446.53</w:t>
            </w:r>
            <w:r>
              <w:rPr>
                <w:b/>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7FA42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9C8A3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FFDA1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0878C034">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92C094">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2140106</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69413CF">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公路养护</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0C870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60.00</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CE89B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92EEC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60.00</w:t>
            </w: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12323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342BD4">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4CA4D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1BA4C77C">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D4B8D1">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2140110</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335AB83">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公路和运输安全</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0B3AB1">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67.93</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D43C1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382677">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67.93</w:t>
            </w: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182C69">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F8029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4077A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59342049">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CF8F72">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2140112</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FD427BC">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公路运输管理</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BCAA2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1,432.43</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12579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1,113.84</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11CAA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318.59</w:t>
            </w: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A5C1E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81A82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7C528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62991837">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46249A">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221</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DF36321">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住房保障支出</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F1794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33.11</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54704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33.11</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42E03E">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CA66E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E32ED0">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0EF9FB">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61B786B9">
        <w:tblPrEx>
          <w:tblCellMar>
            <w:top w:w="0" w:type="dxa"/>
            <w:left w:w="0" w:type="dxa"/>
            <w:bottom w:w="0" w:type="dxa"/>
            <w:right w:w="0" w:type="dxa"/>
          </w:tblCellMar>
        </w:tblPrEx>
        <w:trPr>
          <w:trHeight w:val="296"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792DCC">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22102</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31D8266">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b/>
                <w:color w:val="000000"/>
                <w:sz w:val="20"/>
                <w:szCs w:val="20"/>
              </w:rPr>
              <w:t>住房改革支出</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D36F76">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33.11</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BBA07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b/>
                <w:color w:val="000000"/>
                <w:sz w:val="20"/>
                <w:szCs w:val="20"/>
              </w:rPr>
              <w:t>33.11</w:t>
            </w:r>
            <w:r>
              <w:rPr>
                <w:b/>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B328AF">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64C478">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6DC3463">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5A059D">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r w14:paraId="56DD7029">
        <w:tblPrEx>
          <w:tblCellMar>
            <w:top w:w="0" w:type="dxa"/>
            <w:left w:w="0" w:type="dxa"/>
            <w:bottom w:w="0" w:type="dxa"/>
            <w:right w:w="0" w:type="dxa"/>
          </w:tblCellMar>
        </w:tblPrEx>
        <w:trPr>
          <w:trHeight w:val="303" w:hRule="atLeast"/>
        </w:trPr>
        <w:tc>
          <w:tcPr>
            <w:tcW w:w="557"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6B1189">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2210201</w:t>
            </w:r>
          </w:p>
        </w:tc>
        <w:tc>
          <w:tcPr>
            <w:tcW w:w="121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FB3A7BE">
            <w:pPr>
              <w:keepNext w:val="0"/>
              <w:keepLines w:val="0"/>
              <w:pageBreakBefore w:val="0"/>
              <w:widowControl/>
              <w:kinsoku/>
              <w:overflowPunct/>
              <w:topLinePunct w:val="0"/>
              <w:autoSpaceDE/>
              <w:autoSpaceDN/>
              <w:bidi w:val="0"/>
              <w:adjustRightInd/>
              <w:snapToGrid/>
              <w:spacing w:line="240" w:lineRule="exact"/>
              <w:textAlignment w:val="center"/>
              <w:rPr>
                <w:rFonts w:hint="default" w:cs="宋体"/>
                <w:color w:val="000000"/>
                <w:sz w:val="20"/>
                <w:szCs w:val="20"/>
              </w:rPr>
            </w:pPr>
            <w:r>
              <w:rPr>
                <w:rFonts w:cs="宋体"/>
                <w:color w:val="000000"/>
                <w:sz w:val="20"/>
                <w:szCs w:val="20"/>
              </w:rPr>
              <w:t>住房公积金</w:t>
            </w:r>
          </w:p>
        </w:tc>
        <w:tc>
          <w:tcPr>
            <w:tcW w:w="53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477124">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33.11</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B3107C">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rFonts w:cs="宋体"/>
                <w:color w:val="000000"/>
                <w:sz w:val="20"/>
                <w:szCs w:val="20"/>
              </w:rPr>
              <w:t>33.11</w:t>
            </w:r>
            <w:r>
              <w:rPr>
                <w:color w:val="000000"/>
                <w:sz w:val="20"/>
                <w:u w:color="auto"/>
              </w:rPr>
              <w:t xml:space="preserve"> </w:t>
            </w:r>
          </w:p>
        </w:tc>
        <w:tc>
          <w:tcPr>
            <w:tcW w:w="53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47BF15">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B7D7B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70A692">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6FED9A">
            <w:pPr>
              <w:keepNext w:val="0"/>
              <w:keepLines w:val="0"/>
              <w:pageBreakBefore w:val="0"/>
              <w:widowControl/>
              <w:kinsoku/>
              <w:wordWrap w:val="0"/>
              <w:overflowPunct/>
              <w:topLinePunct w:val="0"/>
              <w:autoSpaceDE/>
              <w:autoSpaceDN/>
              <w:bidi w:val="0"/>
              <w:adjustRightInd/>
              <w:snapToGrid/>
              <w:spacing w:line="240" w:lineRule="exact"/>
              <w:jc w:val="right"/>
              <w:textAlignment w:val="center"/>
              <w:rPr>
                <w:rFonts w:hint="default" w:cs="宋体"/>
                <w:color w:val="000000"/>
                <w:sz w:val="20"/>
                <w:szCs w:val="20"/>
              </w:rPr>
            </w:pPr>
            <w:r>
              <w:rPr>
                <w:color w:val="000000"/>
                <w:sz w:val="20"/>
                <w:u w:color="auto"/>
              </w:rPr>
              <w:t xml:space="preserve"> </w:t>
            </w:r>
          </w:p>
        </w:tc>
      </w:tr>
    </w:tbl>
    <w:p w14:paraId="098A94F8">
      <w:pPr>
        <w:keepNext w:val="0"/>
        <w:keepLines w:val="0"/>
        <w:pageBreakBefore w:val="0"/>
        <w:widowControl/>
        <w:kinsoku/>
        <w:overflowPunct/>
        <w:topLinePunct w:val="0"/>
        <w:autoSpaceDE/>
        <w:autoSpaceDN/>
        <w:bidi w:val="0"/>
        <w:adjustRightInd/>
        <w:snapToGrid/>
        <w:spacing w:line="240" w:lineRule="exact"/>
        <w:ind w:left="600" w:hanging="600" w:hangingChars="300"/>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14:paraId="272EB900">
      <w:pPr>
        <w:keepNext w:val="0"/>
        <w:keepLines w:val="0"/>
        <w:pageBreakBefore w:val="0"/>
        <w:widowControl/>
        <w:kinsoku/>
        <w:overflowPunct/>
        <w:topLinePunct w:val="0"/>
        <w:autoSpaceDE/>
        <w:autoSpaceDN/>
        <w:bidi w:val="0"/>
        <w:adjustRightInd/>
        <w:snapToGrid/>
        <w:spacing w:line="240" w:lineRule="exact"/>
        <w:rPr>
          <w:rFonts w:hint="default" w:cs="宋体"/>
          <w:sz w:val="21"/>
          <w:szCs w:val="21"/>
        </w:rPr>
      </w:pPr>
    </w:p>
    <w:p w14:paraId="4EE525C7">
      <w:pPr>
        <w:keepNext w:val="0"/>
        <w:keepLines w:val="0"/>
        <w:pageBreakBefore w:val="0"/>
        <w:kinsoku/>
        <w:overflowPunct/>
        <w:topLinePunct w:val="0"/>
        <w:autoSpaceDN/>
        <w:bidi w:val="0"/>
        <w:adjustRightInd/>
        <w:spacing w:line="600" w:lineRule="exact"/>
        <w:rPr>
          <w:rFonts w:hint="default" w:cs="宋体"/>
          <w:sz w:val="21"/>
          <w:szCs w:val="21"/>
        </w:rPr>
      </w:pPr>
    </w:p>
    <w:p w14:paraId="2E952927">
      <w:pPr>
        <w:pStyle w:val="2"/>
        <w:rPr>
          <w:rFonts w:hint="default"/>
        </w:rPr>
      </w:pPr>
    </w:p>
    <w:tbl>
      <w:tblPr>
        <w:tblStyle w:val="8"/>
        <w:tblW w:w="4790" w:type="pct"/>
        <w:tblInd w:w="0" w:type="dxa"/>
        <w:tblLayout w:type="autofit"/>
        <w:tblCellMar>
          <w:top w:w="0" w:type="dxa"/>
          <w:left w:w="0" w:type="dxa"/>
          <w:bottom w:w="0" w:type="dxa"/>
          <w:right w:w="0" w:type="dxa"/>
        </w:tblCellMar>
      </w:tblPr>
      <w:tblGrid>
        <w:gridCol w:w="2979"/>
        <w:gridCol w:w="1526"/>
        <w:gridCol w:w="3191"/>
        <w:gridCol w:w="1700"/>
        <w:gridCol w:w="1700"/>
        <w:gridCol w:w="1700"/>
        <w:gridCol w:w="1936"/>
      </w:tblGrid>
      <w:tr w14:paraId="1322419D">
        <w:tblPrEx>
          <w:tblCellMar>
            <w:top w:w="0" w:type="dxa"/>
            <w:left w:w="0" w:type="dxa"/>
            <w:bottom w:w="0" w:type="dxa"/>
            <w:right w:w="0" w:type="dxa"/>
          </w:tblCellMar>
        </w:tblPrEx>
        <w:trPr>
          <w:trHeight w:val="90" w:hRule="atLeast"/>
        </w:trPr>
        <w:tc>
          <w:tcPr>
            <w:tcW w:w="5000" w:type="pct"/>
            <w:gridSpan w:val="7"/>
            <w:tcBorders>
              <w:top w:val="nil"/>
              <w:left w:val="nil"/>
              <w:bottom w:val="nil"/>
              <w:right w:val="nil"/>
            </w:tcBorders>
            <w:shd w:val="clear" w:color="auto" w:fill="auto"/>
            <w:noWrap/>
            <w:tcMar>
              <w:top w:w="15" w:type="dxa"/>
              <w:left w:w="15" w:type="dxa"/>
              <w:right w:w="15" w:type="dxa"/>
            </w:tcMar>
            <w:vAlign w:val="bottom"/>
          </w:tcPr>
          <w:p w14:paraId="2AFF4196">
            <w:pPr>
              <w:keepNext w:val="0"/>
              <w:keepLines w:val="0"/>
              <w:pageBreakBefore w:val="0"/>
              <w:widowControl/>
              <w:kinsoku/>
              <w:overflowPunct/>
              <w:topLinePunct w:val="0"/>
              <w:autoSpaceDE/>
              <w:autoSpaceDN/>
              <w:bidi w:val="0"/>
              <w:adjustRightInd/>
              <w:snapToGrid/>
              <w:spacing w:line="240" w:lineRule="auto"/>
              <w:jc w:val="center"/>
              <w:textAlignment w:val="bottom"/>
              <w:rPr>
                <w:rFonts w:hint="default" w:cs="宋体"/>
                <w:b/>
                <w:color w:val="000000"/>
                <w:sz w:val="32"/>
                <w:szCs w:val="32"/>
              </w:rPr>
            </w:pPr>
            <w:r>
              <w:rPr>
                <w:rFonts w:cs="宋体"/>
                <w:b/>
                <w:color w:val="000000"/>
                <w:sz w:val="32"/>
                <w:szCs w:val="32"/>
              </w:rPr>
              <w:t>财政拨款收入支出决算总表</w:t>
            </w:r>
          </w:p>
        </w:tc>
      </w:tr>
      <w:tr w14:paraId="2B2F6FA5">
        <w:tblPrEx>
          <w:tblCellMar>
            <w:top w:w="0" w:type="dxa"/>
            <w:left w:w="0" w:type="dxa"/>
            <w:bottom w:w="0" w:type="dxa"/>
            <w:right w:w="0" w:type="dxa"/>
          </w:tblCellMar>
        </w:tblPrEx>
        <w:trPr>
          <w:trHeight w:val="90" w:hRule="atLeast"/>
        </w:trPr>
        <w:tc>
          <w:tcPr>
            <w:tcW w:w="2612" w:type="pct"/>
            <w:gridSpan w:val="3"/>
            <w:vMerge w:val="restart"/>
            <w:tcBorders>
              <w:top w:val="nil"/>
              <w:left w:val="nil"/>
              <w:right w:val="nil"/>
            </w:tcBorders>
            <w:shd w:val="clear" w:color="auto" w:fill="auto"/>
            <w:noWrap/>
            <w:tcMar>
              <w:top w:w="15" w:type="dxa"/>
              <w:left w:w="15" w:type="dxa"/>
              <w:right w:w="15" w:type="dxa"/>
            </w:tcMar>
            <w:vAlign w:val="bottom"/>
          </w:tcPr>
          <w:p w14:paraId="2E023CE7">
            <w:pPr>
              <w:keepNext w:val="0"/>
              <w:keepLines w:val="0"/>
              <w:pageBreakBefore w:val="0"/>
              <w:widowControl/>
              <w:kinsoku/>
              <w:wordWrap/>
              <w:overflowPunct/>
              <w:topLinePunct w:val="0"/>
              <w:autoSpaceDE/>
              <w:autoSpaceDN/>
              <w:bidi w:val="0"/>
              <w:adjustRightInd/>
              <w:snapToGrid/>
              <w:spacing w:line="360" w:lineRule="exact"/>
              <w:textAlignment w:val="auto"/>
              <w:rPr>
                <w:rFonts w:hint="default" w:cs="宋体"/>
                <w:color w:val="000000"/>
                <w:sz w:val="18"/>
                <w:szCs w:val="18"/>
              </w:rPr>
            </w:pPr>
            <w:r>
              <w:rPr>
                <w:rFonts w:cs="宋体"/>
                <w:sz w:val="20"/>
                <w:szCs w:val="20"/>
              </w:rPr>
              <w:t>公开单位</w:t>
            </w:r>
            <w:r>
              <w:rPr>
                <w:rFonts w:cs="宋体"/>
                <w:color w:val="000000"/>
                <w:sz w:val="20"/>
                <w:szCs w:val="20"/>
              </w:rPr>
              <w:t>：</w:t>
            </w:r>
            <w:r>
              <w:rPr>
                <w:color w:val="000000"/>
                <w:sz w:val="20"/>
                <w:u w:color="auto"/>
              </w:rPr>
              <w:t>丰都县交通运输综合行政执法支队</w:t>
            </w:r>
          </w:p>
        </w:tc>
        <w:tc>
          <w:tcPr>
            <w:tcW w:w="577" w:type="pct"/>
            <w:tcBorders>
              <w:top w:val="nil"/>
              <w:left w:val="nil"/>
              <w:bottom w:val="nil"/>
              <w:right w:val="nil"/>
            </w:tcBorders>
            <w:shd w:val="clear" w:color="auto" w:fill="auto"/>
            <w:noWrap/>
            <w:tcMar>
              <w:top w:w="15" w:type="dxa"/>
              <w:left w:w="15" w:type="dxa"/>
              <w:right w:w="15" w:type="dxa"/>
            </w:tcMar>
            <w:vAlign w:val="bottom"/>
          </w:tcPr>
          <w:p w14:paraId="754A109C">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577" w:type="pct"/>
            <w:tcBorders>
              <w:top w:val="nil"/>
              <w:left w:val="nil"/>
              <w:bottom w:val="nil"/>
              <w:right w:val="nil"/>
            </w:tcBorders>
            <w:shd w:val="clear" w:color="auto" w:fill="auto"/>
            <w:noWrap/>
            <w:tcMar>
              <w:top w:w="15" w:type="dxa"/>
              <w:left w:w="15" w:type="dxa"/>
              <w:right w:w="15" w:type="dxa"/>
            </w:tcMar>
            <w:vAlign w:val="bottom"/>
          </w:tcPr>
          <w:p w14:paraId="51467670">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577" w:type="pct"/>
            <w:tcBorders>
              <w:top w:val="nil"/>
              <w:left w:val="nil"/>
              <w:bottom w:val="nil"/>
              <w:right w:val="nil"/>
            </w:tcBorders>
            <w:shd w:val="clear" w:color="auto" w:fill="auto"/>
            <w:noWrap/>
            <w:tcMar>
              <w:top w:w="15" w:type="dxa"/>
              <w:left w:w="15" w:type="dxa"/>
              <w:right w:w="15" w:type="dxa"/>
            </w:tcMar>
            <w:vAlign w:val="bottom"/>
          </w:tcPr>
          <w:p w14:paraId="549BAAE7">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657" w:type="pct"/>
            <w:tcBorders>
              <w:top w:val="nil"/>
              <w:left w:val="nil"/>
              <w:bottom w:val="nil"/>
              <w:right w:val="nil"/>
            </w:tcBorders>
            <w:shd w:val="clear" w:color="auto" w:fill="auto"/>
            <w:noWrap/>
            <w:tcMar>
              <w:top w:w="15" w:type="dxa"/>
              <w:left w:w="15" w:type="dxa"/>
              <w:right w:w="15" w:type="dxa"/>
            </w:tcMar>
            <w:vAlign w:val="bottom"/>
          </w:tcPr>
          <w:p w14:paraId="3F1A4211">
            <w:pPr>
              <w:keepNext w:val="0"/>
              <w:keepLines w:val="0"/>
              <w:pageBreakBefore w:val="0"/>
              <w:widowControl/>
              <w:kinsoku/>
              <w:overflowPunct/>
              <w:topLinePunct w:val="0"/>
              <w:autoSpaceDE/>
              <w:autoSpaceDN/>
              <w:bidi w:val="0"/>
              <w:adjustRightInd/>
              <w:snapToGrid/>
              <w:spacing w:line="360" w:lineRule="exact"/>
              <w:jc w:val="right"/>
              <w:textAlignment w:val="bottom"/>
              <w:rPr>
                <w:rFonts w:hint="default" w:cs="宋体"/>
                <w:color w:val="000000"/>
                <w:sz w:val="20"/>
                <w:szCs w:val="20"/>
              </w:rPr>
            </w:pPr>
            <w:r>
              <w:rPr>
                <w:rFonts w:cs="宋体"/>
                <w:color w:val="000000"/>
                <w:sz w:val="20"/>
                <w:szCs w:val="20"/>
              </w:rPr>
              <w:t>公开04表</w:t>
            </w:r>
          </w:p>
        </w:tc>
      </w:tr>
      <w:tr w14:paraId="6ECF302C">
        <w:tblPrEx>
          <w:tblCellMar>
            <w:top w:w="0" w:type="dxa"/>
            <w:left w:w="0" w:type="dxa"/>
            <w:bottom w:w="0" w:type="dxa"/>
            <w:right w:w="0" w:type="dxa"/>
          </w:tblCellMar>
        </w:tblPrEx>
        <w:trPr>
          <w:trHeight w:val="90" w:hRule="atLeast"/>
        </w:trPr>
        <w:tc>
          <w:tcPr>
            <w:tcW w:w="2612" w:type="pct"/>
            <w:gridSpan w:val="3"/>
            <w:vMerge w:val="continue"/>
            <w:tcBorders>
              <w:left w:val="nil"/>
              <w:bottom w:val="nil"/>
              <w:right w:val="nil"/>
            </w:tcBorders>
            <w:shd w:val="clear" w:color="auto" w:fill="auto"/>
            <w:noWrap/>
            <w:tcMar>
              <w:top w:w="15" w:type="dxa"/>
              <w:left w:w="15" w:type="dxa"/>
              <w:right w:w="15" w:type="dxa"/>
            </w:tcMar>
            <w:vAlign w:val="bottom"/>
          </w:tcPr>
          <w:p w14:paraId="292F7D7C">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577" w:type="pct"/>
            <w:tcBorders>
              <w:top w:val="nil"/>
              <w:left w:val="nil"/>
              <w:bottom w:val="nil"/>
              <w:right w:val="nil"/>
            </w:tcBorders>
            <w:shd w:val="clear" w:color="auto" w:fill="auto"/>
            <w:noWrap/>
            <w:tcMar>
              <w:top w:w="15" w:type="dxa"/>
              <w:left w:w="15" w:type="dxa"/>
              <w:right w:w="15" w:type="dxa"/>
            </w:tcMar>
            <w:vAlign w:val="bottom"/>
          </w:tcPr>
          <w:p w14:paraId="4BD5B669">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577" w:type="pct"/>
            <w:tcBorders>
              <w:top w:val="nil"/>
              <w:left w:val="nil"/>
              <w:bottom w:val="nil"/>
              <w:right w:val="nil"/>
            </w:tcBorders>
            <w:shd w:val="clear" w:color="auto" w:fill="auto"/>
            <w:noWrap/>
            <w:tcMar>
              <w:top w:w="15" w:type="dxa"/>
              <w:left w:w="15" w:type="dxa"/>
              <w:right w:w="15" w:type="dxa"/>
            </w:tcMar>
            <w:vAlign w:val="bottom"/>
          </w:tcPr>
          <w:p w14:paraId="15D30CD3">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577" w:type="pct"/>
            <w:tcBorders>
              <w:top w:val="nil"/>
              <w:left w:val="nil"/>
              <w:bottom w:val="nil"/>
              <w:right w:val="nil"/>
            </w:tcBorders>
            <w:shd w:val="clear" w:color="auto" w:fill="auto"/>
            <w:noWrap/>
            <w:tcMar>
              <w:top w:w="15" w:type="dxa"/>
              <w:left w:w="15" w:type="dxa"/>
              <w:right w:w="15" w:type="dxa"/>
            </w:tcMar>
            <w:vAlign w:val="bottom"/>
          </w:tcPr>
          <w:p w14:paraId="10C6065D">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657" w:type="pct"/>
            <w:tcBorders>
              <w:top w:val="nil"/>
              <w:left w:val="nil"/>
              <w:bottom w:val="nil"/>
              <w:right w:val="nil"/>
            </w:tcBorders>
            <w:shd w:val="clear" w:color="auto" w:fill="auto"/>
            <w:noWrap/>
            <w:tcMar>
              <w:top w:w="15" w:type="dxa"/>
              <w:left w:w="15" w:type="dxa"/>
              <w:right w:w="15" w:type="dxa"/>
            </w:tcMar>
            <w:vAlign w:val="bottom"/>
          </w:tcPr>
          <w:p w14:paraId="25ECE717">
            <w:pPr>
              <w:keepNext w:val="0"/>
              <w:keepLines w:val="0"/>
              <w:pageBreakBefore w:val="0"/>
              <w:widowControl/>
              <w:kinsoku/>
              <w:overflowPunct/>
              <w:topLinePunct w:val="0"/>
              <w:autoSpaceDE/>
              <w:autoSpaceDN/>
              <w:bidi w:val="0"/>
              <w:adjustRightInd/>
              <w:snapToGrid/>
              <w:spacing w:line="36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1518B9E1">
        <w:tblPrEx>
          <w:tblCellMar>
            <w:top w:w="0" w:type="dxa"/>
            <w:left w:w="0" w:type="dxa"/>
            <w:bottom w:w="0" w:type="dxa"/>
            <w:right w:w="0" w:type="dxa"/>
          </w:tblCellMar>
        </w:tblPrEx>
        <w:trPr>
          <w:trHeight w:val="90" w:hRule="atLeast"/>
        </w:trPr>
        <w:tc>
          <w:tcPr>
            <w:tcW w:w="1529" w:type="pct"/>
            <w:gridSpan w:val="2"/>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4E14349">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收     入</w:t>
            </w:r>
          </w:p>
        </w:tc>
        <w:tc>
          <w:tcPr>
            <w:tcW w:w="3471" w:type="pct"/>
            <w:gridSpan w:val="5"/>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14B4D83">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支     出</w:t>
            </w:r>
          </w:p>
        </w:tc>
      </w:tr>
      <w:tr w14:paraId="55888411">
        <w:tblPrEx>
          <w:tblCellMar>
            <w:top w:w="0" w:type="dxa"/>
            <w:left w:w="0" w:type="dxa"/>
            <w:bottom w:w="0" w:type="dxa"/>
            <w:right w:w="0" w:type="dxa"/>
          </w:tblCellMar>
        </w:tblPrEx>
        <w:trPr>
          <w:trHeight w:val="90" w:hRule="atLeast"/>
        </w:trPr>
        <w:tc>
          <w:tcPr>
            <w:tcW w:w="1011"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5C8A77F0">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项目</w:t>
            </w:r>
          </w:p>
        </w:tc>
        <w:tc>
          <w:tcPr>
            <w:tcW w:w="518"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70207CB">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决算数</w:t>
            </w:r>
          </w:p>
        </w:tc>
        <w:tc>
          <w:tcPr>
            <w:tcW w:w="1083"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282FDCF9">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功能分类科目</w:t>
            </w:r>
          </w:p>
        </w:tc>
        <w:tc>
          <w:tcPr>
            <w:tcW w:w="2388" w:type="pct"/>
            <w:gridSpan w:val="4"/>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6489AE87">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决算数</w:t>
            </w:r>
          </w:p>
        </w:tc>
      </w:tr>
      <w:tr w14:paraId="3A856540">
        <w:tblPrEx>
          <w:tblCellMar>
            <w:top w:w="0" w:type="dxa"/>
            <w:left w:w="0" w:type="dxa"/>
            <w:bottom w:w="0" w:type="dxa"/>
            <w:right w:w="0" w:type="dxa"/>
          </w:tblCellMar>
        </w:tblPrEx>
        <w:trPr>
          <w:trHeight w:val="90" w:hRule="atLeast"/>
        </w:trPr>
        <w:tc>
          <w:tcPr>
            <w:tcW w:w="1011"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52B0805D">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8"/>
                <w:szCs w:val="18"/>
              </w:rPr>
            </w:pPr>
          </w:p>
        </w:tc>
        <w:tc>
          <w:tcPr>
            <w:tcW w:w="518"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0B115E4">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8"/>
                <w:szCs w:val="18"/>
              </w:rPr>
            </w:pPr>
          </w:p>
        </w:tc>
        <w:tc>
          <w:tcPr>
            <w:tcW w:w="1083"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158E83ED">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8"/>
                <w:szCs w:val="18"/>
              </w:rPr>
            </w:pPr>
          </w:p>
        </w:tc>
        <w:tc>
          <w:tcPr>
            <w:tcW w:w="57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E7BC394">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小计</w:t>
            </w:r>
          </w:p>
        </w:tc>
        <w:tc>
          <w:tcPr>
            <w:tcW w:w="577" w:type="pc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2D7B51D">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577" w:type="pc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13E30307">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657" w:type="pc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EC01063">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14:paraId="1629790D">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87DDD6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一、一般公共预算财政拨款</w:t>
            </w: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0C6BE1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1,458.18</w:t>
            </w:r>
            <w:r>
              <w:rPr>
                <w:color w:val="000000"/>
                <w:sz w:val="16"/>
                <w:szCs w:val="22"/>
                <w:u w:color="auto"/>
              </w:rPr>
              <w:t xml:space="preserve"> </w:t>
            </w: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713F77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一、一般公共服务支出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A60BB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3F361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49C9E4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0B4FD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6F00E519">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ABD8CE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二、政府性基金预算财政拨款</w:t>
            </w: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66F70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100.00</w:t>
            </w:r>
            <w:r>
              <w:rPr>
                <w:color w:val="000000"/>
                <w:sz w:val="16"/>
                <w:szCs w:val="22"/>
                <w:u w:color="auto"/>
              </w:rPr>
              <w:t xml:space="preserve"> </w:t>
            </w: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B03F41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二、外交支出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68686E">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1520E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8B3EC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F3DE1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42C71846">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C6356C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三、国有资本经营预算财政拨款</w:t>
            </w: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87316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46FB9A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三、国防支出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8160A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E8862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66E14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04D8B63">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023EE0C1">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E21022C">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A519F7D">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878918D">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四、公共安全支出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A2486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EAB07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1391B6">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154BFD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34157B83">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EAA55D2">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DF672DA">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1C7D61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五、教育支出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0DFDB9">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52C8D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6E6B2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4C77A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047B93FE">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A485871">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B977101">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0294C5F">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六、科学技术支出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E035C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ABB92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973383">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C55BD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7260886C">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6696998">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2140D58">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86446F0">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七、文化旅游体育与传媒支出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E8361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97CCE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D7CB16">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D6EBA3">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586AB0C0">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2825A81">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ACDB6AC">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B03BCF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八、社会保障和就业支出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99E509">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97.76</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47FB9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97.76</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F8131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3B0C49">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6F97FFF3">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86FA682">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59855FF1">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96C42A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九、卫生健康支出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28FEF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44.14</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C6CD42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44.14</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A7B9F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840E1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5C373957">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D92D4E3">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191410">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833A30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十、节能环保支出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C791D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C06BA7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27D5E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4F26D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6D87AA70">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C706AE3">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9B544D">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9E669A5">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十一、城乡社区支出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FFC3B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100.00</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E16EC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C47AC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100.00</w:t>
            </w: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7E15C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2C464563">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C161E7C">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7B1FC3">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DD5166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十二、农林水支出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381009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26816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FB4D6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8EAEB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45ACE1F4">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5F82B8E">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C63861">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4D00407">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十三、交通运输支出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5FF1D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1,543.14</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AA77A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1,543.14</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B3EAD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41C2F3">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6FD32E11">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8BB712F">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FB5D80">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7CCF2B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十四、资源勘探工业信息等支出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8FB79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BF7682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7E5E9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EB1F16">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32B21736">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BB2E6F9">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D55487">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04074D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十五、商业服务业等支出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D56A8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99DC0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61F01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AB88B3">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628141F4">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4C340EC">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D08EE8">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8E8809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十六、金融支出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7DF70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85E8F4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36BCC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18E0A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1A296FC5">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39E1039">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C64C98">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F2D6C2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十七、援助其他地区支出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0B687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B5879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34789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F933F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6D98BE64">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0D4E2E1">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6E4682">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15F7E7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十八、自然资源海洋气象等支出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14DA5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A4776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82AE9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6820EE">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1F500E0F">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2D9D61F">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2345AA">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68F94E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十九、住房保障支出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7ADD2E">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33.11</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9E5DF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33.11</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C9E04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2CE2A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53E52F23">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12F0B50">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F47BA7">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ADD2A5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二十、粮油物资储备支出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EC525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D09EA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7A114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6BFE07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28AA0646">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2F250AB">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AA2C9A">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184243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二十一、国有资本经营预算支出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824A3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CEF969">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66035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CD49F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3DD690FF">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193CE39">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D6A60C">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4393917">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二十二、灾害防治及应急管理支出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5F470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3F394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933A7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15449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682FF70D">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2737E56">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5A2335">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0A6549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二十三、其他支出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E0A46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CF574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B132F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41024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7B0D66A0">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bottom"/>
          </w:tcPr>
          <w:p w14:paraId="751D7DAA">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E74961">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BA77800">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二十四、债务还本支出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E6250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318C97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6851C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DD5CE6">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0AA35473">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bottom"/>
          </w:tcPr>
          <w:p w14:paraId="79D5B856">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16F539">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4E489D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二十五、债务付息支出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D5F0A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AFB203">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23D7B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6B60A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67DEEA7C">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bottom"/>
          </w:tcPr>
          <w:p w14:paraId="34A11411">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C34FDA">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B2B547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二十六、抗疫特别国债安排的支出</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77E68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C9962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25E002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AB1DE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708A1A2D">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7DBDF8C">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6"/>
                <w:szCs w:val="16"/>
              </w:rPr>
            </w:pPr>
            <w:r>
              <w:rPr>
                <w:rFonts w:cs="宋体"/>
                <w:b/>
                <w:color w:val="000000"/>
                <w:sz w:val="16"/>
                <w:szCs w:val="16"/>
              </w:rPr>
              <w:t>本年收入合计</w:t>
            </w: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CECFC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1,558.18</w:t>
            </w:r>
            <w:r>
              <w:rPr>
                <w:color w:val="000000"/>
                <w:sz w:val="16"/>
                <w:szCs w:val="22"/>
                <w:u w:color="auto"/>
              </w:rPr>
              <w:t xml:space="preserve"> </w:t>
            </w: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0EBA16A">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6"/>
                <w:szCs w:val="16"/>
              </w:rPr>
            </w:pPr>
            <w:r>
              <w:rPr>
                <w:rFonts w:cs="宋体"/>
                <w:b/>
                <w:color w:val="000000"/>
                <w:sz w:val="16"/>
                <w:szCs w:val="16"/>
              </w:rPr>
              <w:t>本年支出合计</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83A5F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1,818.14</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46754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1,718.14</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A8D38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100.00</w:t>
            </w: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AEA05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11255723">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7B52E0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年初财政拨款结转和结余</w:t>
            </w: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618AD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277.76</w:t>
            </w:r>
            <w:r>
              <w:rPr>
                <w:color w:val="000000"/>
                <w:sz w:val="16"/>
                <w:szCs w:val="22"/>
                <w:u w:color="auto"/>
              </w:rPr>
              <w:t xml:space="preserve"> </w:t>
            </w: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1622D5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年末财政拨款结转和结余</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28AD5E">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17.80</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A5E4A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17.80</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74CE7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98986E">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68C4840B">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980295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一般公共预算财政拨款</w:t>
            </w: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26637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277.76</w:t>
            </w:r>
            <w:r>
              <w:rPr>
                <w:color w:val="000000"/>
                <w:sz w:val="16"/>
                <w:szCs w:val="22"/>
                <w:u w:color="auto"/>
              </w:rPr>
              <w:t xml:space="preserve"> </w:t>
            </w:r>
          </w:p>
        </w:tc>
        <w:tc>
          <w:tcPr>
            <w:tcW w:w="1083" w:type="pct"/>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bottom"/>
          </w:tcPr>
          <w:p w14:paraId="7F309E27">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4907EA92">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4BA3FD4">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8D92BAC">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7FDB77E">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r>
      <w:tr w14:paraId="15020DFE">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A345F6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政府性基金预算财政拨款</w:t>
            </w: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77EBE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DAE07FA">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6"/>
                <w:szCs w:val="16"/>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E1B685">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946555">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F96C129">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4CF1D3">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r>
      <w:tr w14:paraId="6135ED1C">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142913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国有资本经营预算财政拨款</w:t>
            </w: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AE583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A5DF781">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6"/>
                <w:szCs w:val="16"/>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BF0BCD0">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B4D221">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2A38B9">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4D870A">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r>
      <w:tr w14:paraId="138C883F">
        <w:tblPrEx>
          <w:tblCellMar>
            <w:top w:w="0" w:type="dxa"/>
            <w:left w:w="0" w:type="dxa"/>
            <w:bottom w:w="0" w:type="dxa"/>
            <w:right w:w="0" w:type="dxa"/>
          </w:tblCellMar>
        </w:tblPrEx>
        <w:trPr>
          <w:trHeight w:val="90" w:hRule="atLeast"/>
        </w:trPr>
        <w:tc>
          <w:tcPr>
            <w:tcW w:w="1011"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0770C79">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6"/>
                <w:szCs w:val="16"/>
              </w:rPr>
            </w:pPr>
            <w:r>
              <w:rPr>
                <w:rFonts w:cs="宋体"/>
                <w:b/>
                <w:color w:val="000000"/>
                <w:sz w:val="16"/>
                <w:szCs w:val="16"/>
              </w:rPr>
              <w:t>总计</w:t>
            </w:r>
          </w:p>
        </w:tc>
        <w:tc>
          <w:tcPr>
            <w:tcW w:w="5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FD831C9">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1,835.94</w:t>
            </w:r>
            <w:r>
              <w:rPr>
                <w:color w:val="000000"/>
                <w:sz w:val="16"/>
                <w:szCs w:val="22"/>
                <w:u w:color="auto"/>
              </w:rPr>
              <w:t xml:space="preserve"> </w:t>
            </w:r>
          </w:p>
        </w:tc>
        <w:tc>
          <w:tcPr>
            <w:tcW w:w="108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A76A22C">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6"/>
                <w:szCs w:val="16"/>
              </w:rPr>
            </w:pPr>
            <w:r>
              <w:rPr>
                <w:rFonts w:cs="宋体"/>
                <w:b/>
                <w:color w:val="000000"/>
                <w:sz w:val="16"/>
                <w:szCs w:val="16"/>
              </w:rPr>
              <w:t>总计</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14D8E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1,835.94</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C141E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1,735.94</w:t>
            </w:r>
            <w:r>
              <w:rPr>
                <w:color w:val="000000"/>
                <w:sz w:val="16"/>
                <w:szCs w:val="22"/>
                <w:u w:color="auto"/>
              </w:rPr>
              <w:t xml:space="preserve"> </w:t>
            </w:r>
          </w:p>
        </w:tc>
        <w:tc>
          <w:tcPr>
            <w:tcW w:w="57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B1B7F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100.00</w:t>
            </w:r>
            <w:r>
              <w:rPr>
                <w:color w:val="000000"/>
                <w:sz w:val="16"/>
                <w:szCs w:val="22"/>
                <w:u w:color="auto"/>
              </w:rPr>
              <w:t xml:space="preserve"> </w:t>
            </w:r>
          </w:p>
        </w:tc>
        <w:tc>
          <w:tcPr>
            <w:tcW w:w="65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D03CD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bl>
    <w:p w14:paraId="24AD466E">
      <w:pPr>
        <w:keepNext w:val="0"/>
        <w:keepLines w:val="0"/>
        <w:pageBreakBefore w:val="0"/>
        <w:widowControl/>
        <w:kinsoku/>
        <w:overflowPunct/>
        <w:topLinePunct w:val="0"/>
        <w:autoSpaceDE/>
        <w:autoSpaceDN/>
        <w:bidi w:val="0"/>
        <w:adjustRightInd/>
        <w:snapToGrid/>
        <w:spacing w:line="36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8"/>
        <w:tblW w:w="5000" w:type="pct"/>
        <w:tblInd w:w="0" w:type="dxa"/>
        <w:tblLayout w:type="autofit"/>
        <w:tblCellMar>
          <w:top w:w="0" w:type="dxa"/>
          <w:left w:w="0" w:type="dxa"/>
          <w:bottom w:w="0" w:type="dxa"/>
          <w:right w:w="0" w:type="dxa"/>
        </w:tblCellMar>
      </w:tblPr>
      <w:tblGrid>
        <w:gridCol w:w="1857"/>
        <w:gridCol w:w="3549"/>
        <w:gridCol w:w="3319"/>
        <w:gridCol w:w="3319"/>
        <w:gridCol w:w="3334"/>
      </w:tblGrid>
      <w:tr w14:paraId="49683A41">
        <w:tblPrEx>
          <w:tblCellMar>
            <w:top w:w="0" w:type="dxa"/>
            <w:left w:w="0" w:type="dxa"/>
            <w:bottom w:w="0" w:type="dxa"/>
            <w:right w:w="0" w:type="dxa"/>
          </w:tblCellMar>
        </w:tblPrEx>
        <w:trPr>
          <w:trHeight w:val="510" w:hRule="atLeast"/>
        </w:trPr>
        <w:tc>
          <w:tcPr>
            <w:tcW w:w="5000" w:type="pct"/>
            <w:gridSpan w:val="5"/>
            <w:tcBorders>
              <w:top w:val="nil"/>
              <w:left w:val="nil"/>
              <w:bottom w:val="nil"/>
              <w:right w:val="nil"/>
            </w:tcBorders>
            <w:shd w:val="clear" w:color="auto" w:fill="auto"/>
            <w:noWrap/>
            <w:tcMar>
              <w:top w:w="15" w:type="dxa"/>
              <w:left w:w="15" w:type="dxa"/>
              <w:right w:w="15" w:type="dxa"/>
            </w:tcMar>
            <w:vAlign w:val="bottom"/>
          </w:tcPr>
          <w:p w14:paraId="1F83BA68">
            <w:pPr>
              <w:keepNext w:val="0"/>
              <w:keepLines w:val="0"/>
              <w:pageBreakBefore w:val="0"/>
              <w:kinsoku/>
              <w:overflowPunct/>
              <w:topLinePunct w:val="0"/>
              <w:autoSpaceDN/>
              <w:bidi w:val="0"/>
              <w:adjustRightInd/>
              <w:spacing w:line="600" w:lineRule="exact"/>
              <w:jc w:val="center"/>
              <w:textAlignment w:val="bottom"/>
              <w:rPr>
                <w:rFonts w:hint="default" w:cs="宋体"/>
                <w:b/>
                <w:color w:val="000000"/>
                <w:sz w:val="32"/>
                <w:szCs w:val="32"/>
              </w:rPr>
            </w:pPr>
            <w:r>
              <w:rPr>
                <w:rFonts w:cs="宋体"/>
                <w:b/>
                <w:color w:val="000000"/>
                <w:sz w:val="32"/>
                <w:szCs w:val="32"/>
              </w:rPr>
              <w:t>一般公共预算财政拨款支出决算表</w:t>
            </w:r>
          </w:p>
        </w:tc>
      </w:tr>
      <w:tr w14:paraId="2588C7CE">
        <w:tblPrEx>
          <w:tblCellMar>
            <w:top w:w="0" w:type="dxa"/>
            <w:left w:w="0" w:type="dxa"/>
            <w:bottom w:w="0" w:type="dxa"/>
            <w:right w:w="0" w:type="dxa"/>
          </w:tblCellMar>
        </w:tblPrEx>
        <w:trPr>
          <w:trHeight w:val="255" w:hRule="atLeast"/>
        </w:trPr>
        <w:tc>
          <w:tcPr>
            <w:tcW w:w="2837" w:type="pct"/>
            <w:gridSpan w:val="3"/>
            <w:vMerge w:val="restart"/>
            <w:tcBorders>
              <w:top w:val="nil"/>
              <w:left w:val="nil"/>
              <w:right w:val="nil"/>
            </w:tcBorders>
            <w:shd w:val="clear" w:color="auto" w:fill="auto"/>
            <w:noWrap/>
            <w:tcMar>
              <w:top w:w="15" w:type="dxa"/>
              <w:left w:w="15" w:type="dxa"/>
              <w:right w:w="15" w:type="dxa"/>
            </w:tcMar>
            <w:vAlign w:val="bottom"/>
          </w:tcPr>
          <w:p w14:paraId="1EFAC8D2">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20"/>
                <w:szCs w:val="20"/>
              </w:rPr>
            </w:pPr>
            <w:r>
              <w:rPr>
                <w:rFonts w:cs="宋体"/>
                <w:sz w:val="20"/>
                <w:szCs w:val="20"/>
              </w:rPr>
              <w:t>公开单位</w:t>
            </w:r>
            <w:r>
              <w:rPr>
                <w:rFonts w:cs="宋体"/>
                <w:color w:val="000000"/>
                <w:sz w:val="20"/>
                <w:szCs w:val="20"/>
              </w:rPr>
              <w:t>：</w:t>
            </w:r>
            <w:r>
              <w:rPr>
                <w:color w:val="000000"/>
                <w:sz w:val="20"/>
                <w:u w:color="auto"/>
              </w:rPr>
              <w:t>丰都县交通运输综合行政执法支队</w:t>
            </w:r>
          </w:p>
        </w:tc>
        <w:tc>
          <w:tcPr>
            <w:tcW w:w="1079" w:type="pct"/>
            <w:tcBorders>
              <w:top w:val="nil"/>
              <w:left w:val="nil"/>
              <w:bottom w:val="nil"/>
              <w:right w:val="nil"/>
            </w:tcBorders>
            <w:shd w:val="clear" w:color="auto" w:fill="auto"/>
            <w:noWrap/>
            <w:tcMar>
              <w:top w:w="15" w:type="dxa"/>
              <w:left w:w="15" w:type="dxa"/>
              <w:right w:w="15" w:type="dxa"/>
            </w:tcMar>
            <w:vAlign w:val="bottom"/>
          </w:tcPr>
          <w:p w14:paraId="4FAF6C8B">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20"/>
                <w:szCs w:val="20"/>
              </w:rPr>
            </w:pPr>
          </w:p>
        </w:tc>
        <w:tc>
          <w:tcPr>
            <w:tcW w:w="1084" w:type="pct"/>
            <w:tcBorders>
              <w:top w:val="nil"/>
              <w:left w:val="nil"/>
              <w:bottom w:val="nil"/>
              <w:right w:val="nil"/>
            </w:tcBorders>
            <w:shd w:val="clear" w:color="auto" w:fill="auto"/>
            <w:noWrap/>
            <w:tcMar>
              <w:top w:w="15" w:type="dxa"/>
              <w:left w:w="15" w:type="dxa"/>
              <w:right w:w="15" w:type="dxa"/>
            </w:tcMar>
            <w:vAlign w:val="bottom"/>
          </w:tcPr>
          <w:p w14:paraId="65D19782">
            <w:pPr>
              <w:keepNext w:val="0"/>
              <w:keepLines w:val="0"/>
              <w:pageBreakBefore w:val="0"/>
              <w:widowControl/>
              <w:kinsoku/>
              <w:overflowPunct/>
              <w:topLinePunct w:val="0"/>
              <w:autoSpaceDE/>
              <w:autoSpaceDN/>
              <w:bidi w:val="0"/>
              <w:adjustRightInd/>
              <w:snapToGrid/>
              <w:spacing w:line="360" w:lineRule="exact"/>
              <w:jc w:val="right"/>
              <w:textAlignment w:val="bottom"/>
              <w:rPr>
                <w:rFonts w:hint="default" w:cs="宋体"/>
                <w:color w:val="000000"/>
                <w:sz w:val="20"/>
                <w:szCs w:val="20"/>
              </w:rPr>
            </w:pPr>
            <w:r>
              <w:rPr>
                <w:rFonts w:cs="宋体"/>
                <w:color w:val="000000"/>
                <w:sz w:val="20"/>
                <w:szCs w:val="20"/>
              </w:rPr>
              <w:t>公开05表</w:t>
            </w:r>
          </w:p>
        </w:tc>
      </w:tr>
      <w:tr w14:paraId="08191A52">
        <w:tblPrEx>
          <w:tblCellMar>
            <w:top w:w="0" w:type="dxa"/>
            <w:left w:w="0" w:type="dxa"/>
            <w:bottom w:w="0" w:type="dxa"/>
            <w:right w:w="0" w:type="dxa"/>
          </w:tblCellMar>
        </w:tblPrEx>
        <w:trPr>
          <w:trHeight w:val="285" w:hRule="atLeast"/>
        </w:trPr>
        <w:tc>
          <w:tcPr>
            <w:tcW w:w="2837" w:type="pct"/>
            <w:gridSpan w:val="3"/>
            <w:vMerge w:val="continue"/>
            <w:tcBorders>
              <w:left w:val="nil"/>
              <w:bottom w:val="nil"/>
              <w:right w:val="nil"/>
            </w:tcBorders>
            <w:shd w:val="clear" w:color="auto" w:fill="auto"/>
            <w:noWrap/>
            <w:tcMar>
              <w:top w:w="15" w:type="dxa"/>
              <w:left w:w="15" w:type="dxa"/>
              <w:right w:w="15" w:type="dxa"/>
            </w:tcMar>
            <w:vAlign w:val="bottom"/>
          </w:tcPr>
          <w:p w14:paraId="35088FB2">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20"/>
                <w:szCs w:val="20"/>
              </w:rPr>
            </w:pPr>
          </w:p>
        </w:tc>
        <w:tc>
          <w:tcPr>
            <w:tcW w:w="1079" w:type="pct"/>
            <w:tcBorders>
              <w:top w:val="nil"/>
              <w:left w:val="nil"/>
              <w:bottom w:val="nil"/>
              <w:right w:val="nil"/>
            </w:tcBorders>
            <w:shd w:val="clear" w:color="auto" w:fill="auto"/>
            <w:noWrap/>
            <w:tcMar>
              <w:top w:w="15" w:type="dxa"/>
              <w:left w:w="15" w:type="dxa"/>
              <w:right w:w="15" w:type="dxa"/>
            </w:tcMar>
            <w:vAlign w:val="bottom"/>
          </w:tcPr>
          <w:p w14:paraId="33753869">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20"/>
                <w:szCs w:val="20"/>
              </w:rPr>
            </w:pPr>
          </w:p>
        </w:tc>
        <w:tc>
          <w:tcPr>
            <w:tcW w:w="1084" w:type="pct"/>
            <w:tcBorders>
              <w:top w:val="nil"/>
              <w:left w:val="nil"/>
              <w:bottom w:val="nil"/>
              <w:right w:val="nil"/>
            </w:tcBorders>
            <w:shd w:val="clear" w:color="auto" w:fill="auto"/>
            <w:noWrap/>
            <w:tcMar>
              <w:top w:w="15" w:type="dxa"/>
              <w:left w:w="15" w:type="dxa"/>
              <w:right w:w="15" w:type="dxa"/>
            </w:tcMar>
            <w:vAlign w:val="bottom"/>
          </w:tcPr>
          <w:p w14:paraId="1806721E">
            <w:pPr>
              <w:keepNext w:val="0"/>
              <w:keepLines w:val="0"/>
              <w:pageBreakBefore w:val="0"/>
              <w:widowControl/>
              <w:kinsoku/>
              <w:overflowPunct/>
              <w:topLinePunct w:val="0"/>
              <w:autoSpaceDE/>
              <w:autoSpaceDN/>
              <w:bidi w:val="0"/>
              <w:adjustRightInd/>
              <w:snapToGrid/>
              <w:spacing w:line="36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7FAD79A4">
        <w:tblPrEx>
          <w:tblCellMar>
            <w:top w:w="0" w:type="dxa"/>
            <w:left w:w="0" w:type="dxa"/>
            <w:bottom w:w="0" w:type="dxa"/>
            <w:right w:w="0" w:type="dxa"/>
          </w:tblCellMar>
        </w:tblPrEx>
        <w:trPr>
          <w:trHeight w:val="308" w:hRule="atLeast"/>
        </w:trPr>
        <w:tc>
          <w:tcPr>
            <w:tcW w:w="1758" w:type="pct"/>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68DAA4A">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20"/>
                <w:szCs w:val="20"/>
              </w:rPr>
            </w:pPr>
            <w:r>
              <w:rPr>
                <w:rFonts w:cs="宋体"/>
                <w:b/>
                <w:color w:val="000000"/>
                <w:sz w:val="20"/>
                <w:szCs w:val="20"/>
              </w:rPr>
              <w:t>项目</w:t>
            </w:r>
          </w:p>
        </w:tc>
        <w:tc>
          <w:tcPr>
            <w:tcW w:w="3242" w:type="pct"/>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14:paraId="2E48C54D">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20"/>
                <w:szCs w:val="20"/>
              </w:rPr>
            </w:pPr>
            <w:r>
              <w:rPr>
                <w:rFonts w:cs="宋体"/>
                <w:b/>
                <w:color w:val="000000"/>
                <w:sz w:val="20"/>
                <w:szCs w:val="20"/>
              </w:rPr>
              <w:t>本年支出</w:t>
            </w:r>
          </w:p>
        </w:tc>
      </w:tr>
      <w:tr w14:paraId="6677182F">
        <w:tblPrEx>
          <w:tblCellMar>
            <w:top w:w="0" w:type="dxa"/>
            <w:left w:w="0" w:type="dxa"/>
            <w:bottom w:w="0" w:type="dxa"/>
            <w:right w:w="0" w:type="dxa"/>
          </w:tblCellMar>
        </w:tblPrEx>
        <w:trPr>
          <w:trHeight w:val="326" w:hRule="atLeast"/>
        </w:trPr>
        <w:tc>
          <w:tcPr>
            <w:tcW w:w="604" w:type="pct"/>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4599B82D">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20"/>
                <w:szCs w:val="20"/>
              </w:rPr>
            </w:pPr>
            <w:r>
              <w:rPr>
                <w:rFonts w:cs="宋体"/>
                <w:b/>
                <w:color w:val="000000"/>
                <w:sz w:val="20"/>
                <w:szCs w:val="20"/>
              </w:rPr>
              <w:t>功能分类科目编码</w:t>
            </w:r>
          </w:p>
        </w:tc>
        <w:tc>
          <w:tcPr>
            <w:tcW w:w="1154"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4AC0E92E">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20"/>
                <w:szCs w:val="20"/>
              </w:rPr>
            </w:pPr>
            <w:r>
              <w:rPr>
                <w:rFonts w:cs="宋体"/>
                <w:b/>
                <w:color w:val="000000"/>
                <w:sz w:val="20"/>
                <w:szCs w:val="20"/>
              </w:rPr>
              <w:t>项目（按“项”级功能分类科目）</w:t>
            </w:r>
          </w:p>
        </w:tc>
        <w:tc>
          <w:tcPr>
            <w:tcW w:w="1079"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1C41DF7D">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20"/>
                <w:szCs w:val="20"/>
              </w:rPr>
            </w:pPr>
            <w:r>
              <w:rPr>
                <w:rFonts w:cs="宋体"/>
                <w:b/>
                <w:color w:val="000000"/>
                <w:sz w:val="20"/>
                <w:szCs w:val="20"/>
              </w:rPr>
              <w:t>合计</w:t>
            </w:r>
          </w:p>
        </w:tc>
        <w:tc>
          <w:tcPr>
            <w:tcW w:w="1079"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5F1D1348">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20"/>
                <w:szCs w:val="20"/>
              </w:rPr>
            </w:pPr>
            <w:r>
              <w:rPr>
                <w:rFonts w:cs="宋体"/>
                <w:b/>
                <w:color w:val="000000"/>
                <w:sz w:val="20"/>
                <w:szCs w:val="20"/>
              </w:rPr>
              <w:t>基本支出</w:t>
            </w:r>
          </w:p>
        </w:tc>
        <w:tc>
          <w:tcPr>
            <w:tcW w:w="1084"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731A0E65">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20"/>
                <w:szCs w:val="20"/>
              </w:rPr>
            </w:pPr>
            <w:r>
              <w:rPr>
                <w:rFonts w:cs="宋体"/>
                <w:b/>
                <w:color w:val="000000"/>
                <w:sz w:val="20"/>
                <w:szCs w:val="20"/>
              </w:rPr>
              <w:t>项目支出</w:t>
            </w:r>
          </w:p>
        </w:tc>
      </w:tr>
      <w:tr w14:paraId="2645595C">
        <w:tblPrEx>
          <w:tblCellMar>
            <w:top w:w="0" w:type="dxa"/>
            <w:left w:w="0" w:type="dxa"/>
            <w:bottom w:w="0" w:type="dxa"/>
            <w:right w:w="0" w:type="dxa"/>
          </w:tblCellMar>
        </w:tblPrEx>
        <w:trPr>
          <w:trHeight w:val="326" w:hRule="atLeast"/>
        </w:trPr>
        <w:tc>
          <w:tcPr>
            <w:tcW w:w="604" w:type="pct"/>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6FD8A210">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20"/>
                <w:szCs w:val="20"/>
              </w:rPr>
            </w:pPr>
          </w:p>
        </w:tc>
        <w:tc>
          <w:tcPr>
            <w:tcW w:w="1154"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12A3ECB9">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20"/>
                <w:szCs w:val="20"/>
              </w:rPr>
            </w:pPr>
          </w:p>
        </w:tc>
        <w:tc>
          <w:tcPr>
            <w:tcW w:w="1079"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61A5033D">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20"/>
                <w:szCs w:val="20"/>
              </w:rPr>
            </w:pPr>
          </w:p>
        </w:tc>
        <w:tc>
          <w:tcPr>
            <w:tcW w:w="1079"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496040B9">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20"/>
                <w:szCs w:val="20"/>
              </w:rPr>
            </w:pPr>
          </w:p>
        </w:tc>
        <w:tc>
          <w:tcPr>
            <w:tcW w:w="1084"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6F6CE974">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20"/>
                <w:szCs w:val="20"/>
              </w:rPr>
            </w:pPr>
          </w:p>
        </w:tc>
      </w:tr>
      <w:tr w14:paraId="7EF3DB17">
        <w:tblPrEx>
          <w:tblCellMar>
            <w:top w:w="0" w:type="dxa"/>
            <w:left w:w="0" w:type="dxa"/>
            <w:bottom w:w="0" w:type="dxa"/>
            <w:right w:w="0" w:type="dxa"/>
          </w:tblCellMar>
        </w:tblPrEx>
        <w:trPr>
          <w:trHeight w:val="615" w:hRule="atLeast"/>
        </w:trPr>
        <w:tc>
          <w:tcPr>
            <w:tcW w:w="604" w:type="pct"/>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7170FF30">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20"/>
                <w:szCs w:val="20"/>
              </w:rPr>
            </w:pPr>
          </w:p>
        </w:tc>
        <w:tc>
          <w:tcPr>
            <w:tcW w:w="1154"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2A3F398E">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20"/>
                <w:szCs w:val="20"/>
              </w:rPr>
            </w:pPr>
          </w:p>
        </w:tc>
        <w:tc>
          <w:tcPr>
            <w:tcW w:w="1079"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6726B4E2">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20"/>
                <w:szCs w:val="20"/>
              </w:rPr>
            </w:pPr>
          </w:p>
        </w:tc>
        <w:tc>
          <w:tcPr>
            <w:tcW w:w="1079"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5A63576A">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20"/>
                <w:szCs w:val="20"/>
              </w:rPr>
            </w:pPr>
          </w:p>
        </w:tc>
        <w:tc>
          <w:tcPr>
            <w:tcW w:w="1084"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6381C8A1">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20"/>
                <w:szCs w:val="20"/>
              </w:rPr>
            </w:pPr>
          </w:p>
        </w:tc>
      </w:tr>
      <w:tr w14:paraId="012AA0AC">
        <w:tblPrEx>
          <w:tblCellMar>
            <w:top w:w="0" w:type="dxa"/>
            <w:left w:w="0" w:type="dxa"/>
            <w:bottom w:w="0" w:type="dxa"/>
            <w:right w:w="0" w:type="dxa"/>
          </w:tblCellMar>
        </w:tblPrEx>
        <w:trPr>
          <w:trHeight w:val="308" w:hRule="atLeast"/>
        </w:trPr>
        <w:tc>
          <w:tcPr>
            <w:tcW w:w="1758" w:type="pct"/>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85C8D51">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20"/>
                <w:szCs w:val="20"/>
              </w:rPr>
            </w:pPr>
            <w:r>
              <w:rPr>
                <w:rFonts w:cs="宋体"/>
                <w:b/>
                <w:color w:val="000000"/>
                <w:sz w:val="20"/>
                <w:szCs w:val="20"/>
              </w:rPr>
              <w:t>合计</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B66D01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bCs/>
                <w:color w:val="000000"/>
                <w:sz w:val="20"/>
                <w:szCs w:val="20"/>
              </w:rPr>
              <w:t>1,718.14</w:t>
            </w:r>
            <w:r>
              <w:rPr>
                <w:b/>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E9B31BE">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bCs/>
                <w:color w:val="000000"/>
                <w:sz w:val="20"/>
                <w:szCs w:val="20"/>
              </w:rPr>
              <w:t>1,271.62</w:t>
            </w:r>
            <w:r>
              <w:rPr>
                <w:b/>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470BC13">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bCs/>
                <w:color w:val="000000"/>
                <w:sz w:val="20"/>
                <w:szCs w:val="20"/>
              </w:rPr>
              <w:t>446.53</w:t>
            </w:r>
            <w:r>
              <w:rPr>
                <w:b/>
                <w:color w:val="000000"/>
                <w:sz w:val="20"/>
                <w:u w:color="auto"/>
              </w:rPr>
              <w:t xml:space="preserve"> </w:t>
            </w:r>
          </w:p>
        </w:tc>
      </w:tr>
      <w:tr w14:paraId="4905919E">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E406A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208</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FFEB0E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社会保障和就业支出</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0A58449">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97.76</w:t>
            </w:r>
            <w:r>
              <w:rPr>
                <w:b/>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34327A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97.76</w:t>
            </w:r>
            <w:r>
              <w:rPr>
                <w:b/>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53CAB6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r>
      <w:tr w14:paraId="5BFEA263">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CB5F7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20805</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91BB467">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行政事业单位养老支出</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A59518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97.76</w:t>
            </w:r>
            <w:r>
              <w:rPr>
                <w:b/>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B3C759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97.76</w:t>
            </w:r>
            <w:r>
              <w:rPr>
                <w:b/>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E884AF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r>
      <w:tr w14:paraId="159FCBF4">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1AA5D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2080505</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BE9298D">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机关事业单位基本养老保险缴费支出</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9101BF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54.31</w:t>
            </w:r>
            <w:r>
              <w:rPr>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F63581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54.31</w:t>
            </w:r>
            <w:r>
              <w:rPr>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B347F1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r>
      <w:tr w14:paraId="040E87B9">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98FE3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2080506</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E4D0A64">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机关事业单位职业年金缴费支出</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F21E07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32.16</w:t>
            </w:r>
            <w:r>
              <w:rPr>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5F8689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32.16</w:t>
            </w:r>
            <w:r>
              <w:rPr>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4154DD3">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r>
      <w:tr w14:paraId="70A36CB4">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18179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2080599</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858DFC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其他行政事业单位养老支出</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9F69B4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11.28</w:t>
            </w:r>
            <w:r>
              <w:rPr>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D2603E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11.28</w:t>
            </w:r>
            <w:r>
              <w:rPr>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31C2826">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r>
      <w:tr w14:paraId="42C8EB08">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5CFFE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210</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3B6E4C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卫生健康支出</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E81977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44.14</w:t>
            </w:r>
            <w:r>
              <w:rPr>
                <w:b/>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72C5C79">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44.14</w:t>
            </w:r>
            <w:r>
              <w:rPr>
                <w:b/>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0A0D12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r>
      <w:tr w14:paraId="4BDA7A17">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B15503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21011</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38D439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行政事业单位医疗</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D74C17E">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44.14</w:t>
            </w:r>
            <w:r>
              <w:rPr>
                <w:b/>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66A4F1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44.14</w:t>
            </w:r>
            <w:r>
              <w:rPr>
                <w:b/>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0B3DA7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r>
      <w:tr w14:paraId="16F8A99C">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41573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2101102</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B5389E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事业单位医疗</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0A23D1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27.36</w:t>
            </w:r>
            <w:r>
              <w:rPr>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521F3C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27.36</w:t>
            </w:r>
            <w:r>
              <w:rPr>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246F3E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r>
      <w:tr w14:paraId="7139EDB8">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55688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2101199</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837824A">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其他行政事业单位医疗支出</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CD144E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16.79</w:t>
            </w:r>
            <w:r>
              <w:rPr>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5B0316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16.79</w:t>
            </w:r>
            <w:r>
              <w:rPr>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8B30639">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r>
      <w:tr w14:paraId="22F60340">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E43FEE4">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214</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6DDE0F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交通运输支出</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E75FF6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1,543.14</w:t>
            </w:r>
            <w:r>
              <w:rPr>
                <w:b/>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EEA2E4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1,096.61</w:t>
            </w:r>
            <w:r>
              <w:rPr>
                <w:b/>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0F88B9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446.53</w:t>
            </w:r>
            <w:r>
              <w:rPr>
                <w:b/>
                <w:color w:val="000000"/>
                <w:sz w:val="20"/>
                <w:u w:color="auto"/>
              </w:rPr>
              <w:t xml:space="preserve"> </w:t>
            </w:r>
          </w:p>
        </w:tc>
      </w:tr>
      <w:tr w14:paraId="57CE374D">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776B9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21401</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3CF225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公路水路运输</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172AB7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1,543.14</w:t>
            </w:r>
            <w:r>
              <w:rPr>
                <w:b/>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BAF386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1,096.61</w:t>
            </w:r>
            <w:r>
              <w:rPr>
                <w:b/>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71A8753">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446.53</w:t>
            </w:r>
            <w:r>
              <w:rPr>
                <w:b/>
                <w:color w:val="000000"/>
                <w:sz w:val="20"/>
                <w:u w:color="auto"/>
              </w:rPr>
              <w:t xml:space="preserve"> </w:t>
            </w:r>
          </w:p>
        </w:tc>
      </w:tr>
      <w:tr w14:paraId="28993045">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A095DD">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2140106</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67371B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公路养护</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8BC61F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60.00</w:t>
            </w:r>
            <w:r>
              <w:rPr>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A0080A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E3317C3">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60.00</w:t>
            </w:r>
            <w:r>
              <w:rPr>
                <w:color w:val="000000"/>
                <w:sz w:val="20"/>
                <w:u w:color="auto"/>
              </w:rPr>
              <w:t xml:space="preserve"> </w:t>
            </w:r>
          </w:p>
        </w:tc>
      </w:tr>
      <w:tr w14:paraId="20A52248">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18756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2140110</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ADE567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公路和运输安全</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12BBD3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67.93</w:t>
            </w:r>
            <w:r>
              <w:rPr>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86C0DB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E18B7C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67.93</w:t>
            </w:r>
            <w:r>
              <w:rPr>
                <w:color w:val="000000"/>
                <w:sz w:val="20"/>
                <w:u w:color="auto"/>
              </w:rPr>
              <w:t xml:space="preserve"> </w:t>
            </w:r>
          </w:p>
        </w:tc>
      </w:tr>
      <w:tr w14:paraId="5AA62E31">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95D5C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2140112</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01F8135">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公路运输管理</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D31D023">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1,415.20</w:t>
            </w:r>
            <w:r>
              <w:rPr>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0600C2E">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1,096.61</w:t>
            </w:r>
            <w:r>
              <w:rPr>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60AB12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318.59</w:t>
            </w:r>
            <w:r>
              <w:rPr>
                <w:color w:val="000000"/>
                <w:sz w:val="20"/>
                <w:u w:color="auto"/>
              </w:rPr>
              <w:t xml:space="preserve"> </w:t>
            </w:r>
          </w:p>
        </w:tc>
      </w:tr>
      <w:tr w14:paraId="036ED549">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392F35">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221</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3A2499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住房保障支出</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B44875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33.11</w:t>
            </w:r>
            <w:r>
              <w:rPr>
                <w:b/>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6D6329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33.11</w:t>
            </w:r>
            <w:r>
              <w:rPr>
                <w:b/>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B20DF6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r>
      <w:tr w14:paraId="343C33B6">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1C759A">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22102</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C7AF67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b/>
                <w:color w:val="000000"/>
                <w:sz w:val="20"/>
                <w:szCs w:val="20"/>
              </w:rPr>
              <w:t>住房改革支出</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1B5024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33.11</w:t>
            </w:r>
            <w:r>
              <w:rPr>
                <w:b/>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59F29B9">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b/>
                <w:color w:val="000000"/>
                <w:sz w:val="20"/>
                <w:szCs w:val="20"/>
              </w:rPr>
              <w:t>33.11</w:t>
            </w:r>
            <w:r>
              <w:rPr>
                <w:b/>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2E9172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r>
      <w:tr w14:paraId="694E4273">
        <w:tblPrEx>
          <w:tblCellMar>
            <w:top w:w="0" w:type="dxa"/>
            <w:left w:w="0" w:type="dxa"/>
            <w:bottom w:w="0" w:type="dxa"/>
            <w:right w:w="0" w:type="dxa"/>
          </w:tblCellMar>
        </w:tblPrEx>
        <w:trPr>
          <w:trHeight w:val="308" w:hRule="atLeast"/>
        </w:trPr>
        <w:tc>
          <w:tcPr>
            <w:tcW w:w="604"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81DE83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2210201</w:t>
            </w:r>
          </w:p>
        </w:tc>
        <w:tc>
          <w:tcPr>
            <w:tcW w:w="115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76FAF4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20"/>
                <w:szCs w:val="20"/>
              </w:rPr>
            </w:pPr>
            <w:r>
              <w:rPr>
                <w:rFonts w:cs="宋体"/>
                <w:color w:val="000000"/>
                <w:sz w:val="20"/>
                <w:szCs w:val="20"/>
              </w:rPr>
              <w:t>住房公积金</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8726A6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33.11</w:t>
            </w:r>
            <w:r>
              <w:rPr>
                <w:color w:val="000000"/>
                <w:sz w:val="20"/>
                <w:u w:color="auto"/>
              </w:rPr>
              <w:t xml:space="preserve"> </w:t>
            </w:r>
          </w:p>
        </w:tc>
        <w:tc>
          <w:tcPr>
            <w:tcW w:w="1079"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DC8F77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rFonts w:cs="宋体"/>
                <w:color w:val="000000"/>
                <w:sz w:val="20"/>
                <w:szCs w:val="20"/>
              </w:rPr>
              <w:t>33.11</w:t>
            </w:r>
            <w:r>
              <w:rPr>
                <w:color w:val="000000"/>
                <w:sz w:val="20"/>
                <w:u w:color="auto"/>
              </w:rPr>
              <w:t xml:space="preserve"> </w:t>
            </w:r>
          </w:p>
        </w:tc>
        <w:tc>
          <w:tcPr>
            <w:tcW w:w="108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602425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b/>
                <w:color w:val="000000"/>
                <w:sz w:val="20"/>
                <w:szCs w:val="20"/>
              </w:rPr>
            </w:pPr>
            <w:r>
              <w:rPr>
                <w:color w:val="000000"/>
                <w:sz w:val="20"/>
                <w:u w:color="auto"/>
              </w:rPr>
              <w:t xml:space="preserve"> </w:t>
            </w:r>
          </w:p>
        </w:tc>
      </w:tr>
    </w:tbl>
    <w:p w14:paraId="51006785">
      <w:pPr>
        <w:keepNext w:val="0"/>
        <w:keepLines w:val="0"/>
        <w:pageBreakBefore w:val="0"/>
        <w:widowControl/>
        <w:kinsoku/>
        <w:overflowPunct/>
        <w:topLinePunct w:val="0"/>
        <w:autoSpaceDE/>
        <w:autoSpaceDN/>
        <w:bidi w:val="0"/>
        <w:adjustRightInd/>
        <w:snapToGrid/>
        <w:spacing w:line="360" w:lineRule="exact"/>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8"/>
        <w:tblW w:w="4994" w:type="pct"/>
        <w:tblInd w:w="0" w:type="dxa"/>
        <w:tblLayout w:type="fixed"/>
        <w:tblCellMar>
          <w:top w:w="0" w:type="dxa"/>
          <w:left w:w="0" w:type="dxa"/>
          <w:bottom w:w="0" w:type="dxa"/>
          <w:right w:w="0" w:type="dxa"/>
        </w:tblCellMar>
      </w:tblPr>
      <w:tblGrid>
        <w:gridCol w:w="605"/>
        <w:gridCol w:w="2740"/>
        <w:gridCol w:w="1376"/>
        <w:gridCol w:w="836"/>
        <w:gridCol w:w="1923"/>
        <w:gridCol w:w="1656"/>
        <w:gridCol w:w="808"/>
        <w:gridCol w:w="3527"/>
        <w:gridCol w:w="1889"/>
      </w:tblGrid>
      <w:tr w14:paraId="4DC8232D">
        <w:tblPrEx>
          <w:tblCellMar>
            <w:top w:w="0" w:type="dxa"/>
            <w:left w:w="0" w:type="dxa"/>
            <w:bottom w:w="0" w:type="dxa"/>
            <w:right w:w="0" w:type="dxa"/>
          </w:tblCellMar>
        </w:tblPrEx>
        <w:trPr>
          <w:trHeight w:val="90" w:hRule="atLeast"/>
        </w:trPr>
        <w:tc>
          <w:tcPr>
            <w:tcW w:w="5000" w:type="pct"/>
            <w:gridSpan w:val="9"/>
            <w:tcBorders>
              <w:top w:val="nil"/>
              <w:left w:val="nil"/>
              <w:bottom w:val="nil"/>
              <w:right w:val="nil"/>
            </w:tcBorders>
            <w:shd w:val="clear" w:color="auto" w:fill="auto"/>
            <w:noWrap/>
            <w:tcMar>
              <w:top w:w="15" w:type="dxa"/>
              <w:left w:w="15" w:type="dxa"/>
              <w:right w:w="15" w:type="dxa"/>
            </w:tcMar>
            <w:vAlign w:val="bottom"/>
          </w:tcPr>
          <w:p w14:paraId="2F95933D">
            <w:pPr>
              <w:keepNext w:val="0"/>
              <w:keepLines w:val="0"/>
              <w:pageBreakBefore w:val="0"/>
              <w:kinsoku/>
              <w:overflowPunct/>
              <w:topLinePunct w:val="0"/>
              <w:autoSpaceDN/>
              <w:bidi w:val="0"/>
              <w:adjustRightInd/>
              <w:spacing w:line="60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14:paraId="74F91672">
        <w:tblPrEx>
          <w:tblCellMar>
            <w:top w:w="0" w:type="dxa"/>
            <w:left w:w="0" w:type="dxa"/>
            <w:bottom w:w="0" w:type="dxa"/>
            <w:right w:w="0" w:type="dxa"/>
          </w:tblCellMar>
        </w:tblPrEx>
        <w:trPr>
          <w:trHeight w:val="90" w:hRule="atLeast"/>
        </w:trPr>
        <w:tc>
          <w:tcPr>
            <w:tcW w:w="1809" w:type="pct"/>
            <w:gridSpan w:val="4"/>
            <w:vMerge w:val="restart"/>
            <w:tcBorders>
              <w:top w:val="nil"/>
              <w:left w:val="nil"/>
              <w:right w:val="nil"/>
            </w:tcBorders>
            <w:shd w:val="clear" w:color="auto" w:fill="auto"/>
            <w:noWrap/>
            <w:tcMar>
              <w:top w:w="15" w:type="dxa"/>
              <w:left w:w="15" w:type="dxa"/>
              <w:right w:w="15" w:type="dxa"/>
            </w:tcMar>
            <w:vAlign w:val="bottom"/>
          </w:tcPr>
          <w:p w14:paraId="28B23B6B">
            <w:pPr>
              <w:keepNext w:val="0"/>
              <w:keepLines w:val="0"/>
              <w:pageBreakBefore w:val="0"/>
              <w:widowControl/>
              <w:kinsoku/>
              <w:wordWrap/>
              <w:overflowPunct/>
              <w:topLinePunct w:val="0"/>
              <w:autoSpaceDE/>
              <w:autoSpaceDN/>
              <w:bidi w:val="0"/>
              <w:adjustRightInd/>
              <w:snapToGrid/>
              <w:spacing w:line="360" w:lineRule="exact"/>
              <w:textAlignment w:val="auto"/>
              <w:rPr>
                <w:rFonts w:hint="default" w:cs="宋体"/>
                <w:color w:val="000000"/>
                <w:sz w:val="18"/>
                <w:szCs w:val="18"/>
              </w:rPr>
            </w:pPr>
            <w:r>
              <w:rPr>
                <w:rFonts w:cs="宋体"/>
                <w:sz w:val="20"/>
                <w:szCs w:val="20"/>
              </w:rPr>
              <w:t>公开单位</w:t>
            </w:r>
            <w:r>
              <w:rPr>
                <w:rFonts w:cs="宋体"/>
                <w:color w:val="000000"/>
                <w:sz w:val="20"/>
                <w:szCs w:val="20"/>
              </w:rPr>
              <w:t xml:space="preserve">： </w:t>
            </w:r>
            <w:r>
              <w:rPr>
                <w:color w:val="000000"/>
                <w:sz w:val="20"/>
                <w:u w:color="auto"/>
              </w:rPr>
              <w:t>丰都县交通运输综合行政执法支队</w:t>
            </w:r>
          </w:p>
        </w:tc>
        <w:tc>
          <w:tcPr>
            <w:tcW w:w="626" w:type="pct"/>
            <w:tcBorders>
              <w:top w:val="nil"/>
              <w:left w:val="nil"/>
              <w:bottom w:val="nil"/>
              <w:right w:val="nil"/>
            </w:tcBorders>
            <w:shd w:val="clear" w:color="auto" w:fill="auto"/>
            <w:noWrap/>
            <w:tcMar>
              <w:top w:w="15" w:type="dxa"/>
              <w:left w:w="15" w:type="dxa"/>
              <w:right w:w="15" w:type="dxa"/>
            </w:tcMar>
            <w:vAlign w:val="bottom"/>
          </w:tcPr>
          <w:p w14:paraId="63988368">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539" w:type="pct"/>
            <w:tcBorders>
              <w:top w:val="nil"/>
              <w:left w:val="nil"/>
              <w:bottom w:val="nil"/>
              <w:right w:val="nil"/>
            </w:tcBorders>
            <w:shd w:val="clear" w:color="auto" w:fill="auto"/>
            <w:noWrap/>
            <w:tcMar>
              <w:top w:w="15" w:type="dxa"/>
              <w:left w:w="15" w:type="dxa"/>
              <w:right w:w="15" w:type="dxa"/>
            </w:tcMar>
            <w:vAlign w:val="bottom"/>
          </w:tcPr>
          <w:p w14:paraId="34D61A79">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263" w:type="pct"/>
            <w:tcBorders>
              <w:top w:val="nil"/>
              <w:left w:val="nil"/>
              <w:bottom w:val="nil"/>
              <w:right w:val="nil"/>
            </w:tcBorders>
            <w:shd w:val="clear" w:color="auto" w:fill="auto"/>
            <w:noWrap/>
            <w:tcMar>
              <w:top w:w="15" w:type="dxa"/>
              <w:left w:w="15" w:type="dxa"/>
              <w:right w:w="15" w:type="dxa"/>
            </w:tcMar>
            <w:vAlign w:val="bottom"/>
          </w:tcPr>
          <w:p w14:paraId="6B95CF27">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1148" w:type="pct"/>
            <w:tcBorders>
              <w:top w:val="nil"/>
              <w:left w:val="nil"/>
              <w:bottom w:val="nil"/>
              <w:right w:val="nil"/>
            </w:tcBorders>
            <w:shd w:val="clear" w:color="auto" w:fill="auto"/>
            <w:noWrap/>
            <w:tcMar>
              <w:top w:w="15" w:type="dxa"/>
              <w:left w:w="15" w:type="dxa"/>
              <w:right w:w="15" w:type="dxa"/>
            </w:tcMar>
            <w:vAlign w:val="bottom"/>
          </w:tcPr>
          <w:p w14:paraId="0C0CE2AF">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615" w:type="pct"/>
            <w:tcBorders>
              <w:top w:val="nil"/>
              <w:left w:val="nil"/>
              <w:bottom w:val="nil"/>
              <w:right w:val="nil"/>
            </w:tcBorders>
            <w:shd w:val="clear" w:color="auto" w:fill="auto"/>
            <w:noWrap/>
            <w:tcMar>
              <w:top w:w="15" w:type="dxa"/>
              <w:left w:w="15" w:type="dxa"/>
              <w:right w:w="15" w:type="dxa"/>
            </w:tcMar>
            <w:vAlign w:val="bottom"/>
          </w:tcPr>
          <w:p w14:paraId="48AFDF8C">
            <w:pPr>
              <w:keepNext w:val="0"/>
              <w:keepLines w:val="0"/>
              <w:pageBreakBefore w:val="0"/>
              <w:widowControl/>
              <w:kinsoku/>
              <w:overflowPunct/>
              <w:topLinePunct w:val="0"/>
              <w:autoSpaceDE/>
              <w:autoSpaceDN/>
              <w:bidi w:val="0"/>
              <w:adjustRightInd/>
              <w:snapToGrid/>
              <w:spacing w:line="360" w:lineRule="exact"/>
              <w:jc w:val="right"/>
              <w:textAlignment w:val="bottom"/>
              <w:rPr>
                <w:rFonts w:hint="default" w:cs="宋体"/>
                <w:color w:val="000000"/>
                <w:sz w:val="20"/>
                <w:szCs w:val="20"/>
              </w:rPr>
            </w:pPr>
            <w:r>
              <w:rPr>
                <w:rFonts w:cs="宋体"/>
                <w:color w:val="000000"/>
                <w:sz w:val="20"/>
                <w:szCs w:val="20"/>
              </w:rPr>
              <w:t>公开06表</w:t>
            </w:r>
          </w:p>
        </w:tc>
      </w:tr>
      <w:tr w14:paraId="4FE8E055">
        <w:tblPrEx>
          <w:tblCellMar>
            <w:top w:w="0" w:type="dxa"/>
            <w:left w:w="0" w:type="dxa"/>
            <w:bottom w:w="0" w:type="dxa"/>
            <w:right w:w="0" w:type="dxa"/>
          </w:tblCellMar>
        </w:tblPrEx>
        <w:trPr>
          <w:trHeight w:val="90" w:hRule="atLeast"/>
        </w:trPr>
        <w:tc>
          <w:tcPr>
            <w:tcW w:w="1809" w:type="pct"/>
            <w:gridSpan w:val="4"/>
            <w:vMerge w:val="continue"/>
            <w:tcBorders>
              <w:left w:val="nil"/>
              <w:bottom w:val="nil"/>
              <w:right w:val="nil"/>
            </w:tcBorders>
            <w:shd w:val="clear" w:color="auto" w:fill="auto"/>
            <w:noWrap/>
            <w:tcMar>
              <w:top w:w="15" w:type="dxa"/>
              <w:left w:w="15" w:type="dxa"/>
              <w:right w:w="15" w:type="dxa"/>
            </w:tcMar>
            <w:vAlign w:val="bottom"/>
          </w:tcPr>
          <w:p w14:paraId="7D97209B">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626" w:type="pct"/>
            <w:tcBorders>
              <w:top w:val="nil"/>
              <w:left w:val="nil"/>
              <w:bottom w:val="nil"/>
              <w:right w:val="nil"/>
            </w:tcBorders>
            <w:shd w:val="clear" w:color="auto" w:fill="auto"/>
            <w:noWrap/>
            <w:tcMar>
              <w:top w:w="15" w:type="dxa"/>
              <w:left w:w="15" w:type="dxa"/>
              <w:right w:w="15" w:type="dxa"/>
            </w:tcMar>
            <w:vAlign w:val="bottom"/>
          </w:tcPr>
          <w:p w14:paraId="05D29E0E">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539" w:type="pct"/>
            <w:tcBorders>
              <w:top w:val="nil"/>
              <w:left w:val="nil"/>
              <w:bottom w:val="nil"/>
              <w:right w:val="nil"/>
            </w:tcBorders>
            <w:shd w:val="clear" w:color="auto" w:fill="auto"/>
            <w:noWrap/>
            <w:tcMar>
              <w:top w:w="15" w:type="dxa"/>
              <w:left w:w="15" w:type="dxa"/>
              <w:right w:w="15" w:type="dxa"/>
            </w:tcMar>
            <w:vAlign w:val="bottom"/>
          </w:tcPr>
          <w:p w14:paraId="23A92A07">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263" w:type="pct"/>
            <w:tcBorders>
              <w:top w:val="nil"/>
              <w:left w:val="nil"/>
              <w:bottom w:val="nil"/>
              <w:right w:val="nil"/>
            </w:tcBorders>
            <w:shd w:val="clear" w:color="auto" w:fill="auto"/>
            <w:noWrap/>
            <w:tcMar>
              <w:top w:w="15" w:type="dxa"/>
              <w:left w:w="15" w:type="dxa"/>
              <w:right w:w="15" w:type="dxa"/>
            </w:tcMar>
            <w:vAlign w:val="bottom"/>
          </w:tcPr>
          <w:p w14:paraId="32E7F467">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1148" w:type="pct"/>
            <w:tcBorders>
              <w:top w:val="nil"/>
              <w:left w:val="nil"/>
              <w:bottom w:val="nil"/>
              <w:right w:val="nil"/>
            </w:tcBorders>
            <w:shd w:val="clear" w:color="auto" w:fill="auto"/>
            <w:noWrap/>
            <w:tcMar>
              <w:top w:w="15" w:type="dxa"/>
              <w:left w:w="15" w:type="dxa"/>
              <w:right w:w="15" w:type="dxa"/>
            </w:tcMar>
            <w:vAlign w:val="bottom"/>
          </w:tcPr>
          <w:p w14:paraId="48699486">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8"/>
                <w:szCs w:val="18"/>
              </w:rPr>
            </w:pPr>
          </w:p>
        </w:tc>
        <w:tc>
          <w:tcPr>
            <w:tcW w:w="615" w:type="pct"/>
            <w:tcBorders>
              <w:top w:val="nil"/>
              <w:left w:val="nil"/>
              <w:bottom w:val="nil"/>
              <w:right w:val="nil"/>
            </w:tcBorders>
            <w:shd w:val="clear" w:color="auto" w:fill="auto"/>
            <w:noWrap/>
            <w:tcMar>
              <w:top w:w="15" w:type="dxa"/>
              <w:left w:w="15" w:type="dxa"/>
              <w:right w:w="15" w:type="dxa"/>
            </w:tcMar>
            <w:vAlign w:val="bottom"/>
          </w:tcPr>
          <w:p w14:paraId="2C226514">
            <w:pPr>
              <w:keepNext w:val="0"/>
              <w:keepLines w:val="0"/>
              <w:pageBreakBefore w:val="0"/>
              <w:widowControl/>
              <w:kinsoku/>
              <w:overflowPunct/>
              <w:topLinePunct w:val="0"/>
              <w:autoSpaceDE/>
              <w:autoSpaceDN/>
              <w:bidi w:val="0"/>
              <w:adjustRightInd/>
              <w:snapToGrid/>
              <w:spacing w:line="36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37293A46">
        <w:tblPrEx>
          <w:tblCellMar>
            <w:top w:w="0" w:type="dxa"/>
            <w:left w:w="0" w:type="dxa"/>
            <w:bottom w:w="0" w:type="dxa"/>
            <w:right w:w="0" w:type="dxa"/>
          </w:tblCellMar>
        </w:tblPrEx>
        <w:trPr>
          <w:trHeight w:val="90" w:hRule="atLeast"/>
        </w:trPr>
        <w:tc>
          <w:tcPr>
            <w:tcW w:w="1537" w:type="pct"/>
            <w:gridSpan w:val="3"/>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4A57162">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人员经费</w:t>
            </w:r>
          </w:p>
        </w:tc>
        <w:tc>
          <w:tcPr>
            <w:tcW w:w="3463" w:type="pct"/>
            <w:gridSpan w:val="6"/>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14:paraId="14B63F53">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公用经费</w:t>
            </w:r>
          </w:p>
        </w:tc>
      </w:tr>
      <w:tr w14:paraId="2EAE861D">
        <w:tblPrEx>
          <w:tblCellMar>
            <w:top w:w="0" w:type="dxa"/>
            <w:left w:w="0" w:type="dxa"/>
            <w:bottom w:w="0" w:type="dxa"/>
            <w:right w:w="0" w:type="dxa"/>
          </w:tblCellMar>
        </w:tblPrEx>
        <w:trPr>
          <w:trHeight w:val="312" w:hRule="atLeast"/>
        </w:trPr>
        <w:tc>
          <w:tcPr>
            <w:tcW w:w="197" w:type="pct"/>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1D74795C">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892"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143751D9">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经济分类科目（按“款”级</w:t>
            </w:r>
            <w:r>
              <w:rPr>
                <w:rFonts w:hint="eastAsia" w:cs="宋体"/>
                <w:b/>
                <w:color w:val="000000"/>
                <w:sz w:val="18"/>
                <w:szCs w:val="18"/>
                <w:lang w:eastAsia="zh-CN"/>
              </w:rPr>
              <w:t>经济</w:t>
            </w:r>
            <w:r>
              <w:rPr>
                <w:rFonts w:cs="宋体"/>
                <w:b/>
                <w:color w:val="000000"/>
                <w:sz w:val="18"/>
                <w:szCs w:val="18"/>
              </w:rPr>
              <w:t>分类科目）</w:t>
            </w:r>
          </w:p>
        </w:tc>
        <w:tc>
          <w:tcPr>
            <w:tcW w:w="448"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59569FE7">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金额</w:t>
            </w:r>
          </w:p>
        </w:tc>
        <w:tc>
          <w:tcPr>
            <w:tcW w:w="272" w:type="pct"/>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29B19BD6">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626"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6FF4990E">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经济分类科目（按“款”级</w:t>
            </w:r>
            <w:r>
              <w:rPr>
                <w:rFonts w:hint="eastAsia" w:cs="宋体"/>
                <w:b/>
                <w:color w:val="000000"/>
                <w:sz w:val="18"/>
                <w:szCs w:val="18"/>
                <w:lang w:eastAsia="zh-CN"/>
              </w:rPr>
              <w:t>经济</w:t>
            </w:r>
            <w:r>
              <w:rPr>
                <w:rFonts w:cs="宋体"/>
                <w:b/>
                <w:color w:val="000000"/>
                <w:sz w:val="18"/>
                <w:szCs w:val="18"/>
              </w:rPr>
              <w:t>分类科目）</w:t>
            </w:r>
          </w:p>
        </w:tc>
        <w:tc>
          <w:tcPr>
            <w:tcW w:w="539"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6F2C05CB">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金额</w:t>
            </w:r>
          </w:p>
        </w:tc>
        <w:tc>
          <w:tcPr>
            <w:tcW w:w="263" w:type="pct"/>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7FC32D52">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148"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64FA492F">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经济分类科目（按“款”级</w:t>
            </w:r>
            <w:r>
              <w:rPr>
                <w:rFonts w:hint="eastAsia" w:cs="宋体"/>
                <w:b/>
                <w:color w:val="000000"/>
                <w:sz w:val="18"/>
                <w:szCs w:val="18"/>
                <w:lang w:eastAsia="zh-CN"/>
              </w:rPr>
              <w:t>经济</w:t>
            </w:r>
            <w:r>
              <w:rPr>
                <w:rFonts w:cs="宋体"/>
                <w:b/>
                <w:color w:val="000000"/>
                <w:sz w:val="18"/>
                <w:szCs w:val="18"/>
              </w:rPr>
              <w:t>分类科目）</w:t>
            </w:r>
          </w:p>
        </w:tc>
        <w:tc>
          <w:tcPr>
            <w:tcW w:w="615"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4A2B1580">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8"/>
                <w:szCs w:val="18"/>
              </w:rPr>
            </w:pPr>
            <w:r>
              <w:rPr>
                <w:rFonts w:cs="宋体"/>
                <w:b/>
                <w:color w:val="000000"/>
                <w:sz w:val="18"/>
                <w:szCs w:val="18"/>
              </w:rPr>
              <w:t>金额</w:t>
            </w:r>
          </w:p>
        </w:tc>
      </w:tr>
      <w:tr w14:paraId="689D67D7">
        <w:tblPrEx>
          <w:tblCellMar>
            <w:top w:w="0" w:type="dxa"/>
            <w:left w:w="0" w:type="dxa"/>
            <w:bottom w:w="0" w:type="dxa"/>
            <w:right w:w="0" w:type="dxa"/>
          </w:tblCellMar>
        </w:tblPrEx>
        <w:trPr>
          <w:trHeight w:val="312" w:hRule="atLeast"/>
        </w:trPr>
        <w:tc>
          <w:tcPr>
            <w:tcW w:w="197" w:type="pct"/>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2357485F">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8"/>
                <w:szCs w:val="18"/>
              </w:rPr>
            </w:pPr>
          </w:p>
        </w:tc>
        <w:tc>
          <w:tcPr>
            <w:tcW w:w="892"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09A7A1F8">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8"/>
                <w:szCs w:val="18"/>
              </w:rPr>
            </w:pPr>
          </w:p>
        </w:tc>
        <w:tc>
          <w:tcPr>
            <w:tcW w:w="448"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0ED0112F">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8"/>
                <w:szCs w:val="18"/>
              </w:rPr>
            </w:pPr>
          </w:p>
        </w:tc>
        <w:tc>
          <w:tcPr>
            <w:tcW w:w="272" w:type="pct"/>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90149DE">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8"/>
                <w:szCs w:val="18"/>
              </w:rPr>
            </w:pPr>
          </w:p>
        </w:tc>
        <w:tc>
          <w:tcPr>
            <w:tcW w:w="626"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0D3E8732">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8"/>
                <w:szCs w:val="18"/>
              </w:rPr>
            </w:pPr>
          </w:p>
        </w:tc>
        <w:tc>
          <w:tcPr>
            <w:tcW w:w="539"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4C9292B7">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8"/>
                <w:szCs w:val="18"/>
              </w:rPr>
            </w:pPr>
          </w:p>
        </w:tc>
        <w:tc>
          <w:tcPr>
            <w:tcW w:w="263" w:type="pct"/>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4AFBD5F1">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8"/>
                <w:szCs w:val="18"/>
              </w:rPr>
            </w:pPr>
          </w:p>
        </w:tc>
        <w:tc>
          <w:tcPr>
            <w:tcW w:w="1148"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6593C82B">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8"/>
                <w:szCs w:val="18"/>
              </w:rPr>
            </w:pPr>
          </w:p>
        </w:tc>
        <w:tc>
          <w:tcPr>
            <w:tcW w:w="615"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38D9881D">
            <w:pPr>
              <w:keepNext w:val="0"/>
              <w:keepLines w:val="0"/>
              <w:pageBreakBefore w:val="0"/>
              <w:widowControl/>
              <w:kinsoku/>
              <w:overflowPunct/>
              <w:topLinePunct w:val="0"/>
              <w:autoSpaceDE/>
              <w:autoSpaceDN/>
              <w:bidi w:val="0"/>
              <w:adjustRightInd/>
              <w:snapToGrid/>
              <w:spacing w:line="360" w:lineRule="exact"/>
              <w:jc w:val="center"/>
              <w:rPr>
                <w:rFonts w:hint="default" w:cs="宋体"/>
                <w:b/>
                <w:color w:val="000000"/>
                <w:sz w:val="18"/>
                <w:szCs w:val="18"/>
              </w:rPr>
            </w:pPr>
          </w:p>
        </w:tc>
      </w:tr>
      <w:tr w14:paraId="48E88045">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D187B8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AC04A6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工资福利支出</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160516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867.31</w:t>
            </w: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2704D0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6644C7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商品和服务支出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66543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369.25</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86567F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AD09C0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资本性支出</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D267CA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2.13</w:t>
            </w:r>
            <w:r>
              <w:rPr>
                <w:color w:val="000000"/>
                <w:sz w:val="16"/>
                <w:szCs w:val="22"/>
                <w:u w:color="auto"/>
              </w:rPr>
              <w:t xml:space="preserve"> </w:t>
            </w:r>
          </w:p>
        </w:tc>
      </w:tr>
      <w:tr w14:paraId="409C175F">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D5124E5">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30101</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CAA9D3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基本工资</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BE8BF6">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187.73</w:t>
            </w: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F1D8F8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30201</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B5FAC1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办公费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3C2A1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26.88</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582B3C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31001</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B0B08F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房屋建筑物购建</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E4339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3141305F">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E5A91E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30102</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D00C67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津贴补贴</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D4391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6.78</w:t>
            </w: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D22AEC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30202</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25A973D">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印刷费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147266">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6.50</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23F07B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31002</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4E04E2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办公设备购置</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12C98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2.13</w:t>
            </w:r>
            <w:r>
              <w:rPr>
                <w:color w:val="000000"/>
                <w:sz w:val="16"/>
                <w:szCs w:val="22"/>
                <w:u w:color="auto"/>
              </w:rPr>
              <w:t xml:space="preserve"> </w:t>
            </w:r>
          </w:p>
        </w:tc>
      </w:tr>
      <w:tr w14:paraId="6507B9D8">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EE2B457">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30103</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800062D">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奖金</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BE024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FED82A4">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30203</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2335AD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咨询费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E09F2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2.00</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076634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31003</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CE27374">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专用设备购置</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336F1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1739E020">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518758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30106</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E05B47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伙食补助费</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8C2736">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AD5901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30204</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989CD0D">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手续费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3B2F5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976E6E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31005</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DEFB72D">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基础设施建设</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866276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0E7FC684">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1FE92E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30107</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F43327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绩效工资</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95819B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469.68</w:t>
            </w: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B667DD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30205</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E3D76F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水费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6FD049">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1.58</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F81675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31006</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53F676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大型修缮</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D1D10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4339CA51">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935FCE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30108</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0872E7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机关事业单位基本养老保险缴费</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16E99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54.55</w:t>
            </w: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CDBBE4F">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30206</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C59CDF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电费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95D47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5.02</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44BF57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31007</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0C88A57">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信息网络及软件购置更新</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C7BA6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3F3EBC96">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7815EE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30109</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F60F8AF">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职业年金缴费</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BC9A4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32.28</w:t>
            </w: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66EA5E7">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30207</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91CA0E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邮电费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850B8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13.69</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B9D99E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31008</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8B91DD4">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物资储备</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FF26E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14B52007">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1424395">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30110</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63881F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职工基本医疗保险缴费</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C91CA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29.13</w:t>
            </w: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8D8FC7F">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30208</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24A663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取暖费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01819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34983E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31009</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FB07E2A">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土地补偿</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F0BD4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7108EFC9">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EA42BB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30111</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AB85DA0">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公务员医疗补助缴费</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8EE735E">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2079B8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30209</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0AF563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物业管理费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BDEC6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234446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31010</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02DBCDD">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安置补助</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08390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3DC1AA00">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01BA3C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30112</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818DBDD">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其他社会保障缴费</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08732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7.26</w:t>
            </w: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A67DE5A">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30211</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07B18EF">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差旅费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12E1A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58.90</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A47748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31011</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EDBA67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地上附着物和青苗补偿</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05D51D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54CF3089">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A487B0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30113</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551691A">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住房公积金</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1CB8399">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38.73</w:t>
            </w: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E635B4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30212</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59A176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因公出国（境）费用</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EB6E1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B7CDFA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31012</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619043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拆迁补偿</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C1874B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1EA1430D">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28E8C1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30114</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D99D9C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医疗费</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C6440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41.17</w:t>
            </w: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FFE9E77">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30213</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524DEF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维修（护）费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CF497E">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29.96</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557A54F">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31013</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B47B087">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公务用车购置</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3D5EE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07CD13AA">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76E764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30199</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BF1D20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其他工资福利支出</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38AEA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18D6985">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30214</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3E660EA">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租赁费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6B745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14.83</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E071D5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31019</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FBB3BF0">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其他交通工具购置</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FE7CDC9">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18D921C1">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0E6D4E0">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303</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D9DDA2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对个人和家庭的补助</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131A8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32.92</w:t>
            </w: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316A597">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30215</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A641294">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会议费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7EE40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0.01</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50B431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31021</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2032DF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文物和陈列品购置</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AA788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24017135">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96AD2EA">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30301</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857219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离休费</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95683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635D9BA">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30216</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F1D16CD">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培训费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8EAFA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1.10</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60A8D4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31022</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6636F7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无形资产购置</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5E49A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0796F142">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F4363C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30302</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9BF91B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退休费</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AF79DE">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3466F6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30217</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E4F39B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公务接待费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18EC9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0.32</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BF54AF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31099</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E17138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其他资本性支出</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0F8CA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31ACBCC5">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A0E08A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30303</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B8FDF3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退职（役）费</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41500E">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9A1FB3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30218</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8AFC565">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专用材料费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742F2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9F6D06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312</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93244C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对企业补助</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0BAC6D">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690BF7C1">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22F843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30304</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E19B6B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抚恤金</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3A820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47AAB37">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30224</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4CAA420">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被装购置费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52A249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F8B4FA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31201</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7064AEA">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资本金注入</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DDAF6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3E2B0FEC">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EA7740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30305</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7CAE37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生活补助</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6222B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18.43</w:t>
            </w: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8BA3E1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30225</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695BB67">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专用燃料费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65DB0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44178E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31203</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54E16F0">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政府投资基金股权投资</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11BF6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3FEFB0FC">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9D01D14">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30306</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DCA176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救济费</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39017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C7D27A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30226</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FC3F1A7">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劳务费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147849E">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35.74</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4C72737">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31204</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278911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费用补贴</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3C3BA3">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3F297CF3">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BF035E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30307</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5E34F9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医疗费补助</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DE37C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14.49</w:t>
            </w: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AA85E0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30227</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3ACF3F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委托业务费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7E4DD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2.17</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97C869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31205</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5AE912D">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利息补贴</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A9DFE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5B832604">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074D02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30308</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3F9099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助学金</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4B1397">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DA4595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30228</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159F47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工会经费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5CBD8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46.12</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6ECD5D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31299</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37A1C5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其他对企业补助</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9EDE26">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1464FCA8">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F18941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30309</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1B91F9A">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奖励金</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2B78C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C1A791A">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30229</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BCD26E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福利费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5E9B8F">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3E600C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399</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6B874A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其他支出</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F5C9F5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3831455A">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5ABF57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30310</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59FE2B5">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个人农业生产补贴</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6FB425A">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DAB69C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30231</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163AC5A">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公务用车运行维护费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4D66A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35.84</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AC3F90B">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39907</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748502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国家赔偿费用支出</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EE2240">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55095E9B">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F77C7C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30311</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D69DB48">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代缴社会保险费</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20046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2DFADE9">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30239</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B59C42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其他交通费用</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156FA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9D279CD">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39908</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3F02CE4">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对民间非营利组织和群众性自治组织补贴</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BDBB1B3">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5A02B7E3">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99556DE">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30399</w:t>
            </w: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8A17A2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其他对个人和家庭的补助</w:t>
            </w: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9AB96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9A34204">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30240</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C03756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税金及附加费用</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2E877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00865D4">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39909</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153649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经常性赠与</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718DFE4">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59A8F771">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C197F62">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8758A4B">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0F6DF1A">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5882DD6">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30299</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3F1D01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其他商品和服务支出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4B20996">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88.60</w:t>
            </w: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BB2DD0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39910</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DA0D46C">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资本性赠与</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AB45E8B">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11A185AA">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E5D86E8">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325ED8B">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1DB32138">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DC20AEF">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307</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9469210">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债务利息及费用支出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C8AEB42">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712F843">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39999</w:t>
            </w: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F72649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其他支出</w:t>
            </w: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1B783C">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r>
      <w:tr w14:paraId="45D2E148">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C10DA5D">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8688F0D">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6F4EF941">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5F23910">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30701</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96BDC14">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国内债务付息</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CA8FF5">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E4AA8E4">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30733D13">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7DA369">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r>
      <w:tr w14:paraId="6A0043AF">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3BEE2D8">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0DD0225">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74FA5B37">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C0B1B85">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30702</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59CA3B1">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国外债务付息</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63F24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02A54A0C">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A6DEF6C">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540CC86">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r>
      <w:tr w14:paraId="1ADFCB1C">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690C823">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693F9B3">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2291E180">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5ECCD305">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30703</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7388A8D4">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国内债务发行费用</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ABEE16">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24DE23F">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33B3DB5">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2CF122">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r>
      <w:tr w14:paraId="3AE5B293">
        <w:tblPrEx>
          <w:tblCellMar>
            <w:top w:w="0" w:type="dxa"/>
            <w:left w:w="0" w:type="dxa"/>
            <w:bottom w:w="0" w:type="dxa"/>
            <w:right w:w="0" w:type="dxa"/>
          </w:tblCellMar>
        </w:tblPrEx>
        <w:trPr>
          <w:trHeight w:val="90" w:hRule="atLeast"/>
        </w:trPr>
        <w:tc>
          <w:tcPr>
            <w:tcW w:w="197"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B54238D">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89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259B3EDF">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44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0D9AE823">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272"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AFD4F62">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30704</w:t>
            </w:r>
          </w:p>
        </w:tc>
        <w:tc>
          <w:tcPr>
            <w:tcW w:w="626"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69E8BD64">
            <w:pPr>
              <w:keepNext w:val="0"/>
              <w:keepLines w:val="0"/>
              <w:pageBreakBefore w:val="0"/>
              <w:widowControl/>
              <w:kinsoku/>
              <w:overflowPunct/>
              <w:topLinePunct w:val="0"/>
              <w:autoSpaceDE/>
              <w:autoSpaceDN/>
              <w:bidi w:val="0"/>
              <w:adjustRightInd/>
              <w:snapToGrid/>
              <w:spacing w:line="360" w:lineRule="exact"/>
              <w:textAlignment w:val="center"/>
              <w:rPr>
                <w:rFonts w:hint="default" w:cs="宋体"/>
                <w:color w:val="000000"/>
                <w:sz w:val="16"/>
                <w:szCs w:val="16"/>
              </w:rPr>
            </w:pPr>
            <w:r>
              <w:rPr>
                <w:rFonts w:cs="宋体"/>
                <w:color w:val="000000"/>
                <w:sz w:val="16"/>
                <w:szCs w:val="16"/>
              </w:rPr>
              <w:t xml:space="preserve">  国外债务发行费用</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01A961">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color w:val="000000"/>
                <w:sz w:val="16"/>
                <w:szCs w:val="22"/>
                <w:u w:color="auto"/>
              </w:rPr>
              <w:t xml:space="preserve"> </w:t>
            </w:r>
          </w:p>
        </w:tc>
        <w:tc>
          <w:tcPr>
            <w:tcW w:w="263"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1F1889A1">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1148" w:type="pct"/>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9AA3A59">
            <w:pPr>
              <w:keepNext w:val="0"/>
              <w:keepLines w:val="0"/>
              <w:pageBreakBefore w:val="0"/>
              <w:widowControl/>
              <w:kinsoku/>
              <w:overflowPunct/>
              <w:topLinePunct w:val="0"/>
              <w:autoSpaceDE/>
              <w:autoSpaceDN/>
              <w:bidi w:val="0"/>
              <w:adjustRightInd/>
              <w:snapToGrid/>
              <w:spacing w:line="360" w:lineRule="exact"/>
              <w:rPr>
                <w:rFonts w:hint="default" w:cs="宋体"/>
                <w:color w:val="000000"/>
                <w:sz w:val="16"/>
                <w:szCs w:val="16"/>
              </w:rPr>
            </w:pPr>
          </w:p>
        </w:tc>
        <w:tc>
          <w:tcPr>
            <w:tcW w:w="61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2BE6AAF">
            <w:pPr>
              <w:keepNext w:val="0"/>
              <w:keepLines w:val="0"/>
              <w:pageBreakBefore w:val="0"/>
              <w:widowControl/>
              <w:kinsoku/>
              <w:overflowPunct/>
              <w:topLinePunct w:val="0"/>
              <w:autoSpaceDE/>
              <w:autoSpaceDN/>
              <w:bidi w:val="0"/>
              <w:adjustRightInd/>
              <w:snapToGrid/>
              <w:spacing w:line="360" w:lineRule="exact"/>
              <w:jc w:val="right"/>
              <w:rPr>
                <w:rFonts w:hint="default" w:cs="宋体"/>
                <w:color w:val="000000"/>
                <w:sz w:val="16"/>
                <w:szCs w:val="16"/>
              </w:rPr>
            </w:pPr>
          </w:p>
        </w:tc>
      </w:tr>
      <w:tr w14:paraId="2330EC44">
        <w:tblPrEx>
          <w:tblCellMar>
            <w:top w:w="0" w:type="dxa"/>
            <w:left w:w="0" w:type="dxa"/>
            <w:bottom w:w="0" w:type="dxa"/>
            <w:right w:w="0" w:type="dxa"/>
          </w:tblCellMar>
        </w:tblPrEx>
        <w:trPr>
          <w:trHeight w:val="90" w:hRule="atLeast"/>
        </w:trPr>
        <w:tc>
          <w:tcPr>
            <w:tcW w:w="1089" w:type="pct"/>
            <w:gridSpan w:val="2"/>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14:paraId="48270196">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6"/>
                <w:szCs w:val="16"/>
              </w:rPr>
            </w:pPr>
            <w:r>
              <w:rPr>
                <w:rFonts w:cs="宋体"/>
                <w:b/>
                <w:color w:val="000000"/>
                <w:sz w:val="16"/>
                <w:szCs w:val="16"/>
              </w:rPr>
              <w:t>人员经费合计</w:t>
            </w:r>
          </w:p>
        </w:tc>
        <w:tc>
          <w:tcPr>
            <w:tcW w:w="448"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14:paraId="36E2841F">
            <w:pPr>
              <w:keepNext w:val="0"/>
              <w:keepLines w:val="0"/>
              <w:pageBreakBefore w:val="0"/>
              <w:widowControl/>
              <w:kinsoku/>
              <w:wordWrap w:val="0"/>
              <w:overflowPunct/>
              <w:topLinePunct w:val="0"/>
              <w:autoSpaceDE/>
              <w:autoSpaceDN/>
              <w:bidi w:val="0"/>
              <w:adjustRightInd/>
              <w:snapToGrid/>
              <w:spacing w:line="360" w:lineRule="exact"/>
              <w:jc w:val="right"/>
              <w:textAlignment w:val="bottom"/>
              <w:rPr>
                <w:rFonts w:hint="default" w:cs="宋体"/>
                <w:color w:val="000000"/>
                <w:sz w:val="16"/>
                <w:szCs w:val="16"/>
              </w:rPr>
            </w:pPr>
            <w:r>
              <w:rPr>
                <w:rFonts w:cs="宋体"/>
                <w:color w:val="000000"/>
                <w:sz w:val="16"/>
                <w:szCs w:val="16"/>
              </w:rPr>
              <w:t>900.23</w:t>
            </w:r>
            <w:r>
              <w:rPr>
                <w:color w:val="000000"/>
                <w:sz w:val="16"/>
                <w:szCs w:val="22"/>
                <w:u w:color="auto"/>
              </w:rPr>
              <w:t xml:space="preserve"> </w:t>
            </w:r>
          </w:p>
        </w:tc>
        <w:tc>
          <w:tcPr>
            <w:tcW w:w="2848" w:type="pct"/>
            <w:gridSpan w:val="5"/>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14:paraId="2C6713AE">
            <w:pPr>
              <w:keepNext w:val="0"/>
              <w:keepLines w:val="0"/>
              <w:pageBreakBefore w:val="0"/>
              <w:widowControl/>
              <w:kinsoku/>
              <w:overflowPunct/>
              <w:topLinePunct w:val="0"/>
              <w:autoSpaceDE/>
              <w:autoSpaceDN/>
              <w:bidi w:val="0"/>
              <w:adjustRightInd/>
              <w:snapToGrid/>
              <w:spacing w:line="360" w:lineRule="exact"/>
              <w:jc w:val="center"/>
              <w:textAlignment w:val="center"/>
              <w:rPr>
                <w:rFonts w:hint="default" w:cs="宋体"/>
                <w:b/>
                <w:color w:val="000000"/>
                <w:sz w:val="16"/>
                <w:szCs w:val="16"/>
              </w:rPr>
            </w:pPr>
            <w:r>
              <w:rPr>
                <w:rFonts w:cs="宋体"/>
                <w:b/>
                <w:color w:val="000000"/>
                <w:sz w:val="16"/>
                <w:szCs w:val="16"/>
              </w:rPr>
              <w:t>公用经费合计</w:t>
            </w:r>
          </w:p>
        </w:tc>
        <w:tc>
          <w:tcPr>
            <w:tcW w:w="61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59C16A8">
            <w:pPr>
              <w:keepNext w:val="0"/>
              <w:keepLines w:val="0"/>
              <w:pageBreakBefore w:val="0"/>
              <w:widowControl/>
              <w:kinsoku/>
              <w:wordWrap w:val="0"/>
              <w:overflowPunct/>
              <w:topLinePunct w:val="0"/>
              <w:autoSpaceDE/>
              <w:autoSpaceDN/>
              <w:bidi w:val="0"/>
              <w:adjustRightInd/>
              <w:snapToGrid/>
              <w:spacing w:line="360" w:lineRule="exact"/>
              <w:jc w:val="right"/>
              <w:textAlignment w:val="center"/>
              <w:rPr>
                <w:rFonts w:hint="default" w:cs="宋体"/>
                <w:color w:val="000000"/>
                <w:sz w:val="16"/>
                <w:szCs w:val="16"/>
              </w:rPr>
            </w:pPr>
            <w:r>
              <w:rPr>
                <w:rFonts w:cs="宋体"/>
                <w:color w:val="000000"/>
                <w:sz w:val="16"/>
                <w:szCs w:val="16"/>
              </w:rPr>
              <w:t>371.39</w:t>
            </w:r>
            <w:r>
              <w:rPr>
                <w:color w:val="000000"/>
                <w:sz w:val="16"/>
                <w:szCs w:val="22"/>
                <w:u w:color="auto"/>
              </w:rPr>
              <w:t xml:space="preserve"> </w:t>
            </w:r>
          </w:p>
        </w:tc>
      </w:tr>
    </w:tbl>
    <w:p w14:paraId="0710B6B3">
      <w:pPr>
        <w:keepNext w:val="0"/>
        <w:keepLines w:val="0"/>
        <w:pageBreakBefore w:val="0"/>
        <w:widowControl/>
        <w:kinsoku/>
        <w:overflowPunct/>
        <w:topLinePunct w:val="0"/>
        <w:autoSpaceDE/>
        <w:autoSpaceDN/>
        <w:bidi w:val="0"/>
        <w:adjustRightInd/>
        <w:snapToGrid/>
        <w:spacing w:line="36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8"/>
        <w:tblW w:w="5000" w:type="pct"/>
        <w:tblInd w:w="0" w:type="dxa"/>
        <w:tblLayout w:type="autofit"/>
        <w:tblCellMar>
          <w:top w:w="0" w:type="dxa"/>
          <w:left w:w="0" w:type="dxa"/>
          <w:bottom w:w="0" w:type="dxa"/>
          <w:right w:w="0" w:type="dxa"/>
        </w:tblCellMar>
      </w:tblPr>
      <w:tblGrid>
        <w:gridCol w:w="1777"/>
        <w:gridCol w:w="3630"/>
        <w:gridCol w:w="1629"/>
        <w:gridCol w:w="1629"/>
        <w:gridCol w:w="1629"/>
        <w:gridCol w:w="1630"/>
        <w:gridCol w:w="1695"/>
        <w:gridCol w:w="1759"/>
      </w:tblGrid>
      <w:tr w14:paraId="3EB386B5">
        <w:tblPrEx>
          <w:tblCellMar>
            <w:top w:w="0" w:type="dxa"/>
            <w:left w:w="0" w:type="dxa"/>
            <w:bottom w:w="0" w:type="dxa"/>
            <w:right w:w="0" w:type="dxa"/>
          </w:tblCellMar>
        </w:tblPrEx>
        <w:trPr>
          <w:trHeight w:val="644" w:hRule="atLeast"/>
        </w:trPr>
        <w:tc>
          <w:tcPr>
            <w:tcW w:w="5000" w:type="pct"/>
            <w:gridSpan w:val="8"/>
            <w:tcBorders>
              <w:top w:val="nil"/>
              <w:left w:val="nil"/>
              <w:bottom w:val="nil"/>
              <w:right w:val="nil"/>
            </w:tcBorders>
            <w:shd w:val="clear" w:color="auto" w:fill="auto"/>
            <w:noWrap/>
            <w:tcMar>
              <w:top w:w="15" w:type="dxa"/>
              <w:left w:w="15" w:type="dxa"/>
              <w:right w:w="15" w:type="dxa"/>
            </w:tcMar>
            <w:vAlign w:val="bottom"/>
          </w:tcPr>
          <w:p w14:paraId="155E93F0">
            <w:pPr>
              <w:keepNext w:val="0"/>
              <w:keepLines w:val="0"/>
              <w:pageBreakBefore w:val="0"/>
              <w:kinsoku/>
              <w:overflowPunct/>
              <w:topLinePunct w:val="0"/>
              <w:autoSpaceDN/>
              <w:bidi w:val="0"/>
              <w:adjustRightInd/>
              <w:spacing w:line="600" w:lineRule="exact"/>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14:paraId="227E9988">
        <w:tblPrEx>
          <w:tblCellMar>
            <w:top w:w="0" w:type="dxa"/>
            <w:left w:w="0" w:type="dxa"/>
            <w:bottom w:w="0" w:type="dxa"/>
            <w:right w:w="0" w:type="dxa"/>
          </w:tblCellMar>
        </w:tblPrEx>
        <w:trPr>
          <w:trHeight w:val="329" w:hRule="atLeast"/>
        </w:trPr>
        <w:tc>
          <w:tcPr>
            <w:tcW w:w="2162" w:type="pct"/>
            <w:gridSpan w:val="3"/>
            <w:vMerge w:val="restart"/>
            <w:tcBorders>
              <w:top w:val="nil"/>
              <w:left w:val="nil"/>
              <w:right w:val="nil"/>
            </w:tcBorders>
            <w:shd w:val="clear" w:color="auto" w:fill="auto"/>
            <w:noWrap/>
            <w:tcMar>
              <w:top w:w="15" w:type="dxa"/>
              <w:left w:w="15" w:type="dxa"/>
              <w:right w:w="15" w:type="dxa"/>
            </w:tcMar>
            <w:vAlign w:val="bottom"/>
          </w:tcPr>
          <w:p w14:paraId="7B7E8CD2">
            <w:pPr>
              <w:keepNext w:val="0"/>
              <w:keepLines w:val="0"/>
              <w:pageBreakBefore w:val="0"/>
              <w:kinsoku/>
              <w:overflowPunct/>
              <w:topLinePunct w:val="0"/>
              <w:autoSpaceDN/>
              <w:bidi w:val="0"/>
              <w:adjustRightInd/>
              <w:spacing w:line="600" w:lineRule="exact"/>
              <w:rPr>
                <w:rFonts w:hint="default" w:cs="宋体"/>
                <w:color w:val="000000"/>
                <w:sz w:val="20"/>
                <w:szCs w:val="20"/>
              </w:rPr>
            </w:pPr>
            <w:r>
              <w:rPr>
                <w:rFonts w:cs="宋体"/>
                <w:sz w:val="20"/>
                <w:szCs w:val="20"/>
              </w:rPr>
              <w:t>公开单位</w:t>
            </w:r>
            <w:r>
              <w:rPr>
                <w:rFonts w:cs="宋体"/>
                <w:color w:val="000000"/>
                <w:sz w:val="20"/>
                <w:szCs w:val="20"/>
              </w:rPr>
              <w:t>：</w:t>
            </w:r>
            <w:r>
              <w:rPr>
                <w:color w:val="000000"/>
                <w:sz w:val="20"/>
                <w:u w:color="auto"/>
              </w:rPr>
              <w:t>丰都县交通运输综合行政执法支队</w:t>
            </w:r>
          </w:p>
        </w:tc>
        <w:tc>
          <w:tcPr>
            <w:tcW w:w="555" w:type="pct"/>
            <w:tcBorders>
              <w:top w:val="nil"/>
              <w:left w:val="nil"/>
              <w:bottom w:val="nil"/>
              <w:right w:val="nil"/>
            </w:tcBorders>
            <w:shd w:val="clear" w:color="auto" w:fill="auto"/>
            <w:noWrap/>
            <w:tcMar>
              <w:top w:w="15" w:type="dxa"/>
              <w:left w:w="15" w:type="dxa"/>
              <w:right w:w="15" w:type="dxa"/>
            </w:tcMar>
            <w:vAlign w:val="bottom"/>
          </w:tcPr>
          <w:p w14:paraId="71FE8122">
            <w:pPr>
              <w:keepNext w:val="0"/>
              <w:keepLines w:val="0"/>
              <w:pageBreakBefore w:val="0"/>
              <w:kinsoku/>
              <w:overflowPunct/>
              <w:topLinePunct w:val="0"/>
              <w:autoSpaceDN/>
              <w:bidi w:val="0"/>
              <w:adjustRightInd/>
              <w:spacing w:line="600" w:lineRule="exact"/>
              <w:rPr>
                <w:rFonts w:hint="default" w:cs="宋体"/>
                <w:color w:val="000000"/>
                <w:sz w:val="20"/>
                <w:szCs w:val="20"/>
              </w:rPr>
            </w:pPr>
          </w:p>
        </w:tc>
        <w:tc>
          <w:tcPr>
            <w:tcW w:w="555" w:type="pct"/>
            <w:tcBorders>
              <w:top w:val="nil"/>
              <w:left w:val="nil"/>
              <w:bottom w:val="nil"/>
              <w:right w:val="nil"/>
            </w:tcBorders>
            <w:shd w:val="clear" w:color="auto" w:fill="auto"/>
            <w:noWrap/>
            <w:tcMar>
              <w:top w:w="15" w:type="dxa"/>
              <w:left w:w="15" w:type="dxa"/>
              <w:right w:w="15" w:type="dxa"/>
            </w:tcMar>
            <w:vAlign w:val="bottom"/>
          </w:tcPr>
          <w:p w14:paraId="7E41C10E">
            <w:pPr>
              <w:keepNext w:val="0"/>
              <w:keepLines w:val="0"/>
              <w:pageBreakBefore w:val="0"/>
              <w:kinsoku/>
              <w:overflowPunct/>
              <w:topLinePunct w:val="0"/>
              <w:autoSpaceDN/>
              <w:bidi w:val="0"/>
              <w:adjustRightInd/>
              <w:spacing w:line="600" w:lineRule="exact"/>
              <w:rPr>
                <w:rFonts w:hint="default" w:cs="宋体"/>
                <w:color w:val="000000"/>
                <w:sz w:val="20"/>
                <w:szCs w:val="20"/>
              </w:rPr>
            </w:pPr>
          </w:p>
        </w:tc>
        <w:tc>
          <w:tcPr>
            <w:tcW w:w="555" w:type="pct"/>
            <w:tcBorders>
              <w:top w:val="nil"/>
              <w:left w:val="nil"/>
              <w:bottom w:val="nil"/>
              <w:right w:val="nil"/>
            </w:tcBorders>
            <w:shd w:val="clear" w:color="auto" w:fill="auto"/>
            <w:noWrap/>
            <w:tcMar>
              <w:top w:w="15" w:type="dxa"/>
              <w:left w:w="15" w:type="dxa"/>
              <w:right w:w="15" w:type="dxa"/>
            </w:tcMar>
            <w:vAlign w:val="bottom"/>
          </w:tcPr>
          <w:p w14:paraId="7FFE2EFF">
            <w:pPr>
              <w:keepNext w:val="0"/>
              <w:keepLines w:val="0"/>
              <w:pageBreakBefore w:val="0"/>
              <w:kinsoku/>
              <w:overflowPunct/>
              <w:topLinePunct w:val="0"/>
              <w:autoSpaceDN/>
              <w:bidi w:val="0"/>
              <w:adjustRightInd/>
              <w:spacing w:line="600" w:lineRule="exact"/>
              <w:rPr>
                <w:rFonts w:hint="default" w:cs="宋体"/>
                <w:color w:val="000000"/>
                <w:sz w:val="20"/>
                <w:szCs w:val="20"/>
              </w:rPr>
            </w:pPr>
          </w:p>
        </w:tc>
        <w:tc>
          <w:tcPr>
            <w:tcW w:w="576" w:type="pct"/>
            <w:tcBorders>
              <w:top w:val="nil"/>
              <w:left w:val="nil"/>
              <w:bottom w:val="nil"/>
              <w:right w:val="nil"/>
            </w:tcBorders>
            <w:shd w:val="clear" w:color="auto" w:fill="auto"/>
            <w:noWrap/>
            <w:tcMar>
              <w:top w:w="15" w:type="dxa"/>
              <w:left w:w="15" w:type="dxa"/>
              <w:right w:w="15" w:type="dxa"/>
            </w:tcMar>
            <w:vAlign w:val="bottom"/>
          </w:tcPr>
          <w:p w14:paraId="738CEEB4">
            <w:pPr>
              <w:keepNext w:val="0"/>
              <w:keepLines w:val="0"/>
              <w:pageBreakBefore w:val="0"/>
              <w:kinsoku/>
              <w:overflowPunct/>
              <w:topLinePunct w:val="0"/>
              <w:autoSpaceDN/>
              <w:bidi w:val="0"/>
              <w:adjustRightInd/>
              <w:spacing w:line="600" w:lineRule="exact"/>
              <w:rPr>
                <w:rFonts w:hint="default" w:cs="宋体"/>
                <w:color w:val="000000"/>
                <w:sz w:val="20"/>
                <w:szCs w:val="20"/>
              </w:rPr>
            </w:pPr>
          </w:p>
        </w:tc>
        <w:tc>
          <w:tcPr>
            <w:tcW w:w="597" w:type="pct"/>
            <w:tcBorders>
              <w:top w:val="nil"/>
              <w:left w:val="nil"/>
              <w:bottom w:val="nil"/>
              <w:right w:val="nil"/>
            </w:tcBorders>
            <w:shd w:val="clear" w:color="auto" w:fill="auto"/>
            <w:noWrap/>
            <w:tcMar>
              <w:top w:w="15" w:type="dxa"/>
              <w:left w:w="15" w:type="dxa"/>
              <w:right w:w="15" w:type="dxa"/>
            </w:tcMar>
            <w:vAlign w:val="bottom"/>
          </w:tcPr>
          <w:p w14:paraId="6C303AF9">
            <w:pPr>
              <w:keepNext w:val="0"/>
              <w:keepLines w:val="0"/>
              <w:pageBreakBefore w:val="0"/>
              <w:kinsoku/>
              <w:overflowPunct/>
              <w:topLinePunct w:val="0"/>
              <w:autoSpaceDN/>
              <w:bidi w:val="0"/>
              <w:adjustRightInd/>
              <w:spacing w:line="600" w:lineRule="exact"/>
              <w:jc w:val="right"/>
              <w:textAlignment w:val="bottom"/>
              <w:rPr>
                <w:rFonts w:hint="default" w:cs="宋体"/>
                <w:color w:val="000000"/>
                <w:sz w:val="20"/>
                <w:szCs w:val="20"/>
              </w:rPr>
            </w:pPr>
            <w:r>
              <w:rPr>
                <w:rFonts w:cs="宋体"/>
                <w:color w:val="000000"/>
                <w:sz w:val="20"/>
                <w:szCs w:val="20"/>
              </w:rPr>
              <w:t>公开07表</w:t>
            </w:r>
          </w:p>
        </w:tc>
      </w:tr>
      <w:tr w14:paraId="67C92335">
        <w:tblPrEx>
          <w:tblCellMar>
            <w:top w:w="0" w:type="dxa"/>
            <w:left w:w="0" w:type="dxa"/>
            <w:bottom w:w="0" w:type="dxa"/>
            <w:right w:w="0" w:type="dxa"/>
          </w:tblCellMar>
        </w:tblPrEx>
        <w:trPr>
          <w:trHeight w:val="329" w:hRule="atLeast"/>
        </w:trPr>
        <w:tc>
          <w:tcPr>
            <w:tcW w:w="2162" w:type="pct"/>
            <w:gridSpan w:val="3"/>
            <w:vMerge w:val="continue"/>
            <w:tcBorders>
              <w:left w:val="nil"/>
              <w:bottom w:val="nil"/>
              <w:right w:val="nil"/>
            </w:tcBorders>
            <w:shd w:val="clear" w:color="auto" w:fill="auto"/>
            <w:noWrap/>
            <w:tcMar>
              <w:top w:w="15" w:type="dxa"/>
              <w:left w:w="15" w:type="dxa"/>
              <w:right w:w="15" w:type="dxa"/>
            </w:tcMar>
            <w:vAlign w:val="bottom"/>
          </w:tcPr>
          <w:p w14:paraId="44B2B926">
            <w:pPr>
              <w:keepNext w:val="0"/>
              <w:keepLines w:val="0"/>
              <w:pageBreakBefore w:val="0"/>
              <w:kinsoku/>
              <w:overflowPunct/>
              <w:topLinePunct w:val="0"/>
              <w:autoSpaceDN/>
              <w:bidi w:val="0"/>
              <w:adjustRightInd/>
              <w:spacing w:line="600" w:lineRule="exact"/>
              <w:rPr>
                <w:rFonts w:hint="default" w:cs="宋体"/>
                <w:color w:val="000000"/>
                <w:sz w:val="20"/>
                <w:szCs w:val="20"/>
              </w:rPr>
            </w:pPr>
          </w:p>
        </w:tc>
        <w:tc>
          <w:tcPr>
            <w:tcW w:w="555" w:type="pct"/>
            <w:tcBorders>
              <w:top w:val="nil"/>
              <w:left w:val="nil"/>
              <w:bottom w:val="nil"/>
              <w:right w:val="nil"/>
            </w:tcBorders>
            <w:shd w:val="clear" w:color="auto" w:fill="auto"/>
            <w:noWrap/>
            <w:tcMar>
              <w:top w:w="15" w:type="dxa"/>
              <w:left w:w="15" w:type="dxa"/>
              <w:right w:w="15" w:type="dxa"/>
            </w:tcMar>
            <w:vAlign w:val="bottom"/>
          </w:tcPr>
          <w:p w14:paraId="001FC7F1">
            <w:pPr>
              <w:keepNext w:val="0"/>
              <w:keepLines w:val="0"/>
              <w:pageBreakBefore w:val="0"/>
              <w:kinsoku/>
              <w:overflowPunct/>
              <w:topLinePunct w:val="0"/>
              <w:autoSpaceDN/>
              <w:bidi w:val="0"/>
              <w:adjustRightInd/>
              <w:spacing w:line="600" w:lineRule="exact"/>
              <w:rPr>
                <w:rFonts w:hint="default" w:cs="宋体"/>
                <w:color w:val="000000"/>
                <w:sz w:val="20"/>
                <w:szCs w:val="20"/>
              </w:rPr>
            </w:pPr>
          </w:p>
        </w:tc>
        <w:tc>
          <w:tcPr>
            <w:tcW w:w="555" w:type="pct"/>
            <w:tcBorders>
              <w:top w:val="nil"/>
              <w:left w:val="nil"/>
              <w:bottom w:val="nil"/>
              <w:right w:val="nil"/>
            </w:tcBorders>
            <w:shd w:val="clear" w:color="auto" w:fill="auto"/>
            <w:noWrap/>
            <w:tcMar>
              <w:top w:w="15" w:type="dxa"/>
              <w:left w:w="15" w:type="dxa"/>
              <w:right w:w="15" w:type="dxa"/>
            </w:tcMar>
            <w:vAlign w:val="bottom"/>
          </w:tcPr>
          <w:p w14:paraId="5243D05C">
            <w:pPr>
              <w:keepNext w:val="0"/>
              <w:keepLines w:val="0"/>
              <w:pageBreakBefore w:val="0"/>
              <w:kinsoku/>
              <w:overflowPunct/>
              <w:topLinePunct w:val="0"/>
              <w:autoSpaceDN/>
              <w:bidi w:val="0"/>
              <w:adjustRightInd/>
              <w:spacing w:line="600" w:lineRule="exact"/>
              <w:rPr>
                <w:rFonts w:hint="default" w:cs="宋体"/>
                <w:color w:val="000000"/>
                <w:sz w:val="20"/>
                <w:szCs w:val="20"/>
              </w:rPr>
            </w:pPr>
          </w:p>
        </w:tc>
        <w:tc>
          <w:tcPr>
            <w:tcW w:w="555" w:type="pct"/>
            <w:tcBorders>
              <w:top w:val="nil"/>
              <w:left w:val="nil"/>
              <w:bottom w:val="nil"/>
              <w:right w:val="nil"/>
            </w:tcBorders>
            <w:shd w:val="clear" w:color="auto" w:fill="auto"/>
            <w:noWrap/>
            <w:tcMar>
              <w:top w:w="15" w:type="dxa"/>
              <w:left w:w="15" w:type="dxa"/>
              <w:right w:w="15" w:type="dxa"/>
            </w:tcMar>
            <w:vAlign w:val="bottom"/>
          </w:tcPr>
          <w:p w14:paraId="4BAA41AE">
            <w:pPr>
              <w:keepNext w:val="0"/>
              <w:keepLines w:val="0"/>
              <w:pageBreakBefore w:val="0"/>
              <w:kinsoku/>
              <w:overflowPunct/>
              <w:topLinePunct w:val="0"/>
              <w:autoSpaceDN/>
              <w:bidi w:val="0"/>
              <w:adjustRightInd/>
              <w:spacing w:line="600" w:lineRule="exact"/>
              <w:rPr>
                <w:rFonts w:hint="default" w:cs="宋体"/>
                <w:color w:val="000000"/>
                <w:sz w:val="20"/>
                <w:szCs w:val="20"/>
              </w:rPr>
            </w:pPr>
          </w:p>
        </w:tc>
        <w:tc>
          <w:tcPr>
            <w:tcW w:w="576" w:type="pct"/>
            <w:tcBorders>
              <w:top w:val="nil"/>
              <w:left w:val="nil"/>
              <w:bottom w:val="nil"/>
              <w:right w:val="nil"/>
            </w:tcBorders>
            <w:shd w:val="clear" w:color="auto" w:fill="auto"/>
            <w:noWrap/>
            <w:tcMar>
              <w:top w:w="15" w:type="dxa"/>
              <w:left w:w="15" w:type="dxa"/>
              <w:right w:w="15" w:type="dxa"/>
            </w:tcMar>
            <w:vAlign w:val="bottom"/>
          </w:tcPr>
          <w:p w14:paraId="0C638878">
            <w:pPr>
              <w:keepNext w:val="0"/>
              <w:keepLines w:val="0"/>
              <w:pageBreakBefore w:val="0"/>
              <w:kinsoku/>
              <w:overflowPunct/>
              <w:topLinePunct w:val="0"/>
              <w:autoSpaceDN/>
              <w:bidi w:val="0"/>
              <w:adjustRightInd/>
              <w:spacing w:line="600" w:lineRule="exact"/>
              <w:rPr>
                <w:rFonts w:hint="default" w:cs="宋体"/>
                <w:color w:val="000000"/>
                <w:sz w:val="20"/>
                <w:szCs w:val="20"/>
              </w:rPr>
            </w:pPr>
          </w:p>
        </w:tc>
        <w:tc>
          <w:tcPr>
            <w:tcW w:w="597" w:type="pct"/>
            <w:tcBorders>
              <w:top w:val="nil"/>
              <w:left w:val="nil"/>
              <w:bottom w:val="nil"/>
              <w:right w:val="nil"/>
            </w:tcBorders>
            <w:shd w:val="clear" w:color="auto" w:fill="auto"/>
            <w:noWrap/>
            <w:tcMar>
              <w:top w:w="15" w:type="dxa"/>
              <w:left w:w="15" w:type="dxa"/>
              <w:right w:w="15" w:type="dxa"/>
            </w:tcMar>
            <w:vAlign w:val="bottom"/>
          </w:tcPr>
          <w:p w14:paraId="1C8F8433">
            <w:pPr>
              <w:keepNext w:val="0"/>
              <w:keepLines w:val="0"/>
              <w:pageBreakBefore w:val="0"/>
              <w:kinsoku/>
              <w:overflowPunct/>
              <w:topLinePunct w:val="0"/>
              <w:autoSpaceDN/>
              <w:bidi w:val="0"/>
              <w:adjustRightInd/>
              <w:spacing w:line="60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06D24C1B">
        <w:tblPrEx>
          <w:tblCellMar>
            <w:top w:w="0" w:type="dxa"/>
            <w:left w:w="0" w:type="dxa"/>
            <w:bottom w:w="0" w:type="dxa"/>
            <w:right w:w="0" w:type="dxa"/>
          </w:tblCellMar>
        </w:tblPrEx>
        <w:trPr>
          <w:trHeight w:val="339" w:hRule="atLeast"/>
        </w:trPr>
        <w:tc>
          <w:tcPr>
            <w:tcW w:w="1607" w:type="pct"/>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6F2240FF">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项目</w:t>
            </w:r>
          </w:p>
        </w:tc>
        <w:tc>
          <w:tcPr>
            <w:tcW w:w="555" w:type="pct"/>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14:paraId="026946C4">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年初结转和结余</w:t>
            </w:r>
          </w:p>
        </w:tc>
        <w:tc>
          <w:tcPr>
            <w:tcW w:w="555"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1B47C6F7">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本年收入</w:t>
            </w:r>
          </w:p>
        </w:tc>
        <w:tc>
          <w:tcPr>
            <w:tcW w:w="1686" w:type="pct"/>
            <w:gridSpan w:val="3"/>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14:paraId="692D29CC">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本年支出</w:t>
            </w:r>
          </w:p>
        </w:tc>
        <w:tc>
          <w:tcPr>
            <w:tcW w:w="597"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5B7D9358">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年末结转和结余</w:t>
            </w:r>
          </w:p>
        </w:tc>
      </w:tr>
      <w:tr w14:paraId="0A137E3D">
        <w:tblPrEx>
          <w:tblCellMar>
            <w:top w:w="0" w:type="dxa"/>
            <w:left w:w="0" w:type="dxa"/>
            <w:bottom w:w="0" w:type="dxa"/>
            <w:right w:w="0" w:type="dxa"/>
          </w:tblCellMar>
        </w:tblPrEx>
        <w:trPr>
          <w:trHeight w:val="335" w:hRule="atLeast"/>
        </w:trPr>
        <w:tc>
          <w:tcPr>
            <w:tcW w:w="603"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7D8F2B1B">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功能分类科目编码</w:t>
            </w:r>
          </w:p>
        </w:tc>
        <w:tc>
          <w:tcPr>
            <w:tcW w:w="1004" w:type="pct"/>
            <w:vMerge w:val="restart"/>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61CF7C4C">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项目（按“项”级功能分类科目）</w:t>
            </w:r>
          </w:p>
        </w:tc>
        <w:tc>
          <w:tcPr>
            <w:tcW w:w="555" w:type="pct"/>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14:paraId="2D8DCB02">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55"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E59A196">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55"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543CA965">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合计</w:t>
            </w:r>
          </w:p>
        </w:tc>
        <w:tc>
          <w:tcPr>
            <w:tcW w:w="555"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0AA8AEA2">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基本支出</w:t>
            </w:r>
          </w:p>
        </w:tc>
        <w:tc>
          <w:tcPr>
            <w:tcW w:w="576"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35D229D3">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项目支出</w:t>
            </w:r>
          </w:p>
        </w:tc>
        <w:tc>
          <w:tcPr>
            <w:tcW w:w="597"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8FE5E79">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r>
      <w:tr w14:paraId="30A8AE01">
        <w:tblPrEx>
          <w:tblCellMar>
            <w:top w:w="0" w:type="dxa"/>
            <w:left w:w="0" w:type="dxa"/>
            <w:bottom w:w="0" w:type="dxa"/>
            <w:right w:w="0" w:type="dxa"/>
          </w:tblCellMar>
        </w:tblPrEx>
        <w:trPr>
          <w:trHeight w:val="335" w:hRule="atLeast"/>
        </w:trPr>
        <w:tc>
          <w:tcPr>
            <w:tcW w:w="603"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7FD5A3B6">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1004"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4697113">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55" w:type="pct"/>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14:paraId="3E982E3C">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55"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6FE56C98">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55"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3282FF0E">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55"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71A74BA2">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76"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6088A4C8">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97"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FE231F2">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r>
      <w:tr w14:paraId="74E49F01">
        <w:tblPrEx>
          <w:tblCellMar>
            <w:top w:w="0" w:type="dxa"/>
            <w:left w:w="0" w:type="dxa"/>
            <w:bottom w:w="0" w:type="dxa"/>
            <w:right w:w="0" w:type="dxa"/>
          </w:tblCellMar>
        </w:tblPrEx>
        <w:trPr>
          <w:trHeight w:val="645" w:hRule="atLeast"/>
        </w:trPr>
        <w:tc>
          <w:tcPr>
            <w:tcW w:w="603"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4C75519E">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1004"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0800E019">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55" w:type="pct"/>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14:paraId="5D2776A5">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55"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4A9B32B9">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55"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2619303E">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55"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32F19ECD">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76"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36EE451D">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597" w:type="pct"/>
            <w:vMerge w:val="continue"/>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5224C7FA">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r>
      <w:tr w14:paraId="314F237C">
        <w:tblPrEx>
          <w:tblCellMar>
            <w:top w:w="0" w:type="dxa"/>
            <w:left w:w="0" w:type="dxa"/>
            <w:bottom w:w="0" w:type="dxa"/>
            <w:right w:w="0" w:type="dxa"/>
          </w:tblCellMar>
        </w:tblPrEx>
        <w:trPr>
          <w:trHeight w:val="339" w:hRule="atLeast"/>
        </w:trPr>
        <w:tc>
          <w:tcPr>
            <w:tcW w:w="1607" w:type="pct"/>
            <w:gridSpan w:val="2"/>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222506AC">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合计</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30D3C8C">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b/>
                <w:color w:val="000000"/>
                <w:sz w:val="20"/>
                <w:u w:color="auto"/>
              </w:rPr>
              <w:t xml:space="preserve"> </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4A38A19">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rFonts w:cs="宋体"/>
                <w:b/>
                <w:bCs/>
                <w:color w:val="000000"/>
                <w:sz w:val="20"/>
                <w:szCs w:val="20"/>
              </w:rPr>
              <w:t>100.00</w:t>
            </w:r>
            <w:r>
              <w:rPr>
                <w:b/>
                <w:color w:val="000000"/>
                <w:sz w:val="20"/>
                <w:u w:color="auto"/>
              </w:rPr>
              <w:t xml:space="preserve"> </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41C2551">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rFonts w:cs="宋体"/>
                <w:b/>
                <w:bCs/>
                <w:color w:val="000000"/>
                <w:sz w:val="20"/>
                <w:szCs w:val="20"/>
              </w:rPr>
              <w:t>100.00</w:t>
            </w:r>
            <w:r>
              <w:rPr>
                <w:b/>
                <w:color w:val="000000"/>
                <w:sz w:val="20"/>
                <w:u w:color="auto"/>
              </w:rPr>
              <w:t xml:space="preserve"> </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4CD5892">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b/>
                <w:color w:val="000000"/>
                <w:sz w:val="20"/>
                <w:u w:color="auto"/>
              </w:rPr>
              <w:t xml:space="preserve"> </w:t>
            </w:r>
          </w:p>
        </w:tc>
        <w:tc>
          <w:tcPr>
            <w:tcW w:w="57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B714A90">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rFonts w:cs="宋体"/>
                <w:b/>
                <w:bCs/>
                <w:color w:val="000000"/>
                <w:sz w:val="20"/>
                <w:szCs w:val="20"/>
              </w:rPr>
              <w:t>100.00</w:t>
            </w:r>
            <w:r>
              <w:rPr>
                <w:b/>
                <w:color w:val="000000"/>
                <w:sz w:val="20"/>
                <w:u w:color="auto"/>
              </w:rPr>
              <w:t xml:space="preserve"> </w:t>
            </w:r>
          </w:p>
        </w:tc>
        <w:tc>
          <w:tcPr>
            <w:tcW w:w="59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342DD45">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b/>
                <w:color w:val="000000"/>
                <w:sz w:val="20"/>
                <w:u w:color="auto"/>
              </w:rPr>
              <w:t xml:space="preserve"> </w:t>
            </w:r>
          </w:p>
        </w:tc>
      </w:tr>
      <w:tr w14:paraId="0C5FE4F5">
        <w:tblPrEx>
          <w:tblCellMar>
            <w:top w:w="0" w:type="dxa"/>
            <w:left w:w="0" w:type="dxa"/>
            <w:bottom w:w="0" w:type="dxa"/>
            <w:right w:w="0" w:type="dxa"/>
          </w:tblCellMar>
        </w:tblPrEx>
        <w:trPr>
          <w:trHeight w:val="349" w:hRule="atLeast"/>
        </w:trPr>
        <w:tc>
          <w:tcPr>
            <w:tcW w:w="603"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A1325F">
            <w:pPr>
              <w:keepNext w:val="0"/>
              <w:keepLines w:val="0"/>
              <w:pageBreakBefore w:val="0"/>
              <w:kinsoku/>
              <w:overflowPunct/>
              <w:topLinePunct w:val="0"/>
              <w:autoSpaceDN/>
              <w:bidi w:val="0"/>
              <w:adjustRightInd/>
              <w:spacing w:line="600" w:lineRule="exact"/>
              <w:jc w:val="both"/>
              <w:textAlignment w:val="center"/>
              <w:rPr>
                <w:rFonts w:hint="default" w:cs="宋体"/>
                <w:color w:val="000000"/>
                <w:sz w:val="20"/>
                <w:szCs w:val="20"/>
              </w:rPr>
            </w:pPr>
            <w:r>
              <w:rPr>
                <w:rFonts w:cs="宋体"/>
                <w:b/>
                <w:color w:val="000000"/>
                <w:sz w:val="20"/>
                <w:szCs w:val="20"/>
              </w:rPr>
              <w:t>212</w:t>
            </w:r>
          </w:p>
        </w:tc>
        <w:tc>
          <w:tcPr>
            <w:tcW w:w="10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EB1C417">
            <w:pPr>
              <w:keepNext w:val="0"/>
              <w:keepLines w:val="0"/>
              <w:pageBreakBefore w:val="0"/>
              <w:kinsoku/>
              <w:overflowPunct/>
              <w:topLinePunct w:val="0"/>
              <w:autoSpaceDN/>
              <w:bidi w:val="0"/>
              <w:adjustRightInd/>
              <w:spacing w:line="600" w:lineRule="exact"/>
              <w:jc w:val="both"/>
              <w:textAlignment w:val="center"/>
              <w:rPr>
                <w:rFonts w:hint="default" w:cs="宋体"/>
                <w:color w:val="000000"/>
                <w:sz w:val="20"/>
                <w:szCs w:val="20"/>
              </w:rPr>
            </w:pPr>
            <w:r>
              <w:rPr>
                <w:rFonts w:cs="宋体"/>
                <w:b/>
                <w:color w:val="000000"/>
                <w:sz w:val="20"/>
                <w:szCs w:val="20"/>
              </w:rPr>
              <w:t>城乡社区支出</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520DEFA">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color w:val="000000"/>
                <w:sz w:val="20"/>
                <w:u w:color="auto"/>
              </w:rPr>
              <w:t xml:space="preserve"> </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2DEDBCD">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rFonts w:cs="宋体"/>
                <w:b/>
                <w:color w:val="000000"/>
                <w:sz w:val="20"/>
                <w:szCs w:val="20"/>
              </w:rPr>
              <w:t>100.00</w:t>
            </w:r>
            <w:r>
              <w:rPr>
                <w:b/>
                <w:color w:val="000000"/>
                <w:sz w:val="20"/>
                <w:u w:color="auto"/>
              </w:rPr>
              <w:t xml:space="preserve"> </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75A10D9">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rFonts w:cs="宋体"/>
                <w:b/>
                <w:color w:val="000000"/>
                <w:sz w:val="20"/>
                <w:szCs w:val="20"/>
              </w:rPr>
              <w:t>100.00</w:t>
            </w:r>
            <w:r>
              <w:rPr>
                <w:b/>
                <w:color w:val="000000"/>
                <w:sz w:val="20"/>
                <w:u w:color="auto"/>
              </w:rPr>
              <w:t xml:space="preserve"> </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840FF59">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color w:val="000000"/>
                <w:sz w:val="20"/>
                <w:u w:color="auto"/>
              </w:rPr>
              <w:t xml:space="preserve"> </w:t>
            </w:r>
          </w:p>
        </w:tc>
        <w:tc>
          <w:tcPr>
            <w:tcW w:w="57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AC45C74">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rFonts w:cs="宋体"/>
                <w:b/>
                <w:color w:val="000000"/>
                <w:sz w:val="20"/>
                <w:szCs w:val="20"/>
              </w:rPr>
              <w:t>100.00</w:t>
            </w:r>
            <w:r>
              <w:rPr>
                <w:b/>
                <w:color w:val="000000"/>
                <w:sz w:val="20"/>
                <w:u w:color="auto"/>
              </w:rPr>
              <w:t xml:space="preserve"> </w:t>
            </w:r>
          </w:p>
        </w:tc>
        <w:tc>
          <w:tcPr>
            <w:tcW w:w="59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92BB6B2">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color w:val="000000"/>
                <w:sz w:val="20"/>
                <w:u w:color="auto"/>
              </w:rPr>
              <w:t xml:space="preserve"> </w:t>
            </w:r>
          </w:p>
        </w:tc>
      </w:tr>
      <w:tr w14:paraId="32E4F404">
        <w:tblPrEx>
          <w:tblCellMar>
            <w:top w:w="0" w:type="dxa"/>
            <w:left w:w="0" w:type="dxa"/>
            <w:bottom w:w="0" w:type="dxa"/>
            <w:right w:w="0" w:type="dxa"/>
          </w:tblCellMar>
        </w:tblPrEx>
        <w:trPr>
          <w:trHeight w:val="349" w:hRule="atLeast"/>
        </w:trPr>
        <w:tc>
          <w:tcPr>
            <w:tcW w:w="603"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2514B58">
            <w:pPr>
              <w:keepNext w:val="0"/>
              <w:keepLines w:val="0"/>
              <w:pageBreakBefore w:val="0"/>
              <w:kinsoku/>
              <w:overflowPunct/>
              <w:topLinePunct w:val="0"/>
              <w:autoSpaceDN/>
              <w:bidi w:val="0"/>
              <w:adjustRightInd/>
              <w:spacing w:line="600" w:lineRule="exact"/>
              <w:jc w:val="both"/>
              <w:textAlignment w:val="center"/>
              <w:rPr>
                <w:rFonts w:hint="default" w:cs="宋体"/>
                <w:color w:val="000000"/>
                <w:sz w:val="20"/>
                <w:szCs w:val="20"/>
              </w:rPr>
            </w:pPr>
            <w:r>
              <w:rPr>
                <w:rFonts w:cs="宋体"/>
                <w:b/>
                <w:color w:val="000000"/>
                <w:sz w:val="20"/>
                <w:szCs w:val="20"/>
              </w:rPr>
              <w:t>21208</w:t>
            </w:r>
          </w:p>
        </w:tc>
        <w:tc>
          <w:tcPr>
            <w:tcW w:w="10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EF32BFF">
            <w:pPr>
              <w:keepNext w:val="0"/>
              <w:keepLines w:val="0"/>
              <w:pageBreakBefore w:val="0"/>
              <w:kinsoku/>
              <w:overflowPunct/>
              <w:topLinePunct w:val="0"/>
              <w:autoSpaceDN/>
              <w:bidi w:val="0"/>
              <w:adjustRightInd/>
              <w:spacing w:line="600" w:lineRule="exact"/>
              <w:jc w:val="both"/>
              <w:textAlignment w:val="center"/>
              <w:rPr>
                <w:rFonts w:hint="default" w:cs="宋体"/>
                <w:color w:val="000000"/>
                <w:sz w:val="20"/>
                <w:szCs w:val="20"/>
              </w:rPr>
            </w:pPr>
            <w:r>
              <w:rPr>
                <w:rFonts w:cs="宋体"/>
                <w:b/>
                <w:color w:val="000000"/>
                <w:sz w:val="20"/>
                <w:szCs w:val="20"/>
              </w:rPr>
              <w:t>国有土地使用权出让收入安排的支出</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58BA738F">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color w:val="000000"/>
                <w:sz w:val="20"/>
                <w:u w:color="auto"/>
              </w:rPr>
              <w:t xml:space="preserve"> </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69ECF57">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rFonts w:cs="宋体"/>
                <w:b/>
                <w:color w:val="000000"/>
                <w:sz w:val="20"/>
                <w:szCs w:val="20"/>
              </w:rPr>
              <w:t>100.00</w:t>
            </w:r>
            <w:r>
              <w:rPr>
                <w:b/>
                <w:color w:val="000000"/>
                <w:sz w:val="20"/>
                <w:u w:color="auto"/>
              </w:rPr>
              <w:t xml:space="preserve"> </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27B5D23">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rFonts w:cs="宋体"/>
                <w:b/>
                <w:color w:val="000000"/>
                <w:sz w:val="20"/>
                <w:szCs w:val="20"/>
              </w:rPr>
              <w:t>100.00</w:t>
            </w:r>
            <w:r>
              <w:rPr>
                <w:b/>
                <w:color w:val="000000"/>
                <w:sz w:val="20"/>
                <w:u w:color="auto"/>
              </w:rPr>
              <w:t xml:space="preserve"> </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94CDC44">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color w:val="000000"/>
                <w:sz w:val="20"/>
                <w:u w:color="auto"/>
              </w:rPr>
              <w:t xml:space="preserve"> </w:t>
            </w:r>
          </w:p>
        </w:tc>
        <w:tc>
          <w:tcPr>
            <w:tcW w:w="57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8289372">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rFonts w:cs="宋体"/>
                <w:b/>
                <w:color w:val="000000"/>
                <w:sz w:val="20"/>
                <w:szCs w:val="20"/>
              </w:rPr>
              <w:t>100.00</w:t>
            </w:r>
            <w:r>
              <w:rPr>
                <w:b/>
                <w:color w:val="000000"/>
                <w:sz w:val="20"/>
                <w:u w:color="auto"/>
              </w:rPr>
              <w:t xml:space="preserve"> </w:t>
            </w:r>
          </w:p>
        </w:tc>
        <w:tc>
          <w:tcPr>
            <w:tcW w:w="59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C905528">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color w:val="000000"/>
                <w:sz w:val="20"/>
                <w:u w:color="auto"/>
              </w:rPr>
              <w:t xml:space="preserve"> </w:t>
            </w:r>
          </w:p>
        </w:tc>
      </w:tr>
      <w:tr w14:paraId="791F7FB2">
        <w:tblPrEx>
          <w:tblCellMar>
            <w:top w:w="0" w:type="dxa"/>
            <w:left w:w="0" w:type="dxa"/>
            <w:bottom w:w="0" w:type="dxa"/>
            <w:right w:w="0" w:type="dxa"/>
          </w:tblCellMar>
        </w:tblPrEx>
        <w:trPr>
          <w:trHeight w:val="349" w:hRule="atLeast"/>
        </w:trPr>
        <w:tc>
          <w:tcPr>
            <w:tcW w:w="603" w:type="pc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99B5D2">
            <w:pPr>
              <w:keepNext w:val="0"/>
              <w:keepLines w:val="0"/>
              <w:pageBreakBefore w:val="0"/>
              <w:kinsoku/>
              <w:overflowPunct/>
              <w:topLinePunct w:val="0"/>
              <w:autoSpaceDN/>
              <w:bidi w:val="0"/>
              <w:adjustRightInd/>
              <w:spacing w:line="600" w:lineRule="exact"/>
              <w:jc w:val="both"/>
              <w:textAlignment w:val="center"/>
              <w:rPr>
                <w:rFonts w:hint="default" w:cs="宋体"/>
                <w:color w:val="000000"/>
                <w:sz w:val="20"/>
                <w:szCs w:val="20"/>
              </w:rPr>
            </w:pPr>
            <w:r>
              <w:rPr>
                <w:rFonts w:cs="宋体"/>
                <w:color w:val="000000"/>
                <w:sz w:val="20"/>
                <w:szCs w:val="20"/>
              </w:rPr>
              <w:t>2120899</w:t>
            </w:r>
          </w:p>
        </w:tc>
        <w:tc>
          <w:tcPr>
            <w:tcW w:w="1004"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43A6DBE4">
            <w:pPr>
              <w:keepNext w:val="0"/>
              <w:keepLines w:val="0"/>
              <w:pageBreakBefore w:val="0"/>
              <w:kinsoku/>
              <w:overflowPunct/>
              <w:topLinePunct w:val="0"/>
              <w:autoSpaceDN/>
              <w:bidi w:val="0"/>
              <w:adjustRightInd/>
              <w:spacing w:line="600" w:lineRule="exact"/>
              <w:jc w:val="both"/>
              <w:textAlignment w:val="center"/>
              <w:rPr>
                <w:rFonts w:hint="default" w:cs="宋体"/>
                <w:color w:val="000000"/>
                <w:sz w:val="20"/>
                <w:szCs w:val="20"/>
              </w:rPr>
            </w:pPr>
            <w:r>
              <w:rPr>
                <w:rFonts w:cs="宋体"/>
                <w:color w:val="000000"/>
                <w:sz w:val="20"/>
                <w:szCs w:val="20"/>
              </w:rPr>
              <w:t>其他国有土地使用权出让收入安排的支出</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3E40472F">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color w:val="000000"/>
                <w:sz w:val="20"/>
                <w:u w:color="auto"/>
              </w:rPr>
              <w:t xml:space="preserve"> </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711BE8D">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rFonts w:cs="宋体"/>
                <w:color w:val="000000"/>
                <w:sz w:val="20"/>
                <w:szCs w:val="20"/>
              </w:rPr>
              <w:t>100.00</w:t>
            </w:r>
            <w:r>
              <w:rPr>
                <w:color w:val="000000"/>
                <w:sz w:val="20"/>
                <w:u w:color="auto"/>
              </w:rPr>
              <w:t xml:space="preserve"> </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1C27A75">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rFonts w:cs="宋体"/>
                <w:color w:val="000000"/>
                <w:sz w:val="20"/>
                <w:szCs w:val="20"/>
              </w:rPr>
              <w:t>100.00</w:t>
            </w:r>
            <w:r>
              <w:rPr>
                <w:color w:val="000000"/>
                <w:sz w:val="20"/>
                <w:u w:color="auto"/>
              </w:rPr>
              <w:t xml:space="preserve"> </w:t>
            </w:r>
          </w:p>
        </w:tc>
        <w:tc>
          <w:tcPr>
            <w:tcW w:w="555"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089E887">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color w:val="000000"/>
                <w:sz w:val="20"/>
                <w:u w:color="auto"/>
              </w:rPr>
              <w:t xml:space="preserve"> </w:t>
            </w:r>
          </w:p>
        </w:tc>
        <w:tc>
          <w:tcPr>
            <w:tcW w:w="576"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1D5E1BD3">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rFonts w:cs="宋体"/>
                <w:color w:val="000000"/>
                <w:sz w:val="20"/>
                <w:szCs w:val="20"/>
              </w:rPr>
              <w:t>100.00</w:t>
            </w:r>
            <w:r>
              <w:rPr>
                <w:color w:val="000000"/>
                <w:sz w:val="20"/>
                <w:u w:color="auto"/>
              </w:rPr>
              <w:t xml:space="preserve"> </w:t>
            </w:r>
          </w:p>
        </w:tc>
        <w:tc>
          <w:tcPr>
            <w:tcW w:w="597"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68509408">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color w:val="000000"/>
                <w:sz w:val="20"/>
                <w:u w:color="auto"/>
              </w:rPr>
              <w:t xml:space="preserve"> </w:t>
            </w:r>
          </w:p>
        </w:tc>
      </w:tr>
    </w:tbl>
    <w:p w14:paraId="7B814779">
      <w:pPr>
        <w:keepNext w:val="0"/>
        <w:keepLines w:val="0"/>
        <w:pageBreakBefore w:val="0"/>
        <w:kinsoku/>
        <w:overflowPunct/>
        <w:topLinePunct w:val="0"/>
        <w:autoSpaceDN/>
        <w:bidi w:val="0"/>
        <w:adjustRightInd/>
        <w:spacing w:line="600" w:lineRule="exact"/>
        <w:rPr>
          <w:rFonts w:hint="default" w:cs="宋体"/>
          <w:sz w:val="21"/>
          <w:szCs w:val="21"/>
        </w:rPr>
      </w:pPr>
      <w:r>
        <w:rPr>
          <w:rFonts w:cs="宋体"/>
          <w:sz w:val="20"/>
          <w:szCs w:val="20"/>
        </w:rPr>
        <w:t>备注：1.本表反映单位本年度政府性基金预算财政拨款收入支出及结转和结余情况。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14:paraId="11E1ABAB">
      <w:pPr>
        <w:keepNext w:val="0"/>
        <w:keepLines w:val="0"/>
        <w:pageBreakBefore w:val="0"/>
        <w:kinsoku/>
        <w:overflowPunct/>
        <w:topLinePunct w:val="0"/>
        <w:autoSpaceDN/>
        <w:bidi w:val="0"/>
        <w:adjustRightInd/>
        <w:spacing w:line="600" w:lineRule="exact"/>
        <w:rPr>
          <w:rFonts w:hint="default" w:cs="宋体"/>
          <w:sz w:val="21"/>
          <w:szCs w:val="21"/>
        </w:rPr>
      </w:pPr>
      <w:r>
        <w:rPr>
          <w:rFonts w:cs="宋体"/>
          <w:sz w:val="21"/>
          <w:szCs w:val="21"/>
        </w:rPr>
        <w:br w:type="page"/>
      </w:r>
    </w:p>
    <w:tbl>
      <w:tblPr>
        <w:tblStyle w:val="8"/>
        <w:tblW w:w="5000" w:type="pct"/>
        <w:tblInd w:w="0" w:type="dxa"/>
        <w:tblLayout w:type="autofit"/>
        <w:tblCellMar>
          <w:top w:w="0" w:type="dxa"/>
          <w:left w:w="0" w:type="dxa"/>
          <w:bottom w:w="0" w:type="dxa"/>
          <w:right w:w="0" w:type="dxa"/>
        </w:tblCellMar>
      </w:tblPr>
      <w:tblGrid>
        <w:gridCol w:w="1882"/>
        <w:gridCol w:w="3060"/>
        <w:gridCol w:w="3276"/>
        <w:gridCol w:w="200"/>
        <w:gridCol w:w="3475"/>
        <w:gridCol w:w="77"/>
        <w:gridCol w:w="3408"/>
      </w:tblGrid>
      <w:tr w14:paraId="3BE2BE88">
        <w:tblPrEx>
          <w:tblCellMar>
            <w:top w:w="0" w:type="dxa"/>
            <w:left w:w="0" w:type="dxa"/>
            <w:bottom w:w="0" w:type="dxa"/>
            <w:right w:w="0" w:type="dxa"/>
          </w:tblCellMar>
        </w:tblPrEx>
        <w:trPr>
          <w:trHeight w:val="650" w:hRule="atLeast"/>
        </w:trPr>
        <w:tc>
          <w:tcPr>
            <w:tcW w:w="5000" w:type="pct"/>
            <w:gridSpan w:val="7"/>
            <w:tcBorders>
              <w:top w:val="nil"/>
              <w:left w:val="nil"/>
              <w:bottom w:val="nil"/>
              <w:right w:val="nil"/>
            </w:tcBorders>
            <w:shd w:val="clear" w:color="auto" w:fill="auto"/>
            <w:noWrap/>
            <w:tcMar>
              <w:top w:w="15" w:type="dxa"/>
              <w:left w:w="15" w:type="dxa"/>
              <w:right w:w="15" w:type="dxa"/>
            </w:tcMar>
            <w:vAlign w:val="bottom"/>
          </w:tcPr>
          <w:p w14:paraId="23CFF897">
            <w:pPr>
              <w:keepNext w:val="0"/>
              <w:keepLines w:val="0"/>
              <w:pageBreakBefore w:val="0"/>
              <w:kinsoku/>
              <w:overflowPunct/>
              <w:topLinePunct w:val="0"/>
              <w:autoSpaceDN/>
              <w:bidi w:val="0"/>
              <w:adjustRightInd/>
              <w:spacing w:line="600" w:lineRule="exact"/>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14:paraId="208017CA">
        <w:tblPrEx>
          <w:tblCellMar>
            <w:top w:w="0" w:type="dxa"/>
            <w:left w:w="0" w:type="dxa"/>
            <w:bottom w:w="0" w:type="dxa"/>
            <w:right w:w="0" w:type="dxa"/>
          </w:tblCellMar>
        </w:tblPrEx>
        <w:trPr>
          <w:trHeight w:val="332" w:hRule="atLeast"/>
        </w:trPr>
        <w:tc>
          <w:tcPr>
            <w:tcW w:w="2672" w:type="pct"/>
            <w:gridSpan w:val="3"/>
            <w:vMerge w:val="restart"/>
            <w:tcBorders>
              <w:top w:val="nil"/>
              <w:left w:val="nil"/>
              <w:right w:val="nil"/>
            </w:tcBorders>
            <w:shd w:val="clear" w:color="auto" w:fill="auto"/>
            <w:noWrap/>
            <w:tcMar>
              <w:top w:w="15" w:type="dxa"/>
              <w:left w:w="15" w:type="dxa"/>
              <w:right w:w="15" w:type="dxa"/>
            </w:tcMar>
            <w:vAlign w:val="bottom"/>
          </w:tcPr>
          <w:p w14:paraId="7E695528">
            <w:pPr>
              <w:keepNext w:val="0"/>
              <w:keepLines w:val="0"/>
              <w:pageBreakBefore w:val="0"/>
              <w:kinsoku/>
              <w:overflowPunct/>
              <w:topLinePunct w:val="0"/>
              <w:autoSpaceDN/>
              <w:bidi w:val="0"/>
              <w:adjustRightInd/>
              <w:spacing w:line="600" w:lineRule="exact"/>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丰都县交通运输综合行政执法支队</w:t>
            </w:r>
          </w:p>
        </w:tc>
        <w:tc>
          <w:tcPr>
            <w:tcW w:w="1220" w:type="pct"/>
            <w:gridSpan w:val="3"/>
            <w:tcBorders>
              <w:top w:val="nil"/>
              <w:left w:val="nil"/>
              <w:bottom w:val="nil"/>
              <w:right w:val="nil"/>
            </w:tcBorders>
            <w:shd w:val="clear" w:color="auto" w:fill="auto"/>
            <w:noWrap/>
            <w:tcMar>
              <w:top w:w="15" w:type="dxa"/>
              <w:left w:w="15" w:type="dxa"/>
              <w:right w:w="15" w:type="dxa"/>
            </w:tcMar>
            <w:vAlign w:val="bottom"/>
          </w:tcPr>
          <w:p w14:paraId="23FC37FE">
            <w:pPr>
              <w:keepNext w:val="0"/>
              <w:keepLines w:val="0"/>
              <w:pageBreakBefore w:val="0"/>
              <w:kinsoku/>
              <w:overflowPunct/>
              <w:topLinePunct w:val="0"/>
              <w:autoSpaceDN/>
              <w:bidi w:val="0"/>
              <w:adjustRightInd/>
              <w:spacing w:line="600" w:lineRule="exact"/>
              <w:rPr>
                <w:rFonts w:hint="default" w:cs="宋体"/>
                <w:color w:val="000000"/>
                <w:sz w:val="20"/>
                <w:szCs w:val="20"/>
              </w:rPr>
            </w:pPr>
          </w:p>
        </w:tc>
        <w:tc>
          <w:tcPr>
            <w:tcW w:w="1108" w:type="pct"/>
            <w:tcBorders>
              <w:top w:val="nil"/>
              <w:left w:val="nil"/>
              <w:bottom w:val="nil"/>
              <w:right w:val="nil"/>
            </w:tcBorders>
            <w:shd w:val="clear" w:color="auto" w:fill="auto"/>
            <w:noWrap/>
            <w:tcMar>
              <w:top w:w="15" w:type="dxa"/>
              <w:left w:w="15" w:type="dxa"/>
              <w:right w:w="15" w:type="dxa"/>
            </w:tcMar>
            <w:vAlign w:val="bottom"/>
          </w:tcPr>
          <w:p w14:paraId="24AC3148">
            <w:pPr>
              <w:keepNext w:val="0"/>
              <w:keepLines w:val="0"/>
              <w:pageBreakBefore w:val="0"/>
              <w:kinsoku/>
              <w:overflowPunct/>
              <w:topLinePunct w:val="0"/>
              <w:autoSpaceDN/>
              <w:bidi w:val="0"/>
              <w:adjustRightInd/>
              <w:spacing w:line="600" w:lineRule="exact"/>
              <w:jc w:val="right"/>
              <w:textAlignment w:val="bottom"/>
              <w:rPr>
                <w:rFonts w:hint="default" w:cs="宋体"/>
                <w:color w:val="000000"/>
                <w:sz w:val="20"/>
                <w:szCs w:val="20"/>
              </w:rPr>
            </w:pPr>
            <w:r>
              <w:rPr>
                <w:rFonts w:cs="宋体"/>
                <w:color w:val="000000"/>
                <w:sz w:val="20"/>
                <w:szCs w:val="20"/>
              </w:rPr>
              <w:t>公开08表</w:t>
            </w:r>
          </w:p>
        </w:tc>
      </w:tr>
      <w:tr w14:paraId="6A5F435E">
        <w:tblPrEx>
          <w:tblCellMar>
            <w:top w:w="0" w:type="dxa"/>
            <w:left w:w="0" w:type="dxa"/>
            <w:bottom w:w="0" w:type="dxa"/>
            <w:right w:w="0" w:type="dxa"/>
          </w:tblCellMar>
        </w:tblPrEx>
        <w:trPr>
          <w:trHeight w:val="332" w:hRule="atLeast"/>
        </w:trPr>
        <w:tc>
          <w:tcPr>
            <w:tcW w:w="2672" w:type="pct"/>
            <w:gridSpan w:val="3"/>
            <w:vMerge w:val="continue"/>
            <w:tcBorders>
              <w:left w:val="nil"/>
              <w:bottom w:val="nil"/>
              <w:right w:val="nil"/>
            </w:tcBorders>
            <w:shd w:val="clear" w:color="auto" w:fill="auto"/>
            <w:noWrap/>
            <w:tcMar>
              <w:top w:w="15" w:type="dxa"/>
              <w:left w:w="15" w:type="dxa"/>
              <w:right w:w="15" w:type="dxa"/>
            </w:tcMar>
            <w:vAlign w:val="bottom"/>
          </w:tcPr>
          <w:p w14:paraId="71463628">
            <w:pPr>
              <w:keepNext w:val="0"/>
              <w:keepLines w:val="0"/>
              <w:pageBreakBefore w:val="0"/>
              <w:kinsoku/>
              <w:overflowPunct/>
              <w:topLinePunct w:val="0"/>
              <w:autoSpaceDN/>
              <w:bidi w:val="0"/>
              <w:adjustRightInd/>
              <w:spacing w:line="600" w:lineRule="exact"/>
              <w:rPr>
                <w:rFonts w:hint="default" w:cs="宋体"/>
                <w:color w:val="000000"/>
                <w:sz w:val="20"/>
                <w:szCs w:val="20"/>
              </w:rPr>
            </w:pPr>
          </w:p>
        </w:tc>
        <w:tc>
          <w:tcPr>
            <w:tcW w:w="1220" w:type="pct"/>
            <w:gridSpan w:val="3"/>
            <w:tcBorders>
              <w:top w:val="nil"/>
              <w:left w:val="nil"/>
              <w:bottom w:val="nil"/>
              <w:right w:val="nil"/>
            </w:tcBorders>
            <w:shd w:val="clear" w:color="auto" w:fill="auto"/>
            <w:noWrap/>
            <w:tcMar>
              <w:top w:w="15" w:type="dxa"/>
              <w:left w:w="15" w:type="dxa"/>
              <w:right w:w="15" w:type="dxa"/>
            </w:tcMar>
            <w:vAlign w:val="bottom"/>
          </w:tcPr>
          <w:p w14:paraId="5A957BEB">
            <w:pPr>
              <w:keepNext w:val="0"/>
              <w:keepLines w:val="0"/>
              <w:pageBreakBefore w:val="0"/>
              <w:kinsoku/>
              <w:overflowPunct/>
              <w:topLinePunct w:val="0"/>
              <w:autoSpaceDN/>
              <w:bidi w:val="0"/>
              <w:adjustRightInd/>
              <w:spacing w:line="600" w:lineRule="exact"/>
              <w:rPr>
                <w:rFonts w:hint="default" w:cs="宋体"/>
                <w:color w:val="000000"/>
                <w:sz w:val="20"/>
                <w:szCs w:val="20"/>
              </w:rPr>
            </w:pPr>
          </w:p>
        </w:tc>
        <w:tc>
          <w:tcPr>
            <w:tcW w:w="1108" w:type="pct"/>
            <w:tcBorders>
              <w:top w:val="nil"/>
              <w:left w:val="nil"/>
              <w:bottom w:val="nil"/>
              <w:right w:val="nil"/>
            </w:tcBorders>
            <w:shd w:val="clear" w:color="auto" w:fill="auto"/>
            <w:noWrap/>
            <w:tcMar>
              <w:top w:w="15" w:type="dxa"/>
              <w:left w:w="15" w:type="dxa"/>
              <w:right w:w="15" w:type="dxa"/>
            </w:tcMar>
            <w:vAlign w:val="bottom"/>
          </w:tcPr>
          <w:p w14:paraId="72B7B873">
            <w:pPr>
              <w:keepNext w:val="0"/>
              <w:keepLines w:val="0"/>
              <w:pageBreakBefore w:val="0"/>
              <w:kinsoku/>
              <w:overflowPunct/>
              <w:topLinePunct w:val="0"/>
              <w:autoSpaceDN/>
              <w:bidi w:val="0"/>
              <w:adjustRightInd/>
              <w:spacing w:line="60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0D3E024F">
        <w:tblPrEx>
          <w:tblCellMar>
            <w:top w:w="0" w:type="dxa"/>
            <w:left w:w="0" w:type="dxa"/>
            <w:bottom w:w="0" w:type="dxa"/>
            <w:right w:w="0" w:type="dxa"/>
          </w:tblCellMar>
        </w:tblPrEx>
        <w:trPr>
          <w:trHeight w:val="422" w:hRule="atLeast"/>
        </w:trPr>
        <w:tc>
          <w:tcPr>
            <w:tcW w:w="1607" w:type="pct"/>
            <w:gridSpan w:val="2"/>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bottom"/>
          </w:tcPr>
          <w:p w14:paraId="41F287DC">
            <w:pPr>
              <w:keepNext w:val="0"/>
              <w:keepLines w:val="0"/>
              <w:pageBreakBefore w:val="0"/>
              <w:kinsoku/>
              <w:overflowPunct/>
              <w:topLinePunct w:val="0"/>
              <w:autoSpaceDN/>
              <w:bidi w:val="0"/>
              <w:adjustRightInd/>
              <w:spacing w:line="600" w:lineRule="exact"/>
              <w:jc w:val="center"/>
              <w:textAlignment w:val="bottom"/>
              <w:rPr>
                <w:rFonts w:hint="default" w:cs="宋体"/>
                <w:b/>
                <w:color w:val="000000"/>
                <w:sz w:val="20"/>
                <w:szCs w:val="20"/>
              </w:rPr>
            </w:pPr>
            <w:r>
              <w:rPr>
                <w:rFonts w:cs="宋体"/>
                <w:b/>
                <w:color w:val="000000"/>
                <w:sz w:val="20"/>
                <w:szCs w:val="20"/>
              </w:rPr>
              <w:t>项目</w:t>
            </w:r>
          </w:p>
        </w:tc>
        <w:tc>
          <w:tcPr>
            <w:tcW w:w="3393" w:type="pct"/>
            <w:gridSpan w:val="5"/>
            <w:tcBorders>
              <w:top w:val="single" w:color="000000" w:sz="4" w:space="0"/>
              <w:left w:val="single" w:color="000000" w:sz="4" w:space="0"/>
              <w:bottom w:val="single" w:color="000000" w:sz="4" w:space="0"/>
              <w:right w:val="single" w:color="000000" w:sz="4" w:space="0"/>
            </w:tcBorders>
            <w:shd w:val="clear" w:color="auto" w:fill="C0C0C0"/>
            <w:noWrap/>
            <w:tcMar>
              <w:top w:w="15" w:type="dxa"/>
              <w:left w:w="15" w:type="dxa"/>
              <w:right w:w="15" w:type="dxa"/>
            </w:tcMar>
            <w:vAlign w:val="bottom"/>
          </w:tcPr>
          <w:p w14:paraId="069D945B">
            <w:pPr>
              <w:keepNext w:val="0"/>
              <w:keepLines w:val="0"/>
              <w:pageBreakBefore w:val="0"/>
              <w:kinsoku/>
              <w:overflowPunct/>
              <w:topLinePunct w:val="0"/>
              <w:autoSpaceDN/>
              <w:bidi w:val="0"/>
              <w:adjustRightInd/>
              <w:spacing w:line="600" w:lineRule="exact"/>
              <w:jc w:val="center"/>
              <w:textAlignment w:val="bottom"/>
              <w:rPr>
                <w:rFonts w:hint="default" w:cs="宋体"/>
                <w:b/>
                <w:color w:val="000000"/>
                <w:sz w:val="20"/>
                <w:szCs w:val="20"/>
              </w:rPr>
            </w:pPr>
            <w:r>
              <w:rPr>
                <w:rFonts w:cs="宋体"/>
                <w:b/>
                <w:color w:val="000000"/>
                <w:sz w:val="20"/>
                <w:szCs w:val="20"/>
              </w:rPr>
              <w:t>本年支出</w:t>
            </w:r>
          </w:p>
        </w:tc>
      </w:tr>
      <w:tr w14:paraId="74E99CFF">
        <w:tblPrEx>
          <w:tblCellMar>
            <w:top w:w="0" w:type="dxa"/>
            <w:left w:w="0" w:type="dxa"/>
            <w:bottom w:w="0" w:type="dxa"/>
            <w:right w:w="0" w:type="dxa"/>
          </w:tblCellMar>
        </w:tblPrEx>
        <w:trPr>
          <w:trHeight w:val="339" w:hRule="atLeast"/>
        </w:trPr>
        <w:tc>
          <w:tcPr>
            <w:tcW w:w="612" w:type="pct"/>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7E7790F5">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功能分类科目编码</w:t>
            </w:r>
          </w:p>
        </w:tc>
        <w:tc>
          <w:tcPr>
            <w:tcW w:w="995"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4606EBDE">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科目名称</w:t>
            </w:r>
          </w:p>
        </w:tc>
        <w:tc>
          <w:tcPr>
            <w:tcW w:w="1130" w:type="pct"/>
            <w:gridSpan w:val="2"/>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6244E2F4">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合计</w:t>
            </w:r>
          </w:p>
        </w:tc>
        <w:tc>
          <w:tcPr>
            <w:tcW w:w="1130" w:type="pct"/>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2F607207">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基本支出</w:t>
            </w:r>
          </w:p>
        </w:tc>
        <w:tc>
          <w:tcPr>
            <w:tcW w:w="1133" w:type="pct"/>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69453B38">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项目支出</w:t>
            </w:r>
          </w:p>
        </w:tc>
      </w:tr>
      <w:tr w14:paraId="6CAED1FD">
        <w:tblPrEx>
          <w:tblCellMar>
            <w:top w:w="0" w:type="dxa"/>
            <w:left w:w="0" w:type="dxa"/>
            <w:bottom w:w="0" w:type="dxa"/>
            <w:right w:w="0" w:type="dxa"/>
          </w:tblCellMar>
        </w:tblPrEx>
        <w:trPr>
          <w:trHeight w:val="339" w:hRule="atLeast"/>
        </w:trPr>
        <w:tc>
          <w:tcPr>
            <w:tcW w:w="612" w:type="pct"/>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FC76B96">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995"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77039BE4">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1130" w:type="pct"/>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3D8A14CB">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1130"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2A18CC3C">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1133" w:type="pct"/>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54D746FD">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r>
      <w:tr w14:paraId="21E50AE1">
        <w:tblPrEx>
          <w:tblCellMar>
            <w:top w:w="0" w:type="dxa"/>
            <w:left w:w="0" w:type="dxa"/>
            <w:bottom w:w="0" w:type="dxa"/>
            <w:right w:w="0" w:type="dxa"/>
          </w:tblCellMar>
        </w:tblPrEx>
        <w:trPr>
          <w:trHeight w:val="339" w:hRule="atLeast"/>
        </w:trPr>
        <w:tc>
          <w:tcPr>
            <w:tcW w:w="612" w:type="pct"/>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60EB8049">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995"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1624EF5A">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1130" w:type="pct"/>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50D3EE8F">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1130"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74C2DC52">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1133" w:type="pct"/>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1F4CE424">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r>
      <w:tr w14:paraId="31A342B0">
        <w:tblPrEx>
          <w:tblCellMar>
            <w:top w:w="0" w:type="dxa"/>
            <w:left w:w="0" w:type="dxa"/>
            <w:bottom w:w="0" w:type="dxa"/>
            <w:right w:w="0" w:type="dxa"/>
          </w:tblCellMar>
        </w:tblPrEx>
        <w:trPr>
          <w:trHeight w:val="326" w:hRule="atLeast"/>
        </w:trPr>
        <w:tc>
          <w:tcPr>
            <w:tcW w:w="612" w:type="pct"/>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7F7FBBE7">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995"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2CDEDF23">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1130" w:type="pct"/>
            <w:gridSpan w:val="2"/>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225C0B22">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1130" w:type="pct"/>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3947D39E">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c>
          <w:tcPr>
            <w:tcW w:w="1133" w:type="pct"/>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14:paraId="070BA08E">
            <w:pPr>
              <w:keepNext w:val="0"/>
              <w:keepLines w:val="0"/>
              <w:pageBreakBefore w:val="0"/>
              <w:kinsoku/>
              <w:overflowPunct/>
              <w:topLinePunct w:val="0"/>
              <w:autoSpaceDN/>
              <w:bidi w:val="0"/>
              <w:adjustRightInd/>
              <w:spacing w:line="600" w:lineRule="exact"/>
              <w:jc w:val="center"/>
              <w:rPr>
                <w:rFonts w:hint="default" w:cs="宋体"/>
                <w:b/>
                <w:color w:val="000000"/>
                <w:sz w:val="20"/>
                <w:szCs w:val="20"/>
              </w:rPr>
            </w:pPr>
          </w:p>
        </w:tc>
      </w:tr>
      <w:tr w14:paraId="2170C704">
        <w:tblPrEx>
          <w:tblCellMar>
            <w:top w:w="0" w:type="dxa"/>
            <w:left w:w="0" w:type="dxa"/>
            <w:bottom w:w="0" w:type="dxa"/>
            <w:right w:w="0" w:type="dxa"/>
          </w:tblCellMar>
        </w:tblPrEx>
        <w:trPr>
          <w:trHeight w:val="611" w:hRule="atLeast"/>
        </w:trPr>
        <w:tc>
          <w:tcPr>
            <w:tcW w:w="1607" w:type="pct"/>
            <w:gridSpan w:val="2"/>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14:paraId="42E78C75">
            <w:pPr>
              <w:keepNext w:val="0"/>
              <w:keepLines w:val="0"/>
              <w:pageBreakBefore w:val="0"/>
              <w:kinsoku/>
              <w:overflowPunct/>
              <w:topLinePunct w:val="0"/>
              <w:autoSpaceDN/>
              <w:bidi w:val="0"/>
              <w:adjustRightInd/>
              <w:spacing w:line="600" w:lineRule="exact"/>
              <w:jc w:val="center"/>
              <w:textAlignment w:val="center"/>
              <w:rPr>
                <w:rFonts w:hint="default" w:cs="宋体"/>
                <w:b/>
                <w:color w:val="000000"/>
                <w:sz w:val="20"/>
                <w:szCs w:val="20"/>
              </w:rPr>
            </w:pPr>
            <w:r>
              <w:rPr>
                <w:rFonts w:cs="宋体"/>
                <w:b/>
                <w:color w:val="000000"/>
                <w:sz w:val="20"/>
                <w:szCs w:val="20"/>
              </w:rPr>
              <w:t>合计</w:t>
            </w:r>
          </w:p>
        </w:tc>
        <w:tc>
          <w:tcPr>
            <w:tcW w:w="1130"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224AEF68">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bookmarkStart w:id="0" w:name="_GoBack"/>
            <w:bookmarkEnd w:id="0"/>
            <w:r>
              <w:rPr>
                <w:b/>
                <w:color w:val="000000"/>
                <w:sz w:val="20"/>
                <w:u w:color="auto"/>
              </w:rPr>
              <w:t xml:space="preserve"> </w:t>
            </w:r>
          </w:p>
        </w:tc>
        <w:tc>
          <w:tcPr>
            <w:tcW w:w="1130" w:type="pc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781AE1CE">
            <w:pPr>
              <w:keepNext w:val="0"/>
              <w:keepLines w:val="0"/>
              <w:pageBreakBefore w:val="0"/>
              <w:kinsoku/>
              <w:overflowPunct/>
              <w:topLinePunct w:val="0"/>
              <w:autoSpaceDN/>
              <w:bidi w:val="0"/>
              <w:adjustRightInd/>
              <w:spacing w:line="600" w:lineRule="exact"/>
              <w:jc w:val="right"/>
              <w:rPr>
                <w:rFonts w:hint="default" w:cs="宋体"/>
                <w:b/>
                <w:color w:val="000000"/>
                <w:sz w:val="20"/>
                <w:szCs w:val="20"/>
              </w:rPr>
            </w:pPr>
          </w:p>
        </w:tc>
        <w:tc>
          <w:tcPr>
            <w:tcW w:w="1133" w:type="pct"/>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14:paraId="0E588B23">
            <w:pPr>
              <w:keepNext w:val="0"/>
              <w:keepLines w:val="0"/>
              <w:pageBreakBefore w:val="0"/>
              <w:kinsoku/>
              <w:wordWrap w:val="0"/>
              <w:overflowPunct/>
              <w:topLinePunct w:val="0"/>
              <w:autoSpaceDN/>
              <w:bidi w:val="0"/>
              <w:adjustRightInd/>
              <w:spacing w:line="600" w:lineRule="exact"/>
              <w:jc w:val="right"/>
              <w:textAlignment w:val="center"/>
              <w:rPr>
                <w:rFonts w:hint="default" w:cs="宋体"/>
                <w:b/>
                <w:color w:val="000000"/>
                <w:sz w:val="20"/>
                <w:szCs w:val="20"/>
              </w:rPr>
            </w:pPr>
            <w:r>
              <w:rPr>
                <w:b/>
                <w:color w:val="000000"/>
                <w:sz w:val="20"/>
                <w:u w:color="auto"/>
              </w:rPr>
              <w:t xml:space="preserve"> </w:t>
            </w:r>
          </w:p>
        </w:tc>
      </w:tr>
    </w:tbl>
    <w:p w14:paraId="30E91DE0">
      <w:pPr>
        <w:keepNext w:val="0"/>
        <w:keepLines w:val="0"/>
        <w:pageBreakBefore w:val="0"/>
        <w:kinsoku/>
        <w:overflowPunct/>
        <w:topLinePunct w:val="0"/>
        <w:autoSpaceDN/>
        <w:bidi w:val="0"/>
        <w:adjustRightInd/>
        <w:spacing w:line="600" w:lineRule="exact"/>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r>
        <w:rPr>
          <w:rFonts w:hint="default" w:cs="宋体"/>
          <w:sz w:val="21"/>
          <w:szCs w:val="21"/>
        </w:rPr>
        <w:br w:type="page"/>
      </w:r>
    </w:p>
    <w:tbl>
      <w:tblPr>
        <w:tblStyle w:val="8"/>
        <w:tblW w:w="4877" w:type="pct"/>
        <w:tblInd w:w="0" w:type="dxa"/>
        <w:tblLayout w:type="fixed"/>
        <w:tblCellMar>
          <w:top w:w="0" w:type="dxa"/>
          <w:left w:w="170" w:type="dxa"/>
          <w:bottom w:w="0" w:type="dxa"/>
          <w:right w:w="170" w:type="dxa"/>
        </w:tblCellMar>
      </w:tblPr>
      <w:tblGrid>
        <w:gridCol w:w="4041"/>
        <w:gridCol w:w="2166"/>
        <w:gridCol w:w="2115"/>
        <w:gridCol w:w="4524"/>
        <w:gridCol w:w="2154"/>
      </w:tblGrid>
      <w:tr w14:paraId="3A611F1C">
        <w:tblPrEx>
          <w:tblCellMar>
            <w:top w:w="0" w:type="dxa"/>
            <w:left w:w="170" w:type="dxa"/>
            <w:bottom w:w="0" w:type="dxa"/>
            <w:right w:w="170" w:type="dxa"/>
          </w:tblCellMar>
        </w:tblPrEx>
        <w:trPr>
          <w:trHeight w:val="343" w:hRule="atLeast"/>
        </w:trPr>
        <w:tc>
          <w:tcPr>
            <w:tcW w:w="5000" w:type="pct"/>
            <w:gridSpan w:val="5"/>
            <w:tcBorders>
              <w:top w:val="nil"/>
              <w:left w:val="nil"/>
              <w:bottom w:val="nil"/>
              <w:right w:val="nil"/>
            </w:tcBorders>
            <w:shd w:val="clear" w:color="auto" w:fill="auto"/>
            <w:noWrap/>
            <w:tcMar>
              <w:top w:w="15" w:type="dxa"/>
              <w:left w:w="15" w:type="dxa"/>
              <w:right w:w="15" w:type="dxa"/>
            </w:tcMar>
            <w:vAlign w:val="bottom"/>
          </w:tcPr>
          <w:p w14:paraId="4064E54E">
            <w:pPr>
              <w:keepNext w:val="0"/>
              <w:keepLines w:val="0"/>
              <w:pageBreakBefore w:val="0"/>
              <w:kinsoku/>
              <w:overflowPunct/>
              <w:topLinePunct w:val="0"/>
              <w:autoSpaceDN/>
              <w:bidi w:val="0"/>
              <w:adjustRightInd/>
              <w:spacing w:line="600" w:lineRule="exact"/>
              <w:jc w:val="center"/>
              <w:textAlignment w:val="bottom"/>
              <w:rPr>
                <w:rFonts w:hint="default" w:cs="宋体"/>
                <w:b/>
                <w:color w:val="000000"/>
                <w:sz w:val="32"/>
                <w:szCs w:val="32"/>
              </w:rPr>
            </w:pPr>
            <w:r>
              <w:rPr>
                <w:rFonts w:cs="宋体"/>
                <w:b/>
                <w:color w:val="000000"/>
                <w:sz w:val="32"/>
                <w:szCs w:val="32"/>
              </w:rPr>
              <w:t>机构运行信息表</w:t>
            </w:r>
          </w:p>
        </w:tc>
      </w:tr>
      <w:tr w14:paraId="7926F930">
        <w:tblPrEx>
          <w:tblCellMar>
            <w:top w:w="0" w:type="dxa"/>
            <w:left w:w="170" w:type="dxa"/>
            <w:bottom w:w="0" w:type="dxa"/>
            <w:right w:w="170" w:type="dxa"/>
          </w:tblCellMar>
        </w:tblPrEx>
        <w:trPr>
          <w:trHeight w:val="244" w:hRule="atLeast"/>
        </w:trPr>
        <w:tc>
          <w:tcPr>
            <w:tcW w:w="1347" w:type="pct"/>
            <w:tcBorders>
              <w:top w:val="nil"/>
              <w:left w:val="nil"/>
              <w:bottom w:val="nil"/>
              <w:right w:val="nil"/>
            </w:tcBorders>
            <w:shd w:val="clear" w:color="auto" w:fill="auto"/>
            <w:noWrap/>
            <w:tcMar>
              <w:top w:w="15" w:type="dxa"/>
              <w:left w:w="15" w:type="dxa"/>
              <w:right w:w="15" w:type="dxa"/>
            </w:tcMar>
            <w:vAlign w:val="bottom"/>
          </w:tcPr>
          <w:p w14:paraId="320653B4">
            <w:pPr>
              <w:keepNext w:val="0"/>
              <w:keepLines w:val="0"/>
              <w:pageBreakBefore w:val="0"/>
              <w:widowControl/>
              <w:kinsoku/>
              <w:wordWrap/>
              <w:overflowPunct/>
              <w:topLinePunct w:val="0"/>
              <w:autoSpaceDE/>
              <w:autoSpaceDN/>
              <w:bidi w:val="0"/>
              <w:adjustRightInd/>
              <w:snapToGrid/>
              <w:spacing w:line="300" w:lineRule="exact"/>
              <w:rPr>
                <w:rFonts w:hint="default" w:cs="宋体"/>
                <w:color w:val="000000"/>
                <w:sz w:val="20"/>
                <w:szCs w:val="20"/>
              </w:rPr>
            </w:pPr>
          </w:p>
        </w:tc>
        <w:tc>
          <w:tcPr>
            <w:tcW w:w="722" w:type="pct"/>
            <w:tcBorders>
              <w:top w:val="nil"/>
              <w:left w:val="nil"/>
              <w:bottom w:val="nil"/>
              <w:right w:val="nil"/>
            </w:tcBorders>
            <w:shd w:val="clear" w:color="auto" w:fill="auto"/>
            <w:noWrap/>
            <w:tcMar>
              <w:top w:w="15" w:type="dxa"/>
              <w:left w:w="15" w:type="dxa"/>
              <w:right w:w="15" w:type="dxa"/>
            </w:tcMar>
            <w:vAlign w:val="bottom"/>
          </w:tcPr>
          <w:p w14:paraId="64199F29">
            <w:pPr>
              <w:keepNext w:val="0"/>
              <w:keepLines w:val="0"/>
              <w:pageBreakBefore w:val="0"/>
              <w:widowControl/>
              <w:kinsoku/>
              <w:wordWrap/>
              <w:overflowPunct/>
              <w:topLinePunct w:val="0"/>
              <w:autoSpaceDE/>
              <w:autoSpaceDN/>
              <w:bidi w:val="0"/>
              <w:adjustRightInd/>
              <w:snapToGrid/>
              <w:spacing w:line="300" w:lineRule="exact"/>
              <w:jc w:val="center"/>
              <w:rPr>
                <w:rFonts w:hint="default" w:cs="宋体"/>
                <w:color w:val="000000"/>
                <w:sz w:val="20"/>
                <w:szCs w:val="20"/>
              </w:rPr>
            </w:pPr>
          </w:p>
        </w:tc>
        <w:tc>
          <w:tcPr>
            <w:tcW w:w="705" w:type="pct"/>
            <w:tcBorders>
              <w:top w:val="nil"/>
              <w:left w:val="nil"/>
              <w:bottom w:val="nil"/>
              <w:right w:val="nil"/>
            </w:tcBorders>
            <w:shd w:val="clear" w:color="auto" w:fill="auto"/>
            <w:noWrap/>
            <w:tcMar>
              <w:top w:w="15" w:type="dxa"/>
              <w:left w:w="15" w:type="dxa"/>
              <w:right w:w="15" w:type="dxa"/>
            </w:tcMar>
            <w:vAlign w:val="bottom"/>
          </w:tcPr>
          <w:p w14:paraId="08070FA6">
            <w:pPr>
              <w:keepNext w:val="0"/>
              <w:keepLines w:val="0"/>
              <w:pageBreakBefore w:val="0"/>
              <w:widowControl/>
              <w:kinsoku/>
              <w:wordWrap/>
              <w:overflowPunct/>
              <w:topLinePunct w:val="0"/>
              <w:autoSpaceDE/>
              <w:autoSpaceDN/>
              <w:bidi w:val="0"/>
              <w:adjustRightInd/>
              <w:snapToGrid/>
              <w:spacing w:line="300" w:lineRule="exact"/>
              <w:jc w:val="right"/>
              <w:rPr>
                <w:rFonts w:hint="default" w:cs="宋体"/>
                <w:color w:val="000000"/>
                <w:sz w:val="20"/>
                <w:szCs w:val="20"/>
              </w:rPr>
            </w:pPr>
          </w:p>
        </w:tc>
        <w:tc>
          <w:tcPr>
            <w:tcW w:w="1508" w:type="pct"/>
            <w:tcBorders>
              <w:top w:val="nil"/>
              <w:left w:val="nil"/>
              <w:bottom w:val="nil"/>
              <w:right w:val="nil"/>
            </w:tcBorders>
            <w:shd w:val="clear" w:color="auto" w:fill="auto"/>
            <w:noWrap/>
            <w:tcMar>
              <w:top w:w="15" w:type="dxa"/>
              <w:left w:w="15" w:type="dxa"/>
              <w:right w:w="15" w:type="dxa"/>
            </w:tcMar>
            <w:vAlign w:val="bottom"/>
          </w:tcPr>
          <w:p w14:paraId="732BC79D">
            <w:pPr>
              <w:keepNext w:val="0"/>
              <w:keepLines w:val="0"/>
              <w:pageBreakBefore w:val="0"/>
              <w:widowControl/>
              <w:kinsoku/>
              <w:wordWrap/>
              <w:overflowPunct/>
              <w:topLinePunct w:val="0"/>
              <w:autoSpaceDE/>
              <w:autoSpaceDN/>
              <w:bidi w:val="0"/>
              <w:adjustRightInd/>
              <w:snapToGrid/>
              <w:spacing w:line="300" w:lineRule="exact"/>
              <w:rPr>
                <w:rFonts w:hint="default" w:cs="宋体"/>
                <w:color w:val="000000"/>
                <w:sz w:val="20"/>
                <w:szCs w:val="20"/>
              </w:rPr>
            </w:pPr>
          </w:p>
        </w:tc>
        <w:tc>
          <w:tcPr>
            <w:tcW w:w="718" w:type="pct"/>
            <w:tcBorders>
              <w:top w:val="nil"/>
              <w:left w:val="nil"/>
              <w:bottom w:val="nil"/>
              <w:right w:val="nil"/>
            </w:tcBorders>
            <w:shd w:val="clear" w:color="auto" w:fill="auto"/>
            <w:noWrap/>
            <w:tcMar>
              <w:top w:w="15" w:type="dxa"/>
              <w:left w:w="15" w:type="dxa"/>
              <w:right w:w="15" w:type="dxa"/>
            </w:tcMar>
            <w:vAlign w:val="bottom"/>
          </w:tcPr>
          <w:p w14:paraId="7FDA6F1E">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20"/>
                <w:szCs w:val="20"/>
              </w:rPr>
            </w:pPr>
            <w:r>
              <w:rPr>
                <w:rFonts w:cs="宋体"/>
                <w:color w:val="000000"/>
                <w:sz w:val="20"/>
                <w:szCs w:val="20"/>
              </w:rPr>
              <w:t>公开09表</w:t>
            </w:r>
          </w:p>
        </w:tc>
      </w:tr>
      <w:tr w14:paraId="564B4E76">
        <w:tblPrEx>
          <w:tblCellMar>
            <w:top w:w="0" w:type="dxa"/>
            <w:left w:w="170" w:type="dxa"/>
            <w:bottom w:w="0" w:type="dxa"/>
            <w:right w:w="170" w:type="dxa"/>
          </w:tblCellMar>
        </w:tblPrEx>
        <w:trPr>
          <w:trHeight w:val="244" w:hRule="atLeast"/>
        </w:trPr>
        <w:tc>
          <w:tcPr>
            <w:tcW w:w="2069" w:type="pct"/>
            <w:gridSpan w:val="2"/>
            <w:tcBorders>
              <w:top w:val="nil"/>
              <w:left w:val="nil"/>
              <w:bottom w:val="single" w:color="auto" w:sz="4" w:space="0"/>
              <w:right w:val="nil"/>
            </w:tcBorders>
            <w:shd w:val="clear" w:color="auto" w:fill="auto"/>
            <w:noWrap/>
            <w:tcMar>
              <w:top w:w="15" w:type="dxa"/>
              <w:left w:w="15" w:type="dxa"/>
              <w:right w:w="15" w:type="dxa"/>
            </w:tcMar>
            <w:vAlign w:val="bottom"/>
          </w:tcPr>
          <w:p w14:paraId="7E593886">
            <w:pPr>
              <w:keepNext w:val="0"/>
              <w:keepLines w:val="0"/>
              <w:pageBreakBefore w:val="0"/>
              <w:widowControl/>
              <w:kinsoku/>
              <w:wordWrap/>
              <w:overflowPunct/>
              <w:topLinePunct w:val="0"/>
              <w:autoSpaceDE/>
              <w:autoSpaceDN/>
              <w:bidi w:val="0"/>
              <w:adjustRightInd/>
              <w:snapToGrid/>
              <w:spacing w:line="300" w:lineRule="exact"/>
              <w:rPr>
                <w:rFonts w:hint="default" w:cs="宋体"/>
                <w:color w:val="000000"/>
                <w:sz w:val="20"/>
                <w:szCs w:val="20"/>
              </w:rPr>
            </w:pPr>
            <w:r>
              <w:rPr>
                <w:rFonts w:cs="宋体"/>
                <w:sz w:val="20"/>
                <w:szCs w:val="20"/>
              </w:rPr>
              <w:t>公开单位</w:t>
            </w:r>
            <w:r>
              <w:rPr>
                <w:rFonts w:cs="宋体"/>
                <w:color w:val="000000"/>
                <w:sz w:val="20"/>
                <w:szCs w:val="20"/>
              </w:rPr>
              <w:t xml:space="preserve">： </w:t>
            </w:r>
            <w:r>
              <w:rPr>
                <w:color w:val="000000"/>
                <w:sz w:val="20"/>
                <w:u w:color="auto"/>
              </w:rPr>
              <w:t>丰都县交通运输综合行政执法支队</w:t>
            </w:r>
          </w:p>
        </w:tc>
        <w:tc>
          <w:tcPr>
            <w:tcW w:w="705" w:type="pct"/>
            <w:tcBorders>
              <w:top w:val="nil"/>
              <w:left w:val="nil"/>
              <w:bottom w:val="single" w:color="auto" w:sz="4" w:space="0"/>
              <w:right w:val="nil"/>
            </w:tcBorders>
            <w:shd w:val="clear" w:color="auto" w:fill="auto"/>
            <w:noWrap/>
            <w:tcMar>
              <w:top w:w="15" w:type="dxa"/>
              <w:left w:w="15" w:type="dxa"/>
              <w:right w:w="15" w:type="dxa"/>
            </w:tcMar>
            <w:vAlign w:val="bottom"/>
          </w:tcPr>
          <w:p w14:paraId="74D0E2F8">
            <w:pPr>
              <w:keepNext w:val="0"/>
              <w:keepLines w:val="0"/>
              <w:pageBreakBefore w:val="0"/>
              <w:widowControl/>
              <w:kinsoku/>
              <w:wordWrap/>
              <w:overflowPunct/>
              <w:topLinePunct w:val="0"/>
              <w:autoSpaceDE/>
              <w:autoSpaceDN/>
              <w:bidi w:val="0"/>
              <w:adjustRightInd/>
              <w:snapToGrid/>
              <w:spacing w:line="300" w:lineRule="exact"/>
              <w:jc w:val="right"/>
              <w:rPr>
                <w:rFonts w:hint="default" w:cs="宋体"/>
                <w:color w:val="000000"/>
                <w:sz w:val="20"/>
                <w:szCs w:val="20"/>
              </w:rPr>
            </w:pPr>
          </w:p>
        </w:tc>
        <w:tc>
          <w:tcPr>
            <w:tcW w:w="1508" w:type="pct"/>
            <w:tcBorders>
              <w:top w:val="nil"/>
              <w:left w:val="nil"/>
              <w:bottom w:val="single" w:color="auto" w:sz="4" w:space="0"/>
              <w:right w:val="nil"/>
            </w:tcBorders>
            <w:shd w:val="clear" w:color="auto" w:fill="auto"/>
            <w:noWrap/>
            <w:tcMar>
              <w:top w:w="15" w:type="dxa"/>
              <w:left w:w="15" w:type="dxa"/>
              <w:right w:w="15" w:type="dxa"/>
            </w:tcMar>
            <w:vAlign w:val="bottom"/>
          </w:tcPr>
          <w:p w14:paraId="615CD11A">
            <w:pPr>
              <w:keepNext w:val="0"/>
              <w:keepLines w:val="0"/>
              <w:pageBreakBefore w:val="0"/>
              <w:widowControl/>
              <w:kinsoku/>
              <w:wordWrap/>
              <w:overflowPunct/>
              <w:topLinePunct w:val="0"/>
              <w:autoSpaceDE/>
              <w:autoSpaceDN/>
              <w:bidi w:val="0"/>
              <w:adjustRightInd/>
              <w:snapToGrid/>
              <w:spacing w:line="300" w:lineRule="exact"/>
              <w:rPr>
                <w:rFonts w:hint="default" w:cs="宋体"/>
                <w:color w:val="000000"/>
                <w:sz w:val="20"/>
                <w:szCs w:val="20"/>
              </w:rPr>
            </w:pPr>
          </w:p>
        </w:tc>
        <w:tc>
          <w:tcPr>
            <w:tcW w:w="718" w:type="pct"/>
            <w:tcBorders>
              <w:top w:val="nil"/>
              <w:left w:val="nil"/>
              <w:bottom w:val="single" w:color="auto" w:sz="4" w:space="0"/>
              <w:right w:val="nil"/>
            </w:tcBorders>
            <w:shd w:val="clear" w:color="auto" w:fill="auto"/>
            <w:noWrap/>
            <w:tcMar>
              <w:top w:w="15" w:type="dxa"/>
              <w:left w:w="15" w:type="dxa"/>
              <w:right w:w="15" w:type="dxa"/>
            </w:tcMar>
            <w:vAlign w:val="bottom"/>
          </w:tcPr>
          <w:p w14:paraId="00D445C2">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14:paraId="5B5A03B5">
        <w:tblPrEx>
          <w:tblCellMar>
            <w:top w:w="0" w:type="dxa"/>
            <w:left w:w="170" w:type="dxa"/>
            <w:bottom w:w="0" w:type="dxa"/>
            <w:right w:w="170" w:type="dxa"/>
          </w:tblCellMar>
        </w:tblPrEx>
        <w:trPr>
          <w:trHeight w:val="282"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69674E4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b/>
                <w:color w:val="000000"/>
                <w:sz w:val="16"/>
                <w:szCs w:val="16"/>
              </w:rPr>
            </w:pPr>
            <w:r>
              <w:rPr>
                <w:rFonts w:cs="宋体"/>
                <w:b/>
                <w:color w:val="000000"/>
                <w:sz w:val="16"/>
                <w:szCs w:val="16"/>
              </w:rPr>
              <w:t>项  目</w:t>
            </w:r>
          </w:p>
        </w:tc>
        <w:tc>
          <w:tcPr>
            <w:tcW w:w="722"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6743006E">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b/>
                <w:color w:val="000000"/>
                <w:sz w:val="16"/>
                <w:szCs w:val="16"/>
              </w:rPr>
            </w:pPr>
            <w:r>
              <w:rPr>
                <w:rFonts w:cs="宋体"/>
                <w:b/>
                <w:color w:val="000000"/>
                <w:sz w:val="16"/>
                <w:szCs w:val="16"/>
              </w:rPr>
              <w:t>预算数</w:t>
            </w:r>
          </w:p>
        </w:tc>
        <w:tc>
          <w:tcPr>
            <w:tcW w:w="705"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197B4859">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b/>
                <w:color w:val="000000"/>
                <w:sz w:val="16"/>
                <w:szCs w:val="16"/>
              </w:rPr>
            </w:pPr>
            <w:r>
              <w:rPr>
                <w:rFonts w:cs="宋体"/>
                <w:b/>
                <w:color w:val="000000"/>
                <w:sz w:val="16"/>
                <w:szCs w:val="16"/>
              </w:rPr>
              <w:t>决算数</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0BE1C6A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b/>
                <w:color w:val="000000"/>
                <w:sz w:val="16"/>
                <w:szCs w:val="16"/>
              </w:rPr>
            </w:pPr>
            <w:r>
              <w:rPr>
                <w:rFonts w:cs="宋体"/>
                <w:b/>
                <w:color w:val="000000"/>
                <w:sz w:val="16"/>
                <w:szCs w:val="16"/>
              </w:rPr>
              <w:t>项  目</w:t>
            </w:r>
          </w:p>
        </w:tc>
        <w:tc>
          <w:tcPr>
            <w:tcW w:w="71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43AF4E3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b/>
                <w:color w:val="000000"/>
                <w:sz w:val="16"/>
                <w:szCs w:val="16"/>
              </w:rPr>
            </w:pPr>
            <w:r>
              <w:rPr>
                <w:rFonts w:cs="宋体"/>
                <w:b/>
                <w:color w:val="000000"/>
                <w:sz w:val="16"/>
                <w:szCs w:val="16"/>
              </w:rPr>
              <w:t>决算数</w:t>
            </w:r>
          </w:p>
        </w:tc>
      </w:tr>
      <w:tr w14:paraId="53A10CF7">
        <w:tblPrEx>
          <w:tblCellMar>
            <w:top w:w="0" w:type="dxa"/>
            <w:left w:w="170" w:type="dxa"/>
            <w:bottom w:w="0" w:type="dxa"/>
            <w:right w:w="170" w:type="dxa"/>
          </w:tblCellMar>
        </w:tblPrEx>
        <w:trPr>
          <w:trHeight w:val="282"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35EDDE8A">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一、“三公”经费支出</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DDEC92C">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8C8FA2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302041E9">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四、机关运行经费</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2ADAC737">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r>
      <w:tr w14:paraId="037E5723">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2BBFD60B">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（一）支出合计</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55499BF8">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45.70</w:t>
            </w:r>
            <w:r>
              <w:rPr>
                <w:color w:val="000000"/>
                <w:sz w:val="16"/>
                <w:u w:color="auto"/>
              </w:rPr>
              <w:t xml:space="preserve"> </w:t>
            </w:r>
          </w:p>
        </w:tc>
        <w:tc>
          <w:tcPr>
            <w:tcW w:w="70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1AD70F70">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45.70</w:t>
            </w: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18D9C09A">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（一）行政单位</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30F2F0AD">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r>
      <w:tr w14:paraId="1B17E373">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150E3157">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1．因公出国（境）费</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5591C291">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c>
          <w:tcPr>
            <w:tcW w:w="70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6B2B495A">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581A659E">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（二）参照公务员法管理事业单位</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1919D39F">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r>
      <w:tr w14:paraId="46C89135">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58C67680">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2．公务用车购置及运行维护费</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5813BC7C">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45.38</w:t>
            </w:r>
            <w:r>
              <w:rPr>
                <w:color w:val="000000"/>
                <w:sz w:val="16"/>
                <w:u w:color="auto"/>
              </w:rPr>
              <w:t xml:space="preserve"> </w:t>
            </w:r>
          </w:p>
        </w:tc>
        <w:tc>
          <w:tcPr>
            <w:tcW w:w="70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56C17392">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45.38</w:t>
            </w: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1F1AA1DD">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五、资产信息</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C046BA2">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r>
      <w:tr w14:paraId="72531236">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1E66B996">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（1）公务用车购置费</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0DBA6A7A">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9.54</w:t>
            </w:r>
            <w:r>
              <w:rPr>
                <w:color w:val="000000"/>
                <w:sz w:val="16"/>
                <w:u w:color="auto"/>
              </w:rPr>
              <w:t xml:space="preserve"> </w:t>
            </w:r>
          </w:p>
        </w:tc>
        <w:tc>
          <w:tcPr>
            <w:tcW w:w="70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5DEE2B72">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9.54</w:t>
            </w: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673FFA62">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（一）车辆数合计（辆）</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69DB5BEB">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 xml:space="preserve">12   </w:t>
            </w:r>
          </w:p>
        </w:tc>
      </w:tr>
      <w:tr w14:paraId="1C1F6FD9">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3CCA7774">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（2）公务用车运行维护费</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3408A281">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35.84</w:t>
            </w:r>
            <w:r>
              <w:rPr>
                <w:color w:val="000000"/>
                <w:sz w:val="16"/>
                <w:u w:color="auto"/>
              </w:rPr>
              <w:t xml:space="preserve"> </w:t>
            </w:r>
          </w:p>
        </w:tc>
        <w:tc>
          <w:tcPr>
            <w:tcW w:w="70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61B78CC9">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35.84</w:t>
            </w: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20F2C5FF">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1．副部（省）级及以上领导用车</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074C3A68">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r>
      <w:tr w14:paraId="14BAB9B8">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18BCA006">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3．公务接待费</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4CC9A2C7">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0.32</w:t>
            </w:r>
            <w:r>
              <w:rPr>
                <w:color w:val="000000"/>
                <w:sz w:val="16"/>
                <w:u w:color="auto"/>
              </w:rPr>
              <w:t xml:space="preserve"> </w:t>
            </w:r>
          </w:p>
        </w:tc>
        <w:tc>
          <w:tcPr>
            <w:tcW w:w="70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52E741DE">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0.32</w:t>
            </w: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066E5480">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2．主要领导干部用车</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7AA2A151">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r>
      <w:tr w14:paraId="2DD69EC0">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7EE14910">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（1）国内接待费</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40EF0C0">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4731FBD5">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0.32</w:t>
            </w: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34F1240B">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3．机要通信用车</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4AE3355E">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r>
      <w:tr w14:paraId="076C833D">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61F8643A">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其中：外事接待费</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B0D0BC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739E71ED">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1C34A251">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4．应急保障用车</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30E5B1CD">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r>
      <w:tr w14:paraId="23EF0726">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4F5AB2AF">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（2）国（境）外接待费</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5F5B1E4">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45543258">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0DC4BC21">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5．执法执勤用车</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6A30A7AD">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r>
      <w:tr w14:paraId="7600037A">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70D2D239">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（二）相关统计数</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419DBAF">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A7B13D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1508"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31C28132">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6．特种专业技术用车</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71D2801F">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12</w:t>
            </w:r>
            <w:r>
              <w:rPr>
                <w:color w:val="000000"/>
                <w:sz w:val="16"/>
                <w:u w:color="auto"/>
              </w:rPr>
              <w:t xml:space="preserve"> </w:t>
            </w:r>
          </w:p>
        </w:tc>
      </w:tr>
      <w:tr w14:paraId="324A8ADB">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59F00BAD">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1．因公出国（境）团组数（个）</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26D6244">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bottom"/>
          </w:tcPr>
          <w:p w14:paraId="77E91F44">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4E7F68C0">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7．离退休干部用车</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5534178D">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r>
      <w:tr w14:paraId="27DA075F">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7D54D2CF">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2．因公出国（境）人次数（人）</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7AD7615">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bottom"/>
          </w:tcPr>
          <w:p w14:paraId="4323296C">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71DDC47F">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8．其他用车</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2ACF0EEC">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r>
      <w:tr w14:paraId="14805576">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27CD5400">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3．公务用车购置数（辆）</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A52EF7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bottom"/>
          </w:tcPr>
          <w:p w14:paraId="07316B32">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29CDA634">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（二）单价100万元（含）以上设备（不含车辆）</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297D2A49">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2</w:t>
            </w:r>
            <w:r>
              <w:rPr>
                <w:color w:val="000000"/>
                <w:sz w:val="16"/>
                <w:u w:color="auto"/>
              </w:rPr>
              <w:t xml:space="preserve"> </w:t>
            </w:r>
          </w:p>
        </w:tc>
      </w:tr>
      <w:tr w14:paraId="43F5F189">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09FA1D34">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4．公务用车保有量（辆）</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F610C11">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bottom"/>
          </w:tcPr>
          <w:p w14:paraId="251E8CB9">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12</w:t>
            </w: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019E3FA3">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六、政府采购支出信息</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719D0E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r>
      <w:tr w14:paraId="2825AAD8">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332FE348">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5．国内公务接待批次（个）</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B37DA3B">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bottom"/>
          </w:tcPr>
          <w:p w14:paraId="421EEE1E">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6</w:t>
            </w: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696401BA">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（一）政府采购支出合计</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6A94B954">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248.80</w:t>
            </w:r>
            <w:r>
              <w:rPr>
                <w:color w:val="000000"/>
                <w:sz w:val="16"/>
                <w:u w:color="auto"/>
              </w:rPr>
              <w:t xml:space="preserve"> </w:t>
            </w:r>
          </w:p>
        </w:tc>
      </w:tr>
      <w:tr w14:paraId="71FA69F3">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67A38DC9">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其中：外事接待批次（个）</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96E6A4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bottom"/>
          </w:tcPr>
          <w:p w14:paraId="0B2BC216">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7BC5B718">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1．政府采购货物支出</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06C42D46">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248.80</w:t>
            </w:r>
            <w:r>
              <w:rPr>
                <w:color w:val="000000"/>
                <w:sz w:val="16"/>
                <w:u w:color="auto"/>
              </w:rPr>
              <w:t xml:space="preserve"> </w:t>
            </w:r>
          </w:p>
        </w:tc>
      </w:tr>
      <w:tr w14:paraId="491596F8">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4E2C15D5">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6．国内公务接待人次（人）</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C0258D8">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bottom"/>
          </w:tcPr>
          <w:p w14:paraId="3F94F5A1">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33</w:t>
            </w: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5CB0459F">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2．政府采购工程支出</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3777ACAC">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r>
      <w:tr w14:paraId="520F72EB">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2545BFE5">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其中：外事接待人次（人）</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13C6D79">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bottom"/>
          </w:tcPr>
          <w:p w14:paraId="09E8C232">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36A16A0D">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3．政府采购服务支出</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1E33B12E">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r>
      <w:tr w14:paraId="34906271">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25271CFF">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7．国（境）外公务接待批次（个）</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BAEB50A">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bottom"/>
          </w:tcPr>
          <w:p w14:paraId="4D94B3BA">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1DB9B26B">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（二）政府采购授予中小企业合同金额</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00EEC9CD">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248.80</w:t>
            </w:r>
            <w:r>
              <w:rPr>
                <w:color w:val="000000"/>
                <w:sz w:val="16"/>
                <w:u w:color="auto"/>
              </w:rPr>
              <w:t xml:space="preserve"> </w:t>
            </w:r>
          </w:p>
        </w:tc>
      </w:tr>
      <w:tr w14:paraId="4B1EA9EE">
        <w:tblPrEx>
          <w:tblCellMar>
            <w:top w:w="0" w:type="dxa"/>
            <w:left w:w="170" w:type="dxa"/>
            <w:bottom w:w="0" w:type="dxa"/>
            <w:right w:w="170" w:type="dxa"/>
          </w:tblCellMar>
        </w:tblPrEx>
        <w:trPr>
          <w:trHeight w:val="292" w:hRule="atLeast"/>
        </w:trPr>
        <w:tc>
          <w:tcPr>
            <w:tcW w:w="1347" w:type="pct"/>
            <w:tcBorders>
              <w:top w:val="single" w:color="auto" w:sz="4" w:space="0"/>
              <w:left w:val="single" w:color="auto" w:sz="4" w:space="0"/>
              <w:bottom w:val="single" w:color="auto" w:sz="4" w:space="0"/>
              <w:right w:val="single" w:color="auto" w:sz="4" w:space="0"/>
            </w:tcBorders>
            <w:shd w:val="clear" w:color="FFFFFF" w:fill="BFBFBF"/>
            <w:noWrap/>
            <w:tcMar>
              <w:top w:w="15" w:type="dxa"/>
              <w:left w:w="15" w:type="dxa"/>
              <w:right w:w="15" w:type="dxa"/>
            </w:tcMar>
            <w:vAlign w:val="center"/>
          </w:tcPr>
          <w:p w14:paraId="3FAA00C1">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8．国（境）外公务接待人次（人）</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86A2BE3">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FFFFFF"/>
            <w:noWrap/>
            <w:tcMar>
              <w:top w:w="15" w:type="dxa"/>
              <w:left w:w="15" w:type="dxa"/>
              <w:right w:w="15" w:type="dxa"/>
            </w:tcMar>
            <w:vAlign w:val="bottom"/>
          </w:tcPr>
          <w:p w14:paraId="66668AAE">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14BFF9D6">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 xml:space="preserve">        其中：授予小微企业合同金额</w:t>
            </w: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790F1259">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color w:val="000000"/>
                <w:sz w:val="16"/>
                <w:u w:color="auto"/>
              </w:rPr>
              <w:t xml:space="preserve"> </w:t>
            </w:r>
          </w:p>
        </w:tc>
      </w:tr>
      <w:tr w14:paraId="1E72A831">
        <w:tblPrEx>
          <w:tblCellMar>
            <w:top w:w="0" w:type="dxa"/>
            <w:left w:w="170" w:type="dxa"/>
            <w:bottom w:w="0" w:type="dxa"/>
            <w:right w:w="170" w:type="dxa"/>
          </w:tblCellMar>
        </w:tblPrEx>
        <w:trPr>
          <w:trHeight w:val="286"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01F49F54">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二、会议费</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8F351DD">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02A5669B">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0.01</w:t>
            </w: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28ECED60">
            <w:pPr>
              <w:keepNext w:val="0"/>
              <w:keepLines w:val="0"/>
              <w:pageBreakBefore w:val="0"/>
              <w:widowControl/>
              <w:kinsoku/>
              <w:wordWrap/>
              <w:overflowPunct/>
              <w:topLinePunct w:val="0"/>
              <w:autoSpaceDE/>
              <w:autoSpaceDN/>
              <w:bidi w:val="0"/>
              <w:adjustRightInd/>
              <w:snapToGrid/>
              <w:spacing w:line="300" w:lineRule="exact"/>
              <w:rPr>
                <w:rFonts w:hint="default" w:cs="宋体"/>
                <w:color w:val="000000"/>
                <w:sz w:val="16"/>
                <w:szCs w:val="16"/>
              </w:rPr>
            </w:pP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18F35A3F">
            <w:pPr>
              <w:keepNext w:val="0"/>
              <w:keepLines w:val="0"/>
              <w:pageBreakBefore w:val="0"/>
              <w:widowControl/>
              <w:kinsoku/>
              <w:wordWrap/>
              <w:overflowPunct/>
              <w:topLinePunct w:val="0"/>
              <w:autoSpaceDE/>
              <w:autoSpaceDN/>
              <w:bidi w:val="0"/>
              <w:adjustRightInd/>
              <w:snapToGrid/>
              <w:spacing w:line="300" w:lineRule="exact"/>
              <w:jc w:val="right"/>
              <w:rPr>
                <w:rFonts w:hint="default" w:cs="宋体"/>
                <w:color w:val="000000"/>
                <w:sz w:val="16"/>
                <w:szCs w:val="16"/>
              </w:rPr>
            </w:pPr>
          </w:p>
        </w:tc>
      </w:tr>
      <w:tr w14:paraId="6523103C">
        <w:tblPrEx>
          <w:tblCellMar>
            <w:top w:w="0" w:type="dxa"/>
            <w:left w:w="170" w:type="dxa"/>
            <w:bottom w:w="0" w:type="dxa"/>
            <w:right w:w="170" w:type="dxa"/>
          </w:tblCellMar>
        </w:tblPrEx>
        <w:trPr>
          <w:trHeight w:val="389" w:hRule="atLeast"/>
        </w:trPr>
        <w:tc>
          <w:tcPr>
            <w:tcW w:w="1347"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07C9BFCA">
            <w:pPr>
              <w:keepNext w:val="0"/>
              <w:keepLines w:val="0"/>
              <w:pageBreakBefore w:val="0"/>
              <w:widowControl/>
              <w:kinsoku/>
              <w:wordWrap/>
              <w:overflowPunct/>
              <w:topLinePunct w:val="0"/>
              <w:autoSpaceDE/>
              <w:autoSpaceDN/>
              <w:bidi w:val="0"/>
              <w:adjustRightInd/>
              <w:snapToGrid/>
              <w:spacing w:line="300" w:lineRule="exact"/>
              <w:textAlignment w:val="center"/>
              <w:rPr>
                <w:rFonts w:hint="default" w:cs="宋体"/>
                <w:color w:val="000000"/>
                <w:sz w:val="16"/>
                <w:szCs w:val="16"/>
              </w:rPr>
            </w:pPr>
            <w:r>
              <w:rPr>
                <w:rFonts w:cs="宋体"/>
                <w:color w:val="000000"/>
                <w:sz w:val="16"/>
                <w:szCs w:val="16"/>
              </w:rPr>
              <w:t>三、培训费</w:t>
            </w:r>
          </w:p>
        </w:tc>
        <w:tc>
          <w:tcPr>
            <w:tcW w:w="722"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464F319">
            <w:pPr>
              <w:keepNext w:val="0"/>
              <w:keepLines w:val="0"/>
              <w:pageBreakBefore w:val="0"/>
              <w:widowControl/>
              <w:kinsoku/>
              <w:wordWrap/>
              <w:overflowPunct/>
              <w:topLinePunct w:val="0"/>
              <w:autoSpaceDE/>
              <w:autoSpaceDN/>
              <w:bidi w:val="0"/>
              <w:adjustRightInd/>
              <w:snapToGrid/>
              <w:spacing w:line="300" w:lineRule="exact"/>
              <w:jc w:val="center"/>
              <w:textAlignment w:val="center"/>
              <w:rPr>
                <w:rFonts w:hint="default" w:cs="宋体"/>
                <w:color w:val="000000"/>
                <w:sz w:val="16"/>
                <w:szCs w:val="16"/>
              </w:rPr>
            </w:pPr>
            <w:r>
              <w:rPr>
                <w:rFonts w:cs="宋体"/>
                <w:color w:val="000000"/>
                <w:sz w:val="16"/>
                <w:szCs w:val="16"/>
              </w:rPr>
              <w:t>—</w:t>
            </w:r>
          </w:p>
        </w:tc>
        <w:tc>
          <w:tcPr>
            <w:tcW w:w="70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12F2620E">
            <w:pPr>
              <w:keepNext w:val="0"/>
              <w:keepLines w:val="0"/>
              <w:pageBreakBefore w:val="0"/>
              <w:widowControl/>
              <w:kinsoku/>
              <w:wordWrap/>
              <w:overflowPunct/>
              <w:topLinePunct w:val="0"/>
              <w:autoSpaceDE/>
              <w:autoSpaceDN/>
              <w:bidi w:val="0"/>
              <w:adjustRightInd/>
              <w:snapToGrid/>
              <w:spacing w:line="300" w:lineRule="exact"/>
              <w:jc w:val="right"/>
              <w:textAlignment w:val="bottom"/>
              <w:rPr>
                <w:rFonts w:hint="default" w:cs="宋体"/>
                <w:color w:val="000000"/>
                <w:sz w:val="16"/>
                <w:szCs w:val="16"/>
              </w:rPr>
            </w:pPr>
            <w:r>
              <w:rPr>
                <w:rFonts w:cs="宋体"/>
                <w:color w:val="000000"/>
                <w:sz w:val="16"/>
                <w:szCs w:val="16"/>
              </w:rPr>
              <w:t>1.10</w:t>
            </w:r>
            <w:r>
              <w:rPr>
                <w:color w:val="000000"/>
                <w:sz w:val="16"/>
                <w:u w:color="auto"/>
              </w:rPr>
              <w:t xml:space="preserve"> </w:t>
            </w:r>
          </w:p>
        </w:tc>
        <w:tc>
          <w:tcPr>
            <w:tcW w:w="1508" w:type="pct"/>
            <w:tcBorders>
              <w:top w:val="single" w:color="auto" w:sz="4" w:space="0"/>
              <w:left w:val="single" w:color="auto" w:sz="4" w:space="0"/>
              <w:bottom w:val="single" w:color="auto" w:sz="4" w:space="0"/>
              <w:right w:val="single" w:color="auto" w:sz="4" w:space="0"/>
            </w:tcBorders>
            <w:shd w:val="clear" w:color="FFFFFF" w:fill="C0C0C0"/>
            <w:noWrap/>
            <w:tcMar>
              <w:top w:w="15" w:type="dxa"/>
              <w:left w:w="15" w:type="dxa"/>
              <w:right w:w="15" w:type="dxa"/>
            </w:tcMar>
            <w:vAlign w:val="center"/>
          </w:tcPr>
          <w:p w14:paraId="2C22DAF2">
            <w:pPr>
              <w:keepNext w:val="0"/>
              <w:keepLines w:val="0"/>
              <w:pageBreakBefore w:val="0"/>
              <w:widowControl/>
              <w:kinsoku/>
              <w:wordWrap/>
              <w:overflowPunct/>
              <w:topLinePunct w:val="0"/>
              <w:autoSpaceDE/>
              <w:autoSpaceDN/>
              <w:bidi w:val="0"/>
              <w:adjustRightInd/>
              <w:snapToGrid/>
              <w:spacing w:line="300" w:lineRule="exact"/>
              <w:rPr>
                <w:rFonts w:hint="default" w:cs="宋体"/>
                <w:color w:val="000000"/>
                <w:sz w:val="16"/>
                <w:szCs w:val="16"/>
              </w:rPr>
            </w:pPr>
          </w:p>
        </w:tc>
        <w:tc>
          <w:tcPr>
            <w:tcW w:w="71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0969A8FC">
            <w:pPr>
              <w:keepNext w:val="0"/>
              <w:keepLines w:val="0"/>
              <w:pageBreakBefore w:val="0"/>
              <w:widowControl/>
              <w:kinsoku/>
              <w:wordWrap/>
              <w:overflowPunct/>
              <w:topLinePunct w:val="0"/>
              <w:autoSpaceDE/>
              <w:autoSpaceDN/>
              <w:bidi w:val="0"/>
              <w:adjustRightInd/>
              <w:snapToGrid/>
              <w:spacing w:line="300" w:lineRule="exact"/>
              <w:jc w:val="right"/>
              <w:rPr>
                <w:rFonts w:hint="default" w:cs="宋体"/>
                <w:color w:val="000000"/>
                <w:sz w:val="16"/>
                <w:szCs w:val="16"/>
              </w:rPr>
            </w:pPr>
          </w:p>
        </w:tc>
      </w:tr>
    </w:tbl>
    <w:p w14:paraId="24BAD89A">
      <w:pPr>
        <w:keepNext w:val="0"/>
        <w:keepLines w:val="0"/>
        <w:pageBreakBefore w:val="0"/>
        <w:widowControl/>
        <w:kinsoku/>
        <w:wordWrap/>
        <w:overflowPunct/>
        <w:topLinePunct w:val="0"/>
        <w:autoSpaceDE/>
        <w:autoSpaceDN/>
        <w:bidi w:val="0"/>
        <w:adjustRightInd/>
        <w:snapToGrid/>
        <w:spacing w:line="300" w:lineRule="exact"/>
        <w:rPr>
          <w:rFonts w:hint="default" w:cs="宋体"/>
          <w:sz w:val="21"/>
          <w:szCs w:val="21"/>
        </w:rPr>
      </w:pPr>
      <w:r>
        <w:rPr>
          <w:rFonts w:cs="宋体"/>
          <w:sz w:val="20"/>
          <w:szCs w:val="20"/>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sectPr>
      <w:headerReference r:id="rId4" w:type="default"/>
      <w:footerReference r:id="rId5" w:type="default"/>
      <w:pgSz w:w="16839" w:h="11907" w:orient="landscape"/>
      <w:pgMar w:top="567" w:right="454" w:bottom="567" w:left="1037" w:header="0" w:footer="283" w:gutter="0"/>
      <w:pgNumType w:fmt="decimal"/>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39CECA3-74CD-4C07-B467-F942D139C9D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00000001" w:usb1="080E0000" w:usb2="00000000" w:usb3="00000000" w:csb0="00040000" w:csb1="00000000"/>
    <w:embedRegular r:id="rId2" w:fontKey="{B043C541-E517-42AE-8908-5ACFBC739D1A}"/>
  </w:font>
  <w:font w:name="方正黑体_GBK">
    <w:panose1 w:val="03000509000000000000"/>
    <w:charset w:val="86"/>
    <w:family w:val="auto"/>
    <w:pitch w:val="default"/>
    <w:sig w:usb0="00000001" w:usb1="080E0000" w:usb2="00000000" w:usb3="00000000" w:csb0="00040000" w:csb1="00000000"/>
    <w:embedRegular r:id="rId3" w:fontKey="{487171F4-65B5-47CC-B38A-C39EBD9957A8}"/>
  </w:font>
  <w:font w:name="方正楷体_GBK">
    <w:panose1 w:val="02000000000000000000"/>
    <w:charset w:val="86"/>
    <w:family w:val="auto"/>
    <w:pitch w:val="default"/>
    <w:sig w:usb0="00000001" w:usb1="080E0000" w:usb2="00000000" w:usb3="00000000" w:csb0="00040000" w:csb1="00000000"/>
    <w:embedRegular r:id="rId4" w:fontKey="{BC25775E-C6E9-4C77-B2E6-1AAED6FF0DD2}"/>
  </w:font>
  <w:font w:name="方正仿宋_GBK">
    <w:panose1 w:val="02000000000000000000"/>
    <w:charset w:val="86"/>
    <w:family w:val="script"/>
    <w:pitch w:val="default"/>
    <w:sig w:usb0="00000001" w:usb1="080E0000" w:usb2="00000000" w:usb3="00000000" w:csb0="00040000" w:csb1="00000000"/>
    <w:embedRegular r:id="rId5" w:fontKey="{F438B2FB-3E38-4E39-8D9A-4F72DAF67458}"/>
  </w:font>
  <w:font w:name="楷体">
    <w:panose1 w:val="02010609060101010101"/>
    <w:charset w:val="86"/>
    <w:family w:val="modern"/>
    <w:pitch w:val="default"/>
    <w:sig w:usb0="800002BF" w:usb1="38CF7CFA" w:usb2="00000016" w:usb3="00000000" w:csb0="00040001" w:csb1="00000000"/>
    <w:embedRegular r:id="rId6" w:fontKey="{6D9E2FFD-18F0-4E04-AED4-80683887F89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F23F4">
    <w:pPr>
      <w:pStyle w:val="4"/>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93B2C67">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393B2C67">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F0A5C">
    <w:pPr>
      <w:pStyle w:val="4"/>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outside</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0F90D0F">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OYorozAgAAZw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OYorozAgAAZwQAAA4AAAAAAAAAAQAgAAAAHwEAAGRycy9lMm9Eb2MueG1sUEsF&#10;BgAAAAAGAAYAWQEAAMQFAAAAAA==&#10;">
              <v:fill on="f" focussize="0,0"/>
              <v:stroke on="f" weight="0.5pt"/>
              <v:imagedata o:title=""/>
              <o:lock v:ext="edit" aspectratio="f"/>
              <v:textbox inset="0mm,0mm,0mm,0mm" style="mso-fit-shape-to-text:t;">
                <w:txbxContent>
                  <w:p w14:paraId="10F90D0F">
                    <w:pPr>
                      <w:pStyle w:val="4"/>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14:paraId="19BDA061">
                          <w:pPr>
                            <w:pStyle w:val="4"/>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eA1UVNgAAAAKAQAADwAAAAAAAAABACAAAAAiAAAAZHJzL2Rvd25y&#10;ZXYueG1sUEsBAhQAFAAAAAgAh07iQALFEI03AgAAZgQAAA4AAAAAAAAAAQAgAAAAJwEAAGRycy9l&#10;Mm9Eb2MueG1sUEsFBgAAAAAGAAYAWQEAANAFAAAAAA==&#10;">
              <v:fill on="f" focussize="0,0"/>
              <v:stroke on="f" weight="0.5pt"/>
              <v:imagedata o:title=""/>
              <o:lock v:ext="edit" aspectratio="f"/>
              <v:textbox inset="0mm,0mm,0mm,0mm">
                <w:txbxContent>
                  <w:p w14:paraId="19BDA061">
                    <w:pPr>
                      <w:pStyle w:val="4"/>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CA9C3">
    <w:pPr>
      <w:pStyle w:val="5"/>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HorizontalSpacing w:val="120"/>
  <w:drawingGridVerticalSpacing w:val="164"/>
  <w:displayHorizontalDrawingGridEvery w:val="1"/>
  <w:displayVerticalDrawingGridEvery w:val="2"/>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xNGIzYTdmZjFkMjM4YWY3M2E2ZDVmMmVlYzRmYzAifQ=="/>
  </w:docVars>
  <w:rsids>
    <w:rsidRoot w:val="00B03CCD"/>
    <w:rsid w:val="001D3BB7"/>
    <w:rsid w:val="002B254B"/>
    <w:rsid w:val="00466C9B"/>
    <w:rsid w:val="00550ABE"/>
    <w:rsid w:val="005615D4"/>
    <w:rsid w:val="00770383"/>
    <w:rsid w:val="007819D4"/>
    <w:rsid w:val="007B419D"/>
    <w:rsid w:val="007B7C4B"/>
    <w:rsid w:val="007D3D39"/>
    <w:rsid w:val="00994AF7"/>
    <w:rsid w:val="009B67B8"/>
    <w:rsid w:val="009D2B67"/>
    <w:rsid w:val="00A566F9"/>
    <w:rsid w:val="00AF2751"/>
    <w:rsid w:val="00B03CCD"/>
    <w:rsid w:val="00BE2B89"/>
    <w:rsid w:val="00C10E9E"/>
    <w:rsid w:val="00C20C3E"/>
    <w:rsid w:val="00D83BCA"/>
    <w:rsid w:val="00F73F90"/>
    <w:rsid w:val="01474EBF"/>
    <w:rsid w:val="01993B8C"/>
    <w:rsid w:val="01F3521E"/>
    <w:rsid w:val="02C15C15"/>
    <w:rsid w:val="02CB6B4F"/>
    <w:rsid w:val="035E6243"/>
    <w:rsid w:val="038B43A5"/>
    <w:rsid w:val="038D3451"/>
    <w:rsid w:val="03B87EA0"/>
    <w:rsid w:val="03E3214F"/>
    <w:rsid w:val="0431202E"/>
    <w:rsid w:val="044C50BA"/>
    <w:rsid w:val="05BC6D49"/>
    <w:rsid w:val="06194FF1"/>
    <w:rsid w:val="069B7700"/>
    <w:rsid w:val="06A2550B"/>
    <w:rsid w:val="06DE46EF"/>
    <w:rsid w:val="06F80EE2"/>
    <w:rsid w:val="07001CCA"/>
    <w:rsid w:val="075678DB"/>
    <w:rsid w:val="07612C2A"/>
    <w:rsid w:val="079D7CC7"/>
    <w:rsid w:val="07E420F5"/>
    <w:rsid w:val="08051BCA"/>
    <w:rsid w:val="081E1588"/>
    <w:rsid w:val="083D37D7"/>
    <w:rsid w:val="086C12F4"/>
    <w:rsid w:val="08705944"/>
    <w:rsid w:val="08BA052C"/>
    <w:rsid w:val="08C2594B"/>
    <w:rsid w:val="08DB07BA"/>
    <w:rsid w:val="0969353F"/>
    <w:rsid w:val="098305D0"/>
    <w:rsid w:val="09C35E1E"/>
    <w:rsid w:val="09FC4E8C"/>
    <w:rsid w:val="0A3317EA"/>
    <w:rsid w:val="0A5C4B69"/>
    <w:rsid w:val="0A86124A"/>
    <w:rsid w:val="0AB54CC0"/>
    <w:rsid w:val="0ABD461B"/>
    <w:rsid w:val="0B70168E"/>
    <w:rsid w:val="0B753B34"/>
    <w:rsid w:val="0B9335CE"/>
    <w:rsid w:val="0BC31671"/>
    <w:rsid w:val="0BDD4644"/>
    <w:rsid w:val="0BF2311A"/>
    <w:rsid w:val="0C7927C4"/>
    <w:rsid w:val="0C9B098C"/>
    <w:rsid w:val="0CCC516C"/>
    <w:rsid w:val="0D673E11"/>
    <w:rsid w:val="0DDA54E4"/>
    <w:rsid w:val="0DDB4D4D"/>
    <w:rsid w:val="0E3A5F83"/>
    <w:rsid w:val="0EAD2BF9"/>
    <w:rsid w:val="0F6B1499"/>
    <w:rsid w:val="0F836721"/>
    <w:rsid w:val="0F977B31"/>
    <w:rsid w:val="0F9F0794"/>
    <w:rsid w:val="0FA25D96"/>
    <w:rsid w:val="0FB57FB7"/>
    <w:rsid w:val="0FE12B5A"/>
    <w:rsid w:val="107B59E5"/>
    <w:rsid w:val="10EC0126"/>
    <w:rsid w:val="10F70B9A"/>
    <w:rsid w:val="111445C7"/>
    <w:rsid w:val="111A4DF2"/>
    <w:rsid w:val="114278C6"/>
    <w:rsid w:val="1158083A"/>
    <w:rsid w:val="115F642C"/>
    <w:rsid w:val="11643A4B"/>
    <w:rsid w:val="11DE2413"/>
    <w:rsid w:val="11ED0F98"/>
    <w:rsid w:val="11F03528"/>
    <w:rsid w:val="129B7BA8"/>
    <w:rsid w:val="12C64289"/>
    <w:rsid w:val="12C921C4"/>
    <w:rsid w:val="13871C70"/>
    <w:rsid w:val="13A71CB4"/>
    <w:rsid w:val="13AF1D43"/>
    <w:rsid w:val="13CE1647"/>
    <w:rsid w:val="13FD55AB"/>
    <w:rsid w:val="14200702"/>
    <w:rsid w:val="14975EDD"/>
    <w:rsid w:val="14A26AE1"/>
    <w:rsid w:val="14A75D93"/>
    <w:rsid w:val="16351E52"/>
    <w:rsid w:val="163A6CEE"/>
    <w:rsid w:val="173708E3"/>
    <w:rsid w:val="17A50911"/>
    <w:rsid w:val="17C374FC"/>
    <w:rsid w:val="182E4AB6"/>
    <w:rsid w:val="189079DC"/>
    <w:rsid w:val="18943C16"/>
    <w:rsid w:val="189B0D0B"/>
    <w:rsid w:val="18B43F7C"/>
    <w:rsid w:val="1903764A"/>
    <w:rsid w:val="19263C2F"/>
    <w:rsid w:val="1945415A"/>
    <w:rsid w:val="194A1770"/>
    <w:rsid w:val="19B906A4"/>
    <w:rsid w:val="1A6B57F9"/>
    <w:rsid w:val="1A9A0657"/>
    <w:rsid w:val="1B1671F2"/>
    <w:rsid w:val="1B6F15B6"/>
    <w:rsid w:val="1BAA2EDC"/>
    <w:rsid w:val="1BCE3C6A"/>
    <w:rsid w:val="1CA55E64"/>
    <w:rsid w:val="1CC950A2"/>
    <w:rsid w:val="1D014A01"/>
    <w:rsid w:val="1D022362"/>
    <w:rsid w:val="1D1B04B0"/>
    <w:rsid w:val="1D920DE4"/>
    <w:rsid w:val="1DA52501"/>
    <w:rsid w:val="1DBD6767"/>
    <w:rsid w:val="1DC52125"/>
    <w:rsid w:val="1DD26311"/>
    <w:rsid w:val="1E374ACB"/>
    <w:rsid w:val="1ECF0A66"/>
    <w:rsid w:val="1EF67CA4"/>
    <w:rsid w:val="1EFF4DAB"/>
    <w:rsid w:val="1F020D3A"/>
    <w:rsid w:val="1F2C5189"/>
    <w:rsid w:val="1F4B0B02"/>
    <w:rsid w:val="1F5F0D5F"/>
    <w:rsid w:val="1FBB35CD"/>
    <w:rsid w:val="1FCD26AF"/>
    <w:rsid w:val="20642787"/>
    <w:rsid w:val="21556F04"/>
    <w:rsid w:val="21F832B9"/>
    <w:rsid w:val="22356D36"/>
    <w:rsid w:val="22403BD3"/>
    <w:rsid w:val="231A6657"/>
    <w:rsid w:val="2499211B"/>
    <w:rsid w:val="24A52A74"/>
    <w:rsid w:val="24B21795"/>
    <w:rsid w:val="24B92327"/>
    <w:rsid w:val="24C14514"/>
    <w:rsid w:val="24F37663"/>
    <w:rsid w:val="2533755C"/>
    <w:rsid w:val="25791755"/>
    <w:rsid w:val="26396DF4"/>
    <w:rsid w:val="266D3675"/>
    <w:rsid w:val="26C40F4A"/>
    <w:rsid w:val="27167136"/>
    <w:rsid w:val="271B442C"/>
    <w:rsid w:val="279F35CF"/>
    <w:rsid w:val="27A04C51"/>
    <w:rsid w:val="27B23302"/>
    <w:rsid w:val="284214EA"/>
    <w:rsid w:val="285A74F6"/>
    <w:rsid w:val="288D78CB"/>
    <w:rsid w:val="28FC6923"/>
    <w:rsid w:val="29310A5F"/>
    <w:rsid w:val="293715E5"/>
    <w:rsid w:val="298816CB"/>
    <w:rsid w:val="29A11512"/>
    <w:rsid w:val="29C37A35"/>
    <w:rsid w:val="29FC1E79"/>
    <w:rsid w:val="2A076083"/>
    <w:rsid w:val="2A60320F"/>
    <w:rsid w:val="2A73162E"/>
    <w:rsid w:val="2B167953"/>
    <w:rsid w:val="2B200583"/>
    <w:rsid w:val="2B277B63"/>
    <w:rsid w:val="2B8209DE"/>
    <w:rsid w:val="2B8E1D55"/>
    <w:rsid w:val="2C5A0804"/>
    <w:rsid w:val="2C636760"/>
    <w:rsid w:val="2C6762A3"/>
    <w:rsid w:val="2C7A0167"/>
    <w:rsid w:val="2D444F80"/>
    <w:rsid w:val="2DAB6883"/>
    <w:rsid w:val="2DB77419"/>
    <w:rsid w:val="2DF46FB8"/>
    <w:rsid w:val="2E2959A0"/>
    <w:rsid w:val="2E84179B"/>
    <w:rsid w:val="2EED10C4"/>
    <w:rsid w:val="2F706297"/>
    <w:rsid w:val="2F713714"/>
    <w:rsid w:val="2FCA4B37"/>
    <w:rsid w:val="2FDB716E"/>
    <w:rsid w:val="2FE029D7"/>
    <w:rsid w:val="2FF06E00"/>
    <w:rsid w:val="30586FEC"/>
    <w:rsid w:val="305A18DA"/>
    <w:rsid w:val="305D4027"/>
    <w:rsid w:val="30BA4FD6"/>
    <w:rsid w:val="30EE1123"/>
    <w:rsid w:val="314B5142"/>
    <w:rsid w:val="315F0B22"/>
    <w:rsid w:val="319677F1"/>
    <w:rsid w:val="31D84415"/>
    <w:rsid w:val="32285F6F"/>
    <w:rsid w:val="32770556"/>
    <w:rsid w:val="329C0913"/>
    <w:rsid w:val="32AA0460"/>
    <w:rsid w:val="3337290D"/>
    <w:rsid w:val="33811DDB"/>
    <w:rsid w:val="33833DA5"/>
    <w:rsid w:val="33B43F5E"/>
    <w:rsid w:val="33E31118"/>
    <w:rsid w:val="33EF7674"/>
    <w:rsid w:val="342D7BC6"/>
    <w:rsid w:val="352930DB"/>
    <w:rsid w:val="35573069"/>
    <w:rsid w:val="355F6038"/>
    <w:rsid w:val="35884B15"/>
    <w:rsid w:val="358C217E"/>
    <w:rsid w:val="35E6686D"/>
    <w:rsid w:val="36C9128A"/>
    <w:rsid w:val="37841E99"/>
    <w:rsid w:val="37BF1123"/>
    <w:rsid w:val="37C77F9A"/>
    <w:rsid w:val="37D83F93"/>
    <w:rsid w:val="38226A7D"/>
    <w:rsid w:val="383C3F15"/>
    <w:rsid w:val="38401466"/>
    <w:rsid w:val="385B6A34"/>
    <w:rsid w:val="38AA7D72"/>
    <w:rsid w:val="38BE4696"/>
    <w:rsid w:val="3939115E"/>
    <w:rsid w:val="398B5761"/>
    <w:rsid w:val="39B82A39"/>
    <w:rsid w:val="39C42CA8"/>
    <w:rsid w:val="39DC4FD6"/>
    <w:rsid w:val="39F03D7A"/>
    <w:rsid w:val="39F33306"/>
    <w:rsid w:val="3A2C1C67"/>
    <w:rsid w:val="3ADD7F09"/>
    <w:rsid w:val="3B1705E5"/>
    <w:rsid w:val="3B18334B"/>
    <w:rsid w:val="3B36794F"/>
    <w:rsid w:val="3B6F6EE0"/>
    <w:rsid w:val="3C566AD6"/>
    <w:rsid w:val="3C594871"/>
    <w:rsid w:val="3C642299"/>
    <w:rsid w:val="3C6A5B02"/>
    <w:rsid w:val="3CBE13B9"/>
    <w:rsid w:val="3CF655E7"/>
    <w:rsid w:val="3D1A1C6E"/>
    <w:rsid w:val="3D2757A1"/>
    <w:rsid w:val="3D2F4655"/>
    <w:rsid w:val="3D3D4FC4"/>
    <w:rsid w:val="3DDD2303"/>
    <w:rsid w:val="3DDF3AB1"/>
    <w:rsid w:val="3E1D0952"/>
    <w:rsid w:val="3E42660A"/>
    <w:rsid w:val="3E7555B1"/>
    <w:rsid w:val="3E787ED9"/>
    <w:rsid w:val="3EF73899"/>
    <w:rsid w:val="3F032E93"/>
    <w:rsid w:val="3F0527E5"/>
    <w:rsid w:val="3F694D83"/>
    <w:rsid w:val="3F885DCC"/>
    <w:rsid w:val="3FCD675E"/>
    <w:rsid w:val="4004000C"/>
    <w:rsid w:val="409C1492"/>
    <w:rsid w:val="409D5D7A"/>
    <w:rsid w:val="40BD5482"/>
    <w:rsid w:val="411B6CE5"/>
    <w:rsid w:val="412070D7"/>
    <w:rsid w:val="41314E40"/>
    <w:rsid w:val="4178297A"/>
    <w:rsid w:val="418C02C8"/>
    <w:rsid w:val="41AB0E0E"/>
    <w:rsid w:val="41E0734B"/>
    <w:rsid w:val="426C1EA8"/>
    <w:rsid w:val="42736402"/>
    <w:rsid w:val="42BC4BDD"/>
    <w:rsid w:val="42C35F6C"/>
    <w:rsid w:val="42E86A87"/>
    <w:rsid w:val="43307B09"/>
    <w:rsid w:val="439A3EB9"/>
    <w:rsid w:val="43BB152F"/>
    <w:rsid w:val="43C65DA8"/>
    <w:rsid w:val="440C56F0"/>
    <w:rsid w:val="440D3AC5"/>
    <w:rsid w:val="44144835"/>
    <w:rsid w:val="44C37687"/>
    <w:rsid w:val="44C47D79"/>
    <w:rsid w:val="45765517"/>
    <w:rsid w:val="45CB699A"/>
    <w:rsid w:val="465B470D"/>
    <w:rsid w:val="469D6AD4"/>
    <w:rsid w:val="46DA400F"/>
    <w:rsid w:val="46F20E50"/>
    <w:rsid w:val="471E6C84"/>
    <w:rsid w:val="4748792B"/>
    <w:rsid w:val="475D719D"/>
    <w:rsid w:val="47674801"/>
    <w:rsid w:val="476B6BD2"/>
    <w:rsid w:val="48225EF7"/>
    <w:rsid w:val="48625DE2"/>
    <w:rsid w:val="488F422B"/>
    <w:rsid w:val="48BB76E5"/>
    <w:rsid w:val="48CA4EAD"/>
    <w:rsid w:val="48E36915"/>
    <w:rsid w:val="48EB6572"/>
    <w:rsid w:val="495C4A24"/>
    <w:rsid w:val="497135DF"/>
    <w:rsid w:val="4A113A61"/>
    <w:rsid w:val="4A263DF2"/>
    <w:rsid w:val="4A6F6675"/>
    <w:rsid w:val="4B135857"/>
    <w:rsid w:val="4B7951CB"/>
    <w:rsid w:val="4B7C315C"/>
    <w:rsid w:val="4B8C5C45"/>
    <w:rsid w:val="4BBF74EC"/>
    <w:rsid w:val="4C042BD5"/>
    <w:rsid w:val="4C5E0AB3"/>
    <w:rsid w:val="4DAC4ACA"/>
    <w:rsid w:val="4DB379C1"/>
    <w:rsid w:val="4DBE01D2"/>
    <w:rsid w:val="4E2857AC"/>
    <w:rsid w:val="4E807407"/>
    <w:rsid w:val="4F0C6BA3"/>
    <w:rsid w:val="4F186D58"/>
    <w:rsid w:val="50F06B6E"/>
    <w:rsid w:val="514F30C0"/>
    <w:rsid w:val="51B01DB1"/>
    <w:rsid w:val="51D21804"/>
    <w:rsid w:val="52234D33"/>
    <w:rsid w:val="522F6E0C"/>
    <w:rsid w:val="52463BA1"/>
    <w:rsid w:val="52F163D4"/>
    <w:rsid w:val="5302488E"/>
    <w:rsid w:val="531A2DB4"/>
    <w:rsid w:val="53BA6F17"/>
    <w:rsid w:val="53C0244D"/>
    <w:rsid w:val="53D33B35"/>
    <w:rsid w:val="53DD4D4E"/>
    <w:rsid w:val="53E578CE"/>
    <w:rsid w:val="541330F0"/>
    <w:rsid w:val="54272666"/>
    <w:rsid w:val="543B029D"/>
    <w:rsid w:val="544C31DC"/>
    <w:rsid w:val="54861779"/>
    <w:rsid w:val="54E64310"/>
    <w:rsid w:val="552256E1"/>
    <w:rsid w:val="554E5773"/>
    <w:rsid w:val="555829E0"/>
    <w:rsid w:val="555A3CBC"/>
    <w:rsid w:val="5582012B"/>
    <w:rsid w:val="558E4E05"/>
    <w:rsid w:val="55BE2E85"/>
    <w:rsid w:val="56530F5D"/>
    <w:rsid w:val="567700D3"/>
    <w:rsid w:val="56FF7E9E"/>
    <w:rsid w:val="578867FC"/>
    <w:rsid w:val="57D66BD7"/>
    <w:rsid w:val="57E97DCB"/>
    <w:rsid w:val="5842572D"/>
    <w:rsid w:val="58662719"/>
    <w:rsid w:val="58CF6727"/>
    <w:rsid w:val="58F44C79"/>
    <w:rsid w:val="59DD570D"/>
    <w:rsid w:val="5A1856C0"/>
    <w:rsid w:val="5A3B59D6"/>
    <w:rsid w:val="5A7F67C4"/>
    <w:rsid w:val="5A8042EB"/>
    <w:rsid w:val="5AD134D8"/>
    <w:rsid w:val="5C263CE4"/>
    <w:rsid w:val="5C5D2777"/>
    <w:rsid w:val="5C85451B"/>
    <w:rsid w:val="5CB0535B"/>
    <w:rsid w:val="5CF17604"/>
    <w:rsid w:val="5CF66BF3"/>
    <w:rsid w:val="5D290C69"/>
    <w:rsid w:val="5D2E7763"/>
    <w:rsid w:val="5D58017B"/>
    <w:rsid w:val="5E3653EC"/>
    <w:rsid w:val="5EBB1D95"/>
    <w:rsid w:val="5EFD415C"/>
    <w:rsid w:val="5F2D4A41"/>
    <w:rsid w:val="5FDC6467"/>
    <w:rsid w:val="60172FFB"/>
    <w:rsid w:val="6028345A"/>
    <w:rsid w:val="60C74F6C"/>
    <w:rsid w:val="60DC2FAC"/>
    <w:rsid w:val="61025A59"/>
    <w:rsid w:val="613D5BBC"/>
    <w:rsid w:val="61536C39"/>
    <w:rsid w:val="61D94A0C"/>
    <w:rsid w:val="622C5484"/>
    <w:rsid w:val="623D40A4"/>
    <w:rsid w:val="62944DD7"/>
    <w:rsid w:val="631321A0"/>
    <w:rsid w:val="6319381F"/>
    <w:rsid w:val="63C25DC5"/>
    <w:rsid w:val="63C62057"/>
    <w:rsid w:val="63E24E85"/>
    <w:rsid w:val="64033FC2"/>
    <w:rsid w:val="64571EF5"/>
    <w:rsid w:val="64FB113D"/>
    <w:rsid w:val="656152C6"/>
    <w:rsid w:val="6587477F"/>
    <w:rsid w:val="658C3A08"/>
    <w:rsid w:val="65C031CA"/>
    <w:rsid w:val="65CE6852"/>
    <w:rsid w:val="65F7735F"/>
    <w:rsid w:val="66267C04"/>
    <w:rsid w:val="663F505A"/>
    <w:rsid w:val="667411A7"/>
    <w:rsid w:val="66EE5541"/>
    <w:rsid w:val="676034DA"/>
    <w:rsid w:val="67924660"/>
    <w:rsid w:val="68407834"/>
    <w:rsid w:val="6883293E"/>
    <w:rsid w:val="688412AD"/>
    <w:rsid w:val="68EB1B71"/>
    <w:rsid w:val="69B65E6A"/>
    <w:rsid w:val="6A6C7940"/>
    <w:rsid w:val="6AAD2300"/>
    <w:rsid w:val="6B474EF5"/>
    <w:rsid w:val="6C0A5AC5"/>
    <w:rsid w:val="6C560CAE"/>
    <w:rsid w:val="6C576495"/>
    <w:rsid w:val="6CCC17FE"/>
    <w:rsid w:val="6D285AAD"/>
    <w:rsid w:val="6D433781"/>
    <w:rsid w:val="6D903FF5"/>
    <w:rsid w:val="6DA955B8"/>
    <w:rsid w:val="6DCF3167"/>
    <w:rsid w:val="6DE346AB"/>
    <w:rsid w:val="6DE5391A"/>
    <w:rsid w:val="6E4678CD"/>
    <w:rsid w:val="6EFD1324"/>
    <w:rsid w:val="6F5A53AC"/>
    <w:rsid w:val="6F9B1553"/>
    <w:rsid w:val="6FAC003D"/>
    <w:rsid w:val="6FE25A5E"/>
    <w:rsid w:val="6FE55E12"/>
    <w:rsid w:val="6FFB2E76"/>
    <w:rsid w:val="7012558D"/>
    <w:rsid w:val="7059570F"/>
    <w:rsid w:val="708F6F7F"/>
    <w:rsid w:val="70D94BD3"/>
    <w:rsid w:val="71C34D91"/>
    <w:rsid w:val="71FE401B"/>
    <w:rsid w:val="72B65977"/>
    <w:rsid w:val="72DB435C"/>
    <w:rsid w:val="72E2613A"/>
    <w:rsid w:val="72F771F4"/>
    <w:rsid w:val="735008A6"/>
    <w:rsid w:val="73934AD2"/>
    <w:rsid w:val="74277859"/>
    <w:rsid w:val="7448067C"/>
    <w:rsid w:val="746E5488"/>
    <w:rsid w:val="74A76DA3"/>
    <w:rsid w:val="750837F0"/>
    <w:rsid w:val="754758CF"/>
    <w:rsid w:val="764F62AB"/>
    <w:rsid w:val="765C45EC"/>
    <w:rsid w:val="768A7619"/>
    <w:rsid w:val="772E1EBA"/>
    <w:rsid w:val="778C1BE7"/>
    <w:rsid w:val="78090CD5"/>
    <w:rsid w:val="781926BC"/>
    <w:rsid w:val="79123F8C"/>
    <w:rsid w:val="796D60A4"/>
    <w:rsid w:val="798A5DE1"/>
    <w:rsid w:val="79A031D5"/>
    <w:rsid w:val="79DF4732"/>
    <w:rsid w:val="7A1525F7"/>
    <w:rsid w:val="7A8B6668"/>
    <w:rsid w:val="7A925C48"/>
    <w:rsid w:val="7B420052"/>
    <w:rsid w:val="7BD06A28"/>
    <w:rsid w:val="7C3A7C0B"/>
    <w:rsid w:val="7C5248E4"/>
    <w:rsid w:val="7C5461B0"/>
    <w:rsid w:val="7C566698"/>
    <w:rsid w:val="7C5866A3"/>
    <w:rsid w:val="7D1D6D6E"/>
    <w:rsid w:val="7D6438CC"/>
    <w:rsid w:val="7D7406BB"/>
    <w:rsid w:val="7DE94331"/>
    <w:rsid w:val="7F160BF6"/>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afterLines="0"/>
    </w:pPr>
  </w:style>
  <w:style w:type="paragraph" w:styleId="3">
    <w:name w:val="Balloon Text"/>
    <w:basedOn w:val="1"/>
    <w:link w:val="16"/>
    <w:qFormat/>
    <w:uiPriority w:val="0"/>
    <w:rPr>
      <w:sz w:val="18"/>
      <w:szCs w:val="18"/>
    </w:rPr>
  </w:style>
  <w:style w:type="paragraph" w:styleId="4">
    <w:name w:val="footer"/>
    <w:basedOn w:val="1"/>
    <w:qFormat/>
    <w:uiPriority w:val="0"/>
    <w:pPr>
      <w:tabs>
        <w:tab w:val="center" w:pos="4153"/>
        <w:tab w:val="right" w:pos="8306"/>
      </w:tabs>
      <w:snapToGrid w:val="0"/>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7">
    <w:name w:val="Normal (Web)"/>
    <w:basedOn w:val="1"/>
    <w:unhideWhenUsed/>
    <w:qFormat/>
    <w:uiPriority w:val="0"/>
    <w:pPr>
      <w:spacing w:before="100" w:beforeAutospacing="1" w:after="100" w:afterAutospacing="1"/>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0"/>
    <w:rPr>
      <w:b/>
    </w:rPr>
  </w:style>
  <w:style w:type="paragraph" w:customStyle="1" w:styleId="12">
    <w:name w:val="列出段落1"/>
    <w:basedOn w:val="1"/>
    <w:qFormat/>
    <w:uiPriority w:val="99"/>
    <w:pPr>
      <w:ind w:firstLine="420" w:firstLineChars="200"/>
    </w:pPr>
    <w:rPr>
      <w:rFonts w:hint="default"/>
    </w:rPr>
  </w:style>
  <w:style w:type="paragraph" w:customStyle="1" w:styleId="13">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4">
    <w:name w:val="21"/>
    <w:qFormat/>
    <w:uiPriority w:val="0"/>
    <w:rPr>
      <w:rFonts w:hint="default" w:ascii="Wingdings" w:hAnsi="Wingdings" w:cs="Wingdings"/>
      <w:b/>
      <w:bCs/>
    </w:rPr>
  </w:style>
  <w:style w:type="paragraph" w:customStyle="1" w:styleId="15">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6">
    <w:name w:val="批注框文本 Char"/>
    <w:basedOn w:val="10"/>
    <w:link w:val="3"/>
    <w:qFormat/>
    <w:uiPriority w:val="0"/>
    <w:rPr>
      <w:rFonts w:ascii="宋体" w:hAnsi="宋体"/>
      <w:sz w:val="18"/>
      <w:szCs w:val="18"/>
    </w:rPr>
  </w:style>
  <w:style w:type="paragraph" w:customStyle="1" w:styleId="17">
    <w:name w:val="p0"/>
    <w:basedOn w:val="1"/>
    <w:qFormat/>
    <w:uiPriority w:val="0"/>
    <w:pPr>
      <w:widowControl/>
    </w:pPr>
    <w:rPr>
      <w:kern w:val="0"/>
      <w:sz w:val="32"/>
      <w:szCs w:val="32"/>
    </w:rPr>
  </w:style>
  <w:style w:type="character" w:customStyle="1" w:styleId="18">
    <w:name w:val="15"/>
    <w:basedOn w:val="10"/>
    <w:qFormat/>
    <w:uiPriority w:val="0"/>
    <w:rPr>
      <w:rFonts w:hint="default" w:ascii="Times New Roman" w:hAnsi="Times New Roman" w:cs="Times New Roman"/>
      <w:b/>
      <w:bCs/>
    </w:rPr>
  </w:style>
  <w:style w:type="paragraph" w:customStyle="1" w:styleId="19">
    <w:name w:val="Body text|1"/>
    <w:basedOn w:val="1"/>
    <w:qFormat/>
    <w:uiPriority w:val="0"/>
    <w:pPr>
      <w:spacing w:line="449" w:lineRule="auto"/>
      <w:ind w:firstLine="400"/>
    </w:pPr>
    <w:rPr>
      <w:rFonts w:ascii="宋体" w:hAnsi="宋体" w:eastAsia="宋体" w:cs="宋体"/>
      <w:sz w:val="28"/>
      <w:szCs w:val="28"/>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9543</Words>
  <Characters>11852</Characters>
  <Lines>190</Lines>
  <Paragraphs>53</Paragraphs>
  <TotalTime>5</TotalTime>
  <ScaleCrop>false</ScaleCrop>
  <LinksUpToDate>false</LinksUpToDate>
  <CharactersWithSpaces>12950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夕阳跃海</cp:lastModifiedBy>
  <dcterms:modified xsi:type="dcterms:W3CDTF">2024-09-24T02:52:21Z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069D6D05339A4FEC927ECC308F40E8CC_13</vt:lpwstr>
  </property>
</Properties>
</file>