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D2BA8">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丰都县交通工程质量服务中心</w:t>
      </w:r>
    </w:p>
    <w:p w14:paraId="479F4DEC">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FBF454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2587E12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76442E90">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（1）宗旨：为保障交通工程质量提供服务。</w:t>
      </w:r>
    </w:p>
    <w:p w14:paraId="6192742C">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（2）主要职责任务：负责全县交通建设工程质量和安全生产管</w:t>
      </w:r>
      <w:r>
        <w:rPr>
          <w:rFonts w:hint="eastAsia" w:ascii="方正仿宋_GBK" w:hAnsi="方正仿宋_GBK" w:eastAsia="方正仿宋_GBK" w:cs="方正仿宋_GBK"/>
          <w:color w:val="333333"/>
          <w:spacing w:val="-15"/>
          <w:kern w:val="0"/>
          <w:sz w:val="32"/>
          <w:szCs w:val="32"/>
        </w:rPr>
        <w:t>理的技术服务工作；负责交通工程质量鉴定的检验检测工作。</w:t>
      </w:r>
    </w:p>
    <w:p w14:paraId="3C1BEF2E">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（3）具体职责任务：</w:t>
      </w:r>
    </w:p>
    <w:p w14:paraId="2FAA753D">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1.负责宣传贯彻交通建设工程质量相关的法律法规及质量验评标准，协助县</w:t>
      </w:r>
      <w:r>
        <w:rPr>
          <w:rFonts w:hint="eastAsia" w:ascii="方正仿宋_GBK" w:hAnsi="方正仿宋_GBK" w:eastAsia="方正仿宋_GBK" w:cs="方正仿宋_GBK"/>
          <w:color w:val="333333"/>
          <w:kern w:val="0"/>
          <w:sz w:val="32"/>
          <w:szCs w:val="32"/>
          <w:lang w:eastAsia="zh-CN"/>
        </w:rPr>
        <w:t>交通运输委员会</w:t>
      </w:r>
      <w:r>
        <w:rPr>
          <w:rFonts w:hint="eastAsia" w:ascii="方正仿宋_GBK" w:hAnsi="方正仿宋_GBK" w:eastAsia="方正仿宋_GBK" w:cs="方正仿宋_GBK"/>
          <w:color w:val="333333"/>
          <w:kern w:val="0"/>
          <w:sz w:val="32"/>
          <w:szCs w:val="32"/>
        </w:rPr>
        <w:t>落实与交通建设工程质量相关的规章制度、质量验评标准和规范。</w:t>
      </w:r>
    </w:p>
    <w:p w14:paraId="489FB01A">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2.承担交通建设工程施工许可或开工备案手续的行政辅助工作。</w:t>
      </w:r>
    </w:p>
    <w:p w14:paraId="7EE1E85A">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3.承担交通建设工程施工、</w:t>
      </w:r>
      <w:bookmarkStart w:id="0" w:name="_GoBack"/>
      <w:bookmarkEnd w:id="0"/>
      <w:r>
        <w:rPr>
          <w:rFonts w:hint="eastAsia" w:ascii="方正仿宋_GBK" w:hAnsi="方正仿宋_GBK" w:eastAsia="方正仿宋_GBK" w:cs="方正仿宋_GBK"/>
          <w:color w:val="333333"/>
          <w:kern w:val="0"/>
          <w:sz w:val="32"/>
          <w:szCs w:val="32"/>
        </w:rPr>
        <w:t>监理、试验检测等从业单位资质以及人员资格管理和交通建设工程建设市场信用考核管理的行政辅助工作</w:t>
      </w:r>
      <w:r>
        <w:rPr>
          <w:rFonts w:hint="eastAsia" w:ascii="方正仿宋_GBK" w:hAnsi="方正仿宋_GBK" w:eastAsia="方正仿宋_GBK" w:cs="方正仿宋_GBK"/>
          <w:b/>
          <w:bCs/>
          <w:color w:val="333333"/>
          <w:kern w:val="0"/>
          <w:sz w:val="32"/>
          <w:szCs w:val="32"/>
        </w:rPr>
        <w:t>。</w:t>
      </w:r>
    </w:p>
    <w:p w14:paraId="3DAA78ED">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4.承担交通建设工程施工质量技术咨询服务工作和监督检测的行政辅助工作；协助开展交通工程质量安全监督行政执法的相关工作；参与全县交通建设工程质量事故的调查处理工作。</w:t>
      </w:r>
    </w:p>
    <w:p w14:paraId="5AFB28F9">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5.负责交通建设工程安全生产技术咨询服务和交通建设工程质量安全管理的经验交流、业务培训、技术咨询等工作；参与交通建设工程安全生产检查、应急处置以及有关生产安全事故的调查处理工作。</w:t>
      </w:r>
    </w:p>
    <w:p w14:paraId="3DC84B0B">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6.负责在交工验收前对建设单位交工验收质量检测报告、设计单位工程设计符合性评价意见、监理单位工程质量评定（评估）报告的核验工作；负责工程交工核验的行政辅助工作。</w:t>
      </w:r>
    </w:p>
    <w:p w14:paraId="3E72FCC3">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7.负责在竣工验收前对建设、设计、施工、监理单位的综合评价和工程质量进行复检的技术性工作；负责出具工程质量鉴定报告的行政辅助工作。</w:t>
      </w:r>
    </w:p>
    <w:p w14:paraId="0FED61ED">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8.完成县交通</w:t>
      </w:r>
      <w:r>
        <w:rPr>
          <w:rFonts w:hint="eastAsia" w:ascii="方正仿宋_GBK" w:hAnsi="方正仿宋_GBK" w:eastAsia="方正仿宋_GBK" w:cs="方正仿宋_GBK"/>
          <w:color w:val="333333"/>
          <w:kern w:val="0"/>
          <w:sz w:val="32"/>
          <w:szCs w:val="32"/>
          <w:lang w:eastAsia="zh-CN"/>
        </w:rPr>
        <w:t>运输委员会</w:t>
      </w:r>
      <w:r>
        <w:rPr>
          <w:rFonts w:hint="eastAsia" w:ascii="方正仿宋_GBK" w:hAnsi="方正仿宋_GBK" w:eastAsia="方正仿宋_GBK" w:cs="方正仿宋_GBK"/>
          <w:color w:val="333333"/>
          <w:kern w:val="0"/>
          <w:sz w:val="32"/>
          <w:szCs w:val="32"/>
        </w:rPr>
        <w:t>交办的其他工作。</w:t>
      </w:r>
    </w:p>
    <w:p w14:paraId="61DAE272">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333333"/>
          <w:sz w:val="32"/>
          <w:szCs w:val="32"/>
        </w:rPr>
        <w:t>以上具体职责任务均属基本公益服务。</w:t>
      </w:r>
    </w:p>
    <w:p w14:paraId="07D5D02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7148B21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丰都县交通工程质量服务中心</w:t>
      </w:r>
      <w:r>
        <w:rPr>
          <w:rFonts w:hint="eastAsia" w:ascii="方正仿宋_GBK" w:hAnsi="方正仿宋_GBK" w:eastAsia="方正仿宋_GBK" w:cs="方正仿宋_GBK"/>
          <w:color w:val="333333"/>
          <w:kern w:val="0"/>
          <w:sz w:val="32"/>
          <w:szCs w:val="32"/>
          <w:shd w:val="clear" w:color="auto" w:fill="FFFFFF"/>
          <w:lang w:eastAsia="zh-CN"/>
        </w:rPr>
        <w:t>内设三个</w:t>
      </w:r>
      <w:r>
        <w:rPr>
          <w:rFonts w:hint="eastAsia" w:ascii="方正仿宋_GBK" w:hAnsi="方正仿宋_GBK" w:eastAsia="方正仿宋_GBK" w:cs="方正仿宋_GBK"/>
          <w:color w:val="333333"/>
          <w:kern w:val="0"/>
          <w:sz w:val="32"/>
          <w:szCs w:val="32"/>
          <w:shd w:val="clear" w:color="auto" w:fill="FFFFFF"/>
        </w:rPr>
        <w:t>机构，</w:t>
      </w:r>
      <w:r>
        <w:rPr>
          <w:rFonts w:hint="eastAsia" w:ascii="方正仿宋_GBK" w:hAnsi="方正仿宋_GBK" w:eastAsia="方正仿宋_GBK" w:cs="方正仿宋_GBK"/>
          <w:color w:val="333333"/>
          <w:kern w:val="0"/>
          <w:sz w:val="32"/>
          <w:szCs w:val="32"/>
          <w:shd w:val="clear" w:color="auto" w:fill="FFFFFF"/>
          <w:lang w:eastAsia="zh-CN"/>
        </w:rPr>
        <w:t>分别为综合</w:t>
      </w:r>
      <w:r>
        <w:rPr>
          <w:rFonts w:hint="eastAsia" w:ascii="方正仿宋_GBK" w:hAnsi="方正仿宋_GBK" w:eastAsia="方正仿宋_GBK" w:cs="方正仿宋_GBK"/>
          <w:color w:val="333333"/>
          <w:kern w:val="0"/>
          <w:sz w:val="32"/>
          <w:szCs w:val="32"/>
        </w:rPr>
        <w:t>科</w:t>
      </w:r>
      <w:r>
        <w:rPr>
          <w:rFonts w:hint="eastAsia" w:ascii="方正仿宋_GBK" w:hAnsi="方正仿宋_GBK" w:eastAsia="方正仿宋_GBK" w:cs="方正仿宋_GBK"/>
          <w:color w:val="333333"/>
          <w:kern w:val="0"/>
          <w:sz w:val="32"/>
          <w:szCs w:val="32"/>
          <w:shd w:val="clear" w:color="auto" w:fill="FFFFFF"/>
        </w:rPr>
        <w:t>、</w:t>
      </w:r>
      <w:r>
        <w:rPr>
          <w:rFonts w:hint="eastAsia" w:ascii="方正仿宋_GBK" w:hAnsi="方正仿宋_GBK" w:eastAsia="方正仿宋_GBK" w:cs="方正仿宋_GBK"/>
          <w:color w:val="333333"/>
          <w:kern w:val="0"/>
          <w:sz w:val="32"/>
          <w:szCs w:val="32"/>
        </w:rPr>
        <w:t>质量事务科</w:t>
      </w:r>
      <w:r>
        <w:rPr>
          <w:rFonts w:hint="eastAsia" w:ascii="方正仿宋_GBK" w:hAnsi="方正仿宋_GBK" w:eastAsia="方正仿宋_GBK" w:cs="方正仿宋_GBK"/>
          <w:color w:val="333333"/>
          <w:kern w:val="0"/>
          <w:sz w:val="32"/>
          <w:szCs w:val="32"/>
          <w:shd w:val="clear" w:color="auto" w:fill="FFFFFF"/>
        </w:rPr>
        <w:t>、</w:t>
      </w:r>
      <w:r>
        <w:rPr>
          <w:rFonts w:hint="eastAsia" w:ascii="方正仿宋_GBK" w:hAnsi="方正仿宋_GBK" w:eastAsia="方正仿宋_GBK" w:cs="方正仿宋_GBK"/>
          <w:color w:val="333333"/>
          <w:kern w:val="0"/>
          <w:sz w:val="32"/>
          <w:szCs w:val="32"/>
        </w:rPr>
        <w:t>安全事务科</w:t>
      </w:r>
      <w:r>
        <w:rPr>
          <w:rFonts w:hint="eastAsia" w:ascii="方正仿宋_GBK" w:hAnsi="方正仿宋_GBK" w:eastAsia="方正仿宋_GBK" w:cs="方正仿宋_GBK"/>
          <w:color w:val="333333"/>
          <w:kern w:val="0"/>
          <w:sz w:val="32"/>
          <w:szCs w:val="32"/>
          <w:lang w:eastAsia="zh-CN"/>
        </w:rPr>
        <w:t>。</w:t>
      </w:r>
    </w:p>
    <w:p w14:paraId="028006FA">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3C92D64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44858E9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E36F3DB">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380.03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收、支与2023年度相比，增加119.21万元，增长45.7%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lang w:eastAsia="zh-CN"/>
        </w:rPr>
        <w:t>交通工程专项检查费</w:t>
      </w:r>
      <w:r>
        <w:rPr>
          <w:rFonts w:hint="eastAsia" w:ascii="方正仿宋_GBK" w:hAnsi="方正仿宋_GBK" w:eastAsia="方正仿宋_GBK" w:cs="方正仿宋_GBK"/>
          <w:sz w:val="32"/>
          <w:szCs w:val="32"/>
          <w:lang w:val="en-US" w:eastAsia="zh-CN"/>
        </w:rPr>
        <w:t>83.51万元、2024年</w:t>
      </w:r>
      <w:r>
        <w:rPr>
          <w:rFonts w:hint="eastAsia" w:ascii="方正仿宋_GBK" w:hAnsi="方正仿宋_GBK" w:eastAsia="方正仿宋_GBK" w:cs="方正仿宋_GBK"/>
          <w:sz w:val="32"/>
          <w:szCs w:val="32"/>
          <w:lang w:eastAsia="zh-CN"/>
        </w:rPr>
        <w:t>公路养护工程经费项目</w:t>
      </w:r>
      <w:r>
        <w:rPr>
          <w:rFonts w:hint="eastAsia" w:ascii="方正仿宋_GBK" w:hAnsi="方正仿宋_GBK" w:eastAsia="方正仿宋_GBK" w:cs="方正仿宋_GBK"/>
          <w:sz w:val="32"/>
          <w:szCs w:val="32"/>
          <w:lang w:val="en-US" w:eastAsia="zh-CN"/>
        </w:rPr>
        <w:t>30万元、退役士兵再就业帮扶工作项目2.59万元以及人员经费增加</w:t>
      </w:r>
      <w:r>
        <w:rPr>
          <w:rFonts w:hint="eastAsia" w:ascii="方正仿宋_GBK" w:hAnsi="方正仿宋_GBK" w:eastAsia="方正仿宋_GBK" w:cs="方正仿宋_GBK"/>
          <w:sz w:val="32"/>
          <w:szCs w:val="32"/>
        </w:rPr>
        <w:t>。</w:t>
      </w:r>
    </w:p>
    <w:p w14:paraId="0C9DDEE2">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380.03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与2023年度相比，增加119.30万元，增长45.8%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lang w:eastAsia="zh-CN"/>
        </w:rPr>
        <w:t>交通工程专项检查费</w:t>
      </w:r>
      <w:r>
        <w:rPr>
          <w:rFonts w:hint="eastAsia" w:ascii="方正仿宋_GBK" w:hAnsi="方正仿宋_GBK" w:eastAsia="方正仿宋_GBK" w:cs="方正仿宋_GBK"/>
          <w:sz w:val="32"/>
          <w:szCs w:val="32"/>
          <w:lang w:val="en-US" w:eastAsia="zh-CN"/>
        </w:rPr>
        <w:t>83.51万元、2024年</w:t>
      </w:r>
      <w:r>
        <w:rPr>
          <w:rFonts w:hint="eastAsia" w:ascii="方正仿宋_GBK" w:hAnsi="方正仿宋_GBK" w:eastAsia="方正仿宋_GBK" w:cs="方正仿宋_GBK"/>
          <w:sz w:val="32"/>
          <w:szCs w:val="32"/>
          <w:lang w:eastAsia="zh-CN"/>
        </w:rPr>
        <w:t>公路养护工程经费项目</w:t>
      </w:r>
      <w:r>
        <w:rPr>
          <w:rFonts w:hint="eastAsia" w:ascii="方正仿宋_GBK" w:hAnsi="方正仿宋_GBK" w:eastAsia="方正仿宋_GBK" w:cs="方正仿宋_GBK"/>
          <w:sz w:val="32"/>
          <w:szCs w:val="32"/>
          <w:lang w:val="en-US" w:eastAsia="zh-CN"/>
        </w:rPr>
        <w:t>30万元、退役士兵再就业帮扶工作项目2.59万元以及人员经费增加</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380.03</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eastAsia="zh-CN"/>
        </w:rPr>
        <w:t>100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hint="eastAsia" w:ascii="方正仿宋_GBK" w:hAnsi="方正仿宋_GBK" w:eastAsia="方正仿宋_GBK"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eastAsia" w:ascii="方正仿宋_GBK" w:hAnsi="方正仿宋_GBK" w:eastAsia="方正仿宋_GBK"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p>
    <w:p w14:paraId="6F47F035">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380.03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与2023年度相比，增加119.30万元，增长45.8%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lang w:eastAsia="zh-CN"/>
        </w:rPr>
        <w:t>交通工程专项检查费</w:t>
      </w:r>
      <w:r>
        <w:rPr>
          <w:rFonts w:hint="eastAsia" w:ascii="方正仿宋_GBK" w:hAnsi="方正仿宋_GBK" w:eastAsia="方正仿宋_GBK" w:cs="方正仿宋_GBK"/>
          <w:sz w:val="32"/>
          <w:szCs w:val="32"/>
          <w:lang w:val="en-US" w:eastAsia="zh-CN"/>
        </w:rPr>
        <w:t>83.51万元、2024年</w:t>
      </w:r>
      <w:r>
        <w:rPr>
          <w:rFonts w:hint="eastAsia" w:ascii="方正仿宋_GBK" w:hAnsi="方正仿宋_GBK" w:eastAsia="方正仿宋_GBK" w:cs="方正仿宋_GBK"/>
          <w:sz w:val="32"/>
          <w:szCs w:val="32"/>
          <w:lang w:eastAsia="zh-CN"/>
        </w:rPr>
        <w:t>公路养护工程经费项目</w:t>
      </w:r>
      <w:r>
        <w:rPr>
          <w:rFonts w:hint="eastAsia" w:ascii="方正仿宋_GBK" w:hAnsi="方正仿宋_GBK" w:eastAsia="方正仿宋_GBK" w:cs="方正仿宋_GBK"/>
          <w:sz w:val="32"/>
          <w:szCs w:val="32"/>
          <w:lang w:val="en-US" w:eastAsia="zh-CN"/>
        </w:rPr>
        <w:t>30万元、退役士兵再就业帮扶工作项目2.59万元以及人员经费增</w:t>
      </w:r>
      <w:r>
        <w:rPr>
          <w:rFonts w:hint="eastAsia" w:ascii="方正仿宋_GBK" w:hAnsi="方正仿宋_GBK" w:eastAsia="方正仿宋_GBK" w:cs="方正仿宋_GBK"/>
          <w:sz w:val="32"/>
          <w:szCs w:val="32"/>
        </w:rPr>
        <w:t>加</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244.34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135.69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35.7%</w:t>
      </w:r>
      <w:r>
        <w:rPr>
          <w:rFonts w:ascii="方正仿宋_GBK" w:hAnsi="方正仿宋_GBK" w:eastAsia="方正仿宋_GBK" w:cs="方正仿宋_GBK"/>
          <w:sz w:val="32"/>
          <w:szCs w:val="32"/>
          <w:shd w:val="clear" w:color="auto" w:fill="FFFFFF"/>
        </w:rPr>
        <w:t>；经营支出</w:t>
      </w:r>
      <w:r>
        <w:rPr>
          <w:rFonts w:hint="eastAsia" w:ascii="方正仿宋_GBK" w:hAnsi="方正仿宋_GBK" w:eastAsia="方正仿宋_GBK"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eastAsia" w:ascii="方正仿宋_GBK" w:hAnsi="方正仿宋_GBK" w:eastAsia="方正仿宋_GBK"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p>
    <w:p w14:paraId="7A510964">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eastAsia" w:ascii="方正仿宋_GBK" w:hAnsi="方正仿宋_GBK" w:eastAsia="方正仿宋_GBK"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与2023年度相比，减少0.08万元，下降</w:t>
      </w:r>
      <w:r>
        <w:rPr>
          <w:rFonts w:hint="eastAsia" w:ascii="Times New Roman" w:hAnsi="Times New Roman" w:eastAsia="方正仿宋_GBK"/>
          <w:sz w:val="32"/>
          <w:szCs w:val="32"/>
          <w:shd w:val="clear" w:color="auto" w:fill="FFFFFF"/>
          <w:lang w:eastAsia="zh-CN"/>
        </w:rPr>
        <w:t>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增加了人员经费。</w:t>
      </w:r>
    </w:p>
    <w:p w14:paraId="06091F9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3F2C3F3">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380.03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财政拨款收、支总计各增加119.30万元，增长45.8%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lang w:eastAsia="zh-CN"/>
        </w:rPr>
        <w:t>交通工程专项检查费</w:t>
      </w:r>
      <w:r>
        <w:rPr>
          <w:rFonts w:hint="eastAsia" w:ascii="方正仿宋_GBK" w:hAnsi="方正仿宋_GBK" w:eastAsia="方正仿宋_GBK" w:cs="方正仿宋_GBK"/>
          <w:sz w:val="32"/>
          <w:szCs w:val="32"/>
          <w:lang w:val="en-US" w:eastAsia="zh-CN"/>
        </w:rPr>
        <w:t>83.51万元、2024年</w:t>
      </w:r>
      <w:r>
        <w:rPr>
          <w:rFonts w:hint="eastAsia" w:ascii="方正仿宋_GBK" w:hAnsi="方正仿宋_GBK" w:eastAsia="方正仿宋_GBK" w:cs="方正仿宋_GBK"/>
          <w:sz w:val="32"/>
          <w:szCs w:val="32"/>
          <w:lang w:eastAsia="zh-CN"/>
        </w:rPr>
        <w:t>公路养护工程经费项目</w:t>
      </w:r>
      <w:r>
        <w:rPr>
          <w:rFonts w:hint="eastAsia" w:ascii="方正仿宋_GBK" w:hAnsi="方正仿宋_GBK" w:eastAsia="方正仿宋_GBK" w:cs="方正仿宋_GBK"/>
          <w:sz w:val="32"/>
          <w:szCs w:val="32"/>
          <w:lang w:val="en-US" w:eastAsia="zh-CN"/>
        </w:rPr>
        <w:t>30万元、退役士兵再就业帮扶工作项目2.59万元以及人员经费增</w:t>
      </w:r>
      <w:r>
        <w:rPr>
          <w:rFonts w:hint="eastAsia" w:ascii="方正仿宋_GBK" w:hAnsi="方正仿宋_GBK" w:eastAsia="方正仿宋_GBK" w:cs="方正仿宋_GBK"/>
          <w:sz w:val="32"/>
          <w:szCs w:val="32"/>
        </w:rPr>
        <w:t>加</w:t>
      </w:r>
      <w:r>
        <w:rPr>
          <w:rFonts w:hint="eastAsia" w:ascii="方正仿宋_GBK" w:hAnsi="方正仿宋_GBK" w:eastAsia="方正仿宋_GBK" w:cs="方正仿宋_GBK"/>
          <w:sz w:val="32"/>
          <w:szCs w:val="32"/>
          <w:shd w:val="clear" w:color="auto" w:fill="FFFFFF"/>
        </w:rPr>
        <w:t>。</w:t>
      </w:r>
    </w:p>
    <w:p w14:paraId="737D4A2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14:paraId="2359C14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116393E">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380.03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与2023年度相比，增加119.30万元，增长45.8%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lang w:eastAsia="zh-CN"/>
        </w:rPr>
        <w:t>交通工程专项检查费</w:t>
      </w:r>
      <w:r>
        <w:rPr>
          <w:rFonts w:hint="eastAsia" w:ascii="方正仿宋_GBK" w:hAnsi="方正仿宋_GBK" w:eastAsia="方正仿宋_GBK" w:cs="方正仿宋_GBK"/>
          <w:sz w:val="32"/>
          <w:szCs w:val="32"/>
          <w:lang w:val="en-US" w:eastAsia="zh-CN"/>
        </w:rPr>
        <w:t>83.51万元、2024年</w:t>
      </w:r>
      <w:r>
        <w:rPr>
          <w:rFonts w:hint="eastAsia" w:ascii="方正仿宋_GBK" w:hAnsi="方正仿宋_GBK" w:eastAsia="方正仿宋_GBK" w:cs="方正仿宋_GBK"/>
          <w:sz w:val="32"/>
          <w:szCs w:val="32"/>
          <w:lang w:eastAsia="zh-CN"/>
        </w:rPr>
        <w:t>公路养护工程经费项目</w:t>
      </w:r>
      <w:r>
        <w:rPr>
          <w:rFonts w:hint="eastAsia" w:ascii="方正仿宋_GBK" w:hAnsi="方正仿宋_GBK" w:eastAsia="方正仿宋_GBK" w:cs="方正仿宋_GBK"/>
          <w:sz w:val="32"/>
          <w:szCs w:val="32"/>
          <w:lang w:val="en-US" w:eastAsia="zh-CN"/>
        </w:rPr>
        <w:t>30万元、退役士兵再就业帮扶工作项目2.59万元以及人员经费增</w:t>
      </w:r>
      <w:r>
        <w:rPr>
          <w:rFonts w:hint="eastAsia" w:ascii="方正仿宋_GBK" w:hAnsi="方正仿宋_GBK" w:eastAsia="方正仿宋_GBK" w:cs="方正仿宋_GBK"/>
          <w:sz w:val="32"/>
          <w:szCs w:val="32"/>
        </w:rPr>
        <w:t>加</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较年初预算数增加156.86万元，增长70.3%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lang w:eastAsia="zh-CN"/>
        </w:rPr>
        <w:t>交通工程专项检查费</w:t>
      </w:r>
      <w:r>
        <w:rPr>
          <w:rFonts w:hint="eastAsia" w:ascii="方正仿宋_GBK" w:hAnsi="方正仿宋_GBK" w:eastAsia="方正仿宋_GBK" w:cs="方正仿宋_GBK"/>
          <w:sz w:val="32"/>
          <w:szCs w:val="32"/>
          <w:lang w:val="en-US" w:eastAsia="zh-CN"/>
        </w:rPr>
        <w:t>83.51万元、2024年</w:t>
      </w:r>
      <w:r>
        <w:rPr>
          <w:rFonts w:hint="eastAsia" w:ascii="方正仿宋_GBK" w:hAnsi="方正仿宋_GBK" w:eastAsia="方正仿宋_GBK" w:cs="方正仿宋_GBK"/>
          <w:sz w:val="32"/>
          <w:szCs w:val="32"/>
          <w:lang w:eastAsia="zh-CN"/>
        </w:rPr>
        <w:t>公路养护工程经费项目</w:t>
      </w:r>
      <w:r>
        <w:rPr>
          <w:rFonts w:hint="eastAsia" w:ascii="方正仿宋_GBK" w:hAnsi="方正仿宋_GBK" w:eastAsia="方正仿宋_GBK" w:cs="方正仿宋_GBK"/>
          <w:sz w:val="32"/>
          <w:szCs w:val="32"/>
          <w:lang w:val="en-US" w:eastAsia="zh-CN"/>
        </w:rPr>
        <w:t>30万元、退役士兵再就业帮扶工作项目2.59万元以及人员经费增</w:t>
      </w:r>
      <w:r>
        <w:rPr>
          <w:rFonts w:hint="eastAsia" w:ascii="方正仿宋_GBK" w:hAnsi="方正仿宋_GBK" w:eastAsia="方正仿宋_GBK" w:cs="方正仿宋_GBK"/>
          <w:sz w:val="32"/>
          <w:szCs w:val="32"/>
        </w:rPr>
        <w:t>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p>
    <w:p w14:paraId="6FFB4E89">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380.03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与2023年度相比，增加119.30万元，增长45.8%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lang w:eastAsia="zh-CN"/>
        </w:rPr>
        <w:t>交通工程专项检查费</w:t>
      </w:r>
      <w:r>
        <w:rPr>
          <w:rFonts w:hint="eastAsia" w:ascii="方正仿宋_GBK" w:hAnsi="方正仿宋_GBK" w:eastAsia="方正仿宋_GBK" w:cs="方正仿宋_GBK"/>
          <w:sz w:val="32"/>
          <w:szCs w:val="32"/>
          <w:lang w:val="en-US" w:eastAsia="zh-CN"/>
        </w:rPr>
        <w:t>83.51万元、2024年</w:t>
      </w:r>
      <w:r>
        <w:rPr>
          <w:rFonts w:hint="eastAsia" w:ascii="方正仿宋_GBK" w:hAnsi="方正仿宋_GBK" w:eastAsia="方正仿宋_GBK" w:cs="方正仿宋_GBK"/>
          <w:sz w:val="32"/>
          <w:szCs w:val="32"/>
          <w:lang w:eastAsia="zh-CN"/>
        </w:rPr>
        <w:t>公路养护工程经费项目</w:t>
      </w:r>
      <w:r>
        <w:rPr>
          <w:rFonts w:hint="eastAsia" w:ascii="方正仿宋_GBK" w:hAnsi="方正仿宋_GBK" w:eastAsia="方正仿宋_GBK" w:cs="方正仿宋_GBK"/>
          <w:sz w:val="32"/>
          <w:szCs w:val="32"/>
          <w:lang w:val="en-US" w:eastAsia="zh-CN"/>
        </w:rPr>
        <w:t>30万元、退役士兵再就业帮扶工作项目2.59万元以及人员经费增</w:t>
      </w:r>
      <w:r>
        <w:rPr>
          <w:rFonts w:hint="eastAsia" w:ascii="方正仿宋_GBK" w:hAnsi="方正仿宋_GBK" w:eastAsia="方正仿宋_GBK" w:cs="方正仿宋_GBK"/>
          <w:sz w:val="32"/>
          <w:szCs w:val="32"/>
        </w:rPr>
        <w:t>加。</w:t>
      </w:r>
      <w:r>
        <w:rPr>
          <w:rFonts w:hint="default" w:ascii="Times New Roman" w:hAnsi="Times New Roman" w:eastAsia="方正仿宋_GBK"/>
          <w:sz w:val="32"/>
          <w:szCs w:val="32"/>
          <w:shd w:val="clear" w:color="auto" w:fill="FFFFFF"/>
        </w:rPr>
        <w:t>较年初预算数增加156.86万元，增长70.3%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lang w:eastAsia="zh-CN"/>
        </w:rPr>
        <w:t>交通工程专项检查费</w:t>
      </w:r>
      <w:r>
        <w:rPr>
          <w:rFonts w:hint="eastAsia" w:ascii="方正仿宋_GBK" w:hAnsi="方正仿宋_GBK" w:eastAsia="方正仿宋_GBK" w:cs="方正仿宋_GBK"/>
          <w:sz w:val="32"/>
          <w:szCs w:val="32"/>
          <w:lang w:val="en-US" w:eastAsia="zh-CN"/>
        </w:rPr>
        <w:t>83.51万元、2024年</w:t>
      </w:r>
      <w:r>
        <w:rPr>
          <w:rFonts w:hint="eastAsia" w:ascii="方正仿宋_GBK" w:hAnsi="方正仿宋_GBK" w:eastAsia="方正仿宋_GBK" w:cs="方正仿宋_GBK"/>
          <w:sz w:val="32"/>
          <w:szCs w:val="32"/>
          <w:lang w:eastAsia="zh-CN"/>
        </w:rPr>
        <w:t>公路养护工程经费项目</w:t>
      </w:r>
      <w:r>
        <w:rPr>
          <w:rFonts w:hint="eastAsia" w:ascii="方正仿宋_GBK" w:hAnsi="方正仿宋_GBK" w:eastAsia="方正仿宋_GBK" w:cs="方正仿宋_GBK"/>
          <w:sz w:val="32"/>
          <w:szCs w:val="32"/>
          <w:lang w:val="en-US" w:eastAsia="zh-CN"/>
        </w:rPr>
        <w:t>30万元、退役士兵再就业帮扶工作项目2.59万元以及人员经费增</w:t>
      </w:r>
      <w:r>
        <w:rPr>
          <w:rFonts w:hint="eastAsia" w:ascii="方正仿宋_GBK" w:hAnsi="方正仿宋_GBK" w:eastAsia="方正仿宋_GBK" w:cs="方正仿宋_GBK"/>
          <w:sz w:val="32"/>
          <w:szCs w:val="32"/>
        </w:rPr>
        <w:t>加。</w:t>
      </w:r>
    </w:p>
    <w:p w14:paraId="07E07A9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4026482">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37.21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较年初预算数增加15.08万元，增长68.1%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人员经费</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shd w:val="clear" w:color="auto" w:fill="FFFFFF"/>
        </w:rPr>
        <w:t>人员缴费基数增加。</w:t>
      </w:r>
    </w:p>
    <w:p w14:paraId="6709547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较年初预算数增加0.78万元，增长7.6%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人员缴费基数增加。</w:t>
      </w:r>
    </w:p>
    <w:p w14:paraId="523BBB7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321.03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较年初预算数增加140.30万元，增长77.6%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人员经费</w:t>
      </w:r>
      <w:r>
        <w:rPr>
          <w:rFonts w:hint="eastAsia" w:ascii="方正仿宋_GBK" w:hAnsi="方正仿宋_GBK" w:eastAsia="方正仿宋_GBK" w:cs="方正仿宋_GBK"/>
          <w:sz w:val="32"/>
          <w:szCs w:val="32"/>
          <w:shd w:val="clear" w:color="auto" w:fill="FFFFFF"/>
          <w:lang w:eastAsia="zh-CN"/>
        </w:rPr>
        <w:t>及项目增加</w:t>
      </w:r>
      <w:r>
        <w:rPr>
          <w:rFonts w:hint="eastAsia" w:ascii="方正仿宋_GBK" w:hAnsi="方正仿宋_GBK" w:eastAsia="方正仿宋_GBK" w:cs="方正仿宋_GBK"/>
          <w:sz w:val="32"/>
          <w:szCs w:val="32"/>
          <w:shd w:val="clear" w:color="auto" w:fill="FFFFFF"/>
        </w:rPr>
        <w:t>。</w:t>
      </w:r>
    </w:p>
    <w:p w14:paraId="0C04BA8B">
      <w:pPr>
        <w:spacing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较年初预算数增加0.70万元，增长7.0%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人员经费及</w:t>
      </w:r>
      <w:r>
        <w:rPr>
          <w:rFonts w:hint="eastAsia" w:ascii="方正仿宋_GBK" w:hAnsi="方正仿宋_GBK" w:eastAsia="方正仿宋_GBK" w:cs="方正仿宋_GBK"/>
          <w:sz w:val="32"/>
          <w:szCs w:val="32"/>
          <w:shd w:val="clear" w:color="auto" w:fill="FFFFFF"/>
        </w:rPr>
        <w:t>人员缴费基</w:t>
      </w:r>
      <w:r>
        <w:rPr>
          <w:rFonts w:hint="eastAsia" w:ascii="方正仿宋_GBK" w:hAnsi="方正仿宋_GBK" w:eastAsia="方正仿宋_GBK" w:cs="方正仿宋_GBK"/>
          <w:sz w:val="32"/>
          <w:szCs w:val="32"/>
          <w:shd w:val="clear" w:color="auto" w:fill="FFFFFF"/>
          <w:lang w:eastAsia="zh-CN"/>
        </w:rPr>
        <w:t>数增加</w:t>
      </w:r>
      <w:r>
        <w:rPr>
          <w:rFonts w:hint="eastAsia" w:ascii="方正仿宋_GBK" w:hAnsi="方正仿宋_GBK" w:eastAsia="方正仿宋_GBK" w:cs="方正仿宋_GBK"/>
          <w:sz w:val="32"/>
          <w:szCs w:val="32"/>
          <w:shd w:val="clear" w:color="auto" w:fill="FFFFFF"/>
        </w:rPr>
        <w:t>。</w:t>
      </w:r>
    </w:p>
    <w:p w14:paraId="582367F3">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87017F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043483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244.34</w:t>
      </w:r>
      <w:r>
        <w:rPr>
          <w:rFonts w:ascii="方正仿宋_GBK" w:hAnsi="方正仿宋_GBK" w:eastAsia="方正仿宋_GBK" w:cs="方正仿宋_GBK"/>
          <w:sz w:val="32"/>
          <w:szCs w:val="32"/>
          <w:shd w:val="clear" w:color="auto" w:fill="FFFFFF"/>
        </w:rPr>
        <w:t>万元。</w:t>
      </w:r>
    </w:p>
    <w:p w14:paraId="1F3E12F8">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A7EB70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225.39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与2023年度相比，增加15.19万元，增长7.2%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经费及</w:t>
      </w:r>
      <w:r>
        <w:rPr>
          <w:rFonts w:hint="eastAsia" w:ascii="方正仿宋_GBK" w:hAnsi="方正仿宋_GBK" w:eastAsia="方正仿宋_GBK" w:cs="方正仿宋_GBK"/>
          <w:sz w:val="32"/>
          <w:szCs w:val="32"/>
          <w:shd w:val="clear" w:color="auto" w:fill="FFFFFF"/>
        </w:rPr>
        <w:t>缴费基数增加。</w:t>
      </w:r>
      <w:r>
        <w:rPr>
          <w:rFonts w:ascii="方正仿宋_GBK" w:hAnsi="方正仿宋_GBK" w:eastAsia="方正仿宋_GBK" w:cs="方正仿宋_GBK"/>
          <w:sz w:val="32"/>
          <w:szCs w:val="32"/>
          <w:shd w:val="clear" w:color="auto" w:fill="FFFFFF"/>
        </w:rPr>
        <w:t>人员经费用途主要</w:t>
      </w:r>
      <w:r>
        <w:rPr>
          <w:rFonts w:hint="eastAsia" w:ascii="方正仿宋_GBK" w:hAnsi="方正仿宋_GBK" w:eastAsia="方正仿宋_GBK" w:cs="方正仿宋_GBK"/>
          <w:sz w:val="32"/>
          <w:szCs w:val="32"/>
          <w:shd w:val="clear" w:color="auto" w:fill="FFFFFF"/>
          <w:lang w:eastAsia="zh-CN"/>
        </w:rPr>
        <w:t>包括</w:t>
      </w:r>
      <w:r>
        <w:rPr>
          <w:rFonts w:hint="eastAsia" w:ascii="方正仿宋_GBK" w:hAnsi="方正仿宋_GBK" w:eastAsia="方正仿宋_GBK" w:cs="方正仿宋_GBK"/>
          <w:sz w:val="32"/>
          <w:szCs w:val="32"/>
          <w:shd w:val="clear" w:color="auto" w:fill="FFFFFF"/>
        </w:rPr>
        <w:t>人员基本支出的</w:t>
      </w:r>
      <w:r>
        <w:rPr>
          <w:rFonts w:hint="eastAsia" w:ascii="方正仿宋_GBK" w:hAnsi="方正仿宋_GBK" w:eastAsia="方正仿宋_GBK" w:cs="方正仿宋_GBK"/>
          <w:sz w:val="32"/>
          <w:szCs w:val="32"/>
          <w:shd w:val="clear" w:color="auto" w:fill="FFFFFF"/>
          <w:lang w:eastAsia="zh-CN"/>
        </w:rPr>
        <w:t>基本</w:t>
      </w:r>
      <w:r>
        <w:rPr>
          <w:rFonts w:hint="eastAsia" w:ascii="方正仿宋_GBK" w:hAnsi="方正仿宋_GBK" w:eastAsia="方正仿宋_GBK" w:cs="方正仿宋_GBK"/>
          <w:sz w:val="32"/>
          <w:szCs w:val="32"/>
          <w:shd w:val="clear" w:color="auto" w:fill="FFFFFF"/>
        </w:rPr>
        <w:t>工资、绩效</w:t>
      </w:r>
      <w:r>
        <w:rPr>
          <w:rFonts w:hint="eastAsia" w:ascii="方正仿宋_GBK" w:hAnsi="方正仿宋_GBK" w:eastAsia="方正仿宋_GBK" w:cs="方正仿宋_GBK"/>
          <w:sz w:val="32"/>
          <w:szCs w:val="32"/>
          <w:shd w:val="clear" w:color="auto" w:fill="FFFFFF"/>
          <w:lang w:eastAsia="zh-CN"/>
        </w:rPr>
        <w:t>工资</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养老保险、</w:t>
      </w:r>
      <w:r>
        <w:rPr>
          <w:rFonts w:hint="eastAsia" w:ascii="方正仿宋_GBK" w:hAnsi="方正仿宋_GBK" w:eastAsia="方正仿宋_GBK" w:cs="方正仿宋_GBK"/>
          <w:sz w:val="32"/>
          <w:szCs w:val="32"/>
          <w:shd w:val="clear" w:color="auto" w:fill="FFFFFF"/>
        </w:rPr>
        <w:t>医疗</w:t>
      </w:r>
      <w:r>
        <w:rPr>
          <w:rFonts w:hint="eastAsia" w:ascii="方正仿宋_GBK" w:hAnsi="方正仿宋_GBK" w:eastAsia="方正仿宋_GBK" w:cs="方正仿宋_GBK"/>
          <w:sz w:val="32"/>
          <w:szCs w:val="32"/>
          <w:shd w:val="clear" w:color="auto" w:fill="FFFFFF"/>
          <w:lang w:eastAsia="zh-CN"/>
        </w:rPr>
        <w:t>保险</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职业年金保险、</w:t>
      </w:r>
      <w:r>
        <w:rPr>
          <w:rFonts w:hint="eastAsia" w:ascii="方正仿宋_GBK" w:hAnsi="方正仿宋_GBK" w:eastAsia="方正仿宋_GBK" w:cs="方正仿宋_GBK"/>
          <w:sz w:val="32"/>
          <w:szCs w:val="32"/>
          <w:shd w:val="clear" w:color="auto" w:fill="FFFFFF"/>
        </w:rPr>
        <w:t>住房保障金、工会经费等。</w:t>
      </w:r>
    </w:p>
    <w:p w14:paraId="064BDC1E">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与2023年度相比，减少7.25万元，下降27.7%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节约开支</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sz w:val="32"/>
          <w:szCs w:val="32"/>
          <w:shd w:val="clear" w:color="auto" w:fill="FFFFFF"/>
        </w:rPr>
        <w:t>办公室日常开支的水电费、办公费等</w:t>
      </w:r>
      <w:r>
        <w:rPr>
          <w:rFonts w:hint="eastAsia" w:ascii="方正仿宋_GBK" w:hAnsi="方正仿宋_GBK" w:eastAsia="方正仿宋_GBK" w:cs="方正仿宋_GBK"/>
          <w:sz w:val="32"/>
          <w:szCs w:val="32"/>
          <w:shd w:val="clear" w:color="auto" w:fill="FFFFFF"/>
          <w:lang w:eastAsia="zh-CN"/>
        </w:rPr>
        <w:t>。</w:t>
      </w:r>
    </w:p>
    <w:p w14:paraId="0A19810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14:paraId="2778BD4D">
      <w:pPr>
        <w:pStyle w:val="14"/>
        <w:keepNext w:val="0"/>
        <w:keepLines w:val="0"/>
        <w:pageBreakBefore w:val="0"/>
        <w:widowControl/>
        <w:numPr>
          <w:ilvl w:val="0"/>
          <w:numId w:val="1"/>
        </w:numPr>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政府性基金预算收支决算情况说明</w:t>
      </w:r>
    </w:p>
    <w:p w14:paraId="5B22BE2C">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Style w:val="13"/>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p>
    <w:p w14:paraId="0F8FCB19">
      <w:pPr>
        <w:pStyle w:val="14"/>
        <w:keepNext w:val="0"/>
        <w:keepLines w:val="0"/>
        <w:pageBreakBefore w:val="0"/>
        <w:widowControl/>
        <w:numPr>
          <w:ilvl w:val="0"/>
          <w:numId w:val="1"/>
        </w:numPr>
        <w:kinsoku/>
        <w:wordWrap/>
        <w:overflowPunct/>
        <w:topLinePunct w:val="0"/>
        <w:autoSpaceDE w:val="0"/>
        <w:autoSpaceDN/>
        <w:bidi w:val="0"/>
        <w:adjustRightInd/>
        <w:snapToGrid/>
        <w:spacing w:line="596" w:lineRule="exact"/>
        <w:ind w:left="0" w:leftChars="0"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国有资本经营预算财政拨款支出决算情况说明</w:t>
      </w:r>
    </w:p>
    <w:p w14:paraId="77A94CBE">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lang w:eastAsia="zh-CN"/>
        </w:rPr>
      </w:pPr>
      <w:r>
        <w:rPr>
          <w:rStyle w:val="13"/>
          <w:rFonts w:hint="eastAsia" w:ascii="方正仿宋_GBK" w:hAnsi="方正仿宋_GBK" w:eastAsia="方正仿宋_GBK" w:cs="方正仿宋_GBK"/>
          <w:b w:val="0"/>
          <w:bCs/>
          <w:sz w:val="32"/>
          <w:szCs w:val="32"/>
          <w:shd w:val="clear" w:color="auto" w:fill="FFFFFF"/>
        </w:rPr>
        <w:t>本</w:t>
      </w:r>
      <w:r>
        <w:rPr>
          <w:rStyle w:val="13"/>
          <w:rFonts w:hint="eastAsia" w:ascii="方正仿宋_GBK" w:hAnsi="方正仿宋_GBK" w:eastAsia="方正仿宋_GBK" w:cs="方正仿宋_GBK"/>
          <w:b w:val="0"/>
          <w:bCs/>
          <w:sz w:val="32"/>
          <w:szCs w:val="32"/>
          <w:shd w:val="clear" w:color="auto" w:fill="FFFFFF"/>
          <w:lang w:eastAsia="zh-CN"/>
        </w:rPr>
        <w:t>单位</w:t>
      </w:r>
      <w:r>
        <w:rPr>
          <w:rStyle w:val="13"/>
          <w:rFonts w:hint="eastAsia" w:ascii="方正仿宋_GBK" w:hAnsi="方正仿宋_GBK" w:eastAsia="方正仿宋_GBK" w:cs="方正仿宋_GBK"/>
          <w:b w:val="0"/>
          <w:bCs/>
          <w:sz w:val="32"/>
          <w:szCs w:val="32"/>
          <w:shd w:val="clear" w:color="auto" w:fill="FFFFFF"/>
        </w:rPr>
        <w:t>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rPr>
        <w:t>年度无国有资本经营预算财政拨款支出</w:t>
      </w:r>
      <w:r>
        <w:rPr>
          <w:rStyle w:val="13"/>
          <w:rFonts w:hint="eastAsia" w:ascii="方正仿宋_GBK" w:hAnsi="方正仿宋_GBK" w:eastAsia="方正仿宋_GBK" w:cs="方正仿宋_GBK"/>
          <w:b w:val="0"/>
          <w:bCs/>
          <w:sz w:val="32"/>
          <w:szCs w:val="32"/>
          <w:shd w:val="clear" w:color="auto" w:fill="FFFFFF"/>
          <w:lang w:eastAsia="zh-CN"/>
        </w:rPr>
        <w:t>。</w:t>
      </w:r>
    </w:p>
    <w:p w14:paraId="01B0F68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5FCD1CC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E5D050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较年初预算数减少0.20万元，下降6.9%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节约开支及未发生接待费。</w:t>
      </w:r>
      <w:r>
        <w:rPr>
          <w:rFonts w:hint="default" w:ascii="Times New Roman" w:hAnsi="Times New Roman" w:eastAsia="方正仿宋_GBK"/>
          <w:sz w:val="32"/>
          <w:szCs w:val="32"/>
          <w:shd w:val="clear" w:color="auto" w:fill="FFFFFF"/>
        </w:rPr>
        <w:t>较上年支出数减少0.30万元，下降10.0%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节约开支。</w:t>
      </w:r>
    </w:p>
    <w:p w14:paraId="4AFDB96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9B4C47B">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因公出国（境）费用0.00万元，</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年度未发生出国费用支出。</w:t>
      </w:r>
      <w:r>
        <w:rPr>
          <w:rFonts w:hint="eastAsia" w:ascii="方正仿宋_GBK" w:hAnsi="方正仿宋_GBK" w:eastAsia="方正仿宋_GBK" w:cs="方正仿宋_GBK"/>
          <w:sz w:val="32"/>
          <w:szCs w:val="32"/>
          <w:highlight w:val="none"/>
        </w:rPr>
        <w:t>与上年</w:t>
      </w:r>
      <w:r>
        <w:rPr>
          <w:rFonts w:hint="eastAsia" w:ascii="方正仿宋_GBK" w:hAnsi="方正仿宋_GBK" w:eastAsia="方正仿宋_GBK" w:cs="方正仿宋_GBK"/>
          <w:sz w:val="32"/>
          <w:szCs w:val="32"/>
          <w:highlight w:val="none"/>
          <w:lang w:eastAsia="zh-CN"/>
        </w:rPr>
        <w:t>决算数</w:t>
      </w:r>
      <w:r>
        <w:rPr>
          <w:rFonts w:hint="eastAsia" w:ascii="方正仿宋_GBK" w:hAnsi="方正仿宋_GBK" w:eastAsia="方正仿宋_GBK" w:cs="方正仿宋_GBK"/>
          <w:sz w:val="32"/>
          <w:szCs w:val="32"/>
          <w:highlight w:val="none"/>
        </w:rPr>
        <w:t>持平</w:t>
      </w:r>
      <w:r>
        <w:rPr>
          <w:rFonts w:hint="eastAsia" w:ascii="方正仿宋_GBK" w:hAnsi="方正仿宋_GBK" w:eastAsia="方正仿宋_GBK" w:cs="方正仿宋_GBK"/>
          <w:sz w:val="32"/>
          <w:szCs w:val="32"/>
          <w:highlight w:val="none"/>
          <w:lang w:eastAsia="zh-CN"/>
        </w:rPr>
        <w:t>。</w:t>
      </w:r>
    </w:p>
    <w:p w14:paraId="5D8CD22B">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rPr>
        <w:t>公务车购置费0.00万元，</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年度未发生公务车购置费支出。</w:t>
      </w:r>
      <w:r>
        <w:rPr>
          <w:rFonts w:hint="eastAsia" w:ascii="方正仿宋_GBK" w:hAnsi="方正仿宋_GBK" w:eastAsia="方正仿宋_GBK" w:cs="方正仿宋_GBK"/>
          <w:sz w:val="32"/>
          <w:szCs w:val="32"/>
          <w:highlight w:val="none"/>
        </w:rPr>
        <w:t>与上年</w:t>
      </w:r>
      <w:r>
        <w:rPr>
          <w:rFonts w:hint="eastAsia" w:ascii="方正仿宋_GBK" w:hAnsi="方正仿宋_GBK" w:eastAsia="方正仿宋_GBK" w:cs="方正仿宋_GBK"/>
          <w:sz w:val="32"/>
          <w:szCs w:val="32"/>
          <w:highlight w:val="none"/>
          <w:lang w:eastAsia="zh-CN"/>
        </w:rPr>
        <w:t>决算数</w:t>
      </w:r>
      <w:r>
        <w:rPr>
          <w:rFonts w:hint="eastAsia" w:ascii="方正仿宋_GBK" w:hAnsi="方正仿宋_GBK" w:eastAsia="方正仿宋_GBK" w:cs="方正仿宋_GBK"/>
          <w:sz w:val="32"/>
          <w:szCs w:val="32"/>
          <w:highlight w:val="none"/>
        </w:rPr>
        <w:t>持平</w:t>
      </w:r>
      <w:r>
        <w:rPr>
          <w:rFonts w:hint="eastAsia" w:ascii="方正仿宋_GBK" w:hAnsi="方正仿宋_GBK" w:eastAsia="方正仿宋_GBK" w:cs="方正仿宋_GBK"/>
          <w:sz w:val="32"/>
          <w:szCs w:val="32"/>
          <w:highlight w:val="none"/>
          <w:lang w:eastAsia="zh-CN"/>
        </w:rPr>
        <w:t>。</w:t>
      </w:r>
    </w:p>
    <w:p w14:paraId="0C3B1EF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下乡质量安全监督检查的维护费及燃料费等。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节约开支。</w:t>
      </w:r>
      <w:r>
        <w:rPr>
          <w:rFonts w:hint="default" w:ascii="Times New Roman" w:hAnsi="Times New Roman" w:eastAsia="方正仿宋_GBK"/>
          <w:sz w:val="32"/>
          <w:szCs w:val="32"/>
          <w:shd w:val="clear" w:color="auto" w:fill="FFFFFF"/>
        </w:rPr>
        <w:t>较上年支出数减少0.30万元，下降10.0%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节约开支。</w:t>
      </w:r>
    </w:p>
    <w:p w14:paraId="27DC595A">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4年度</w:t>
      </w:r>
      <w:r>
        <w:rPr>
          <w:rFonts w:hint="eastAsia" w:ascii="方正仿宋_GBK" w:hAnsi="方正仿宋_GBK" w:eastAsia="方正仿宋_GBK" w:cs="方正仿宋_GBK"/>
          <w:sz w:val="32"/>
          <w:szCs w:val="32"/>
          <w:shd w:val="clear" w:color="auto" w:fill="FFFFFF"/>
        </w:rPr>
        <w:t>未发生接待费支出。</w:t>
      </w:r>
      <w:r>
        <w:rPr>
          <w:rFonts w:hint="eastAsia" w:ascii="方正仿宋_GBK" w:hAnsi="方正仿宋_GBK" w:eastAsia="方正仿宋_GBK" w:cs="方正仿宋_GBK"/>
          <w:sz w:val="32"/>
          <w:szCs w:val="32"/>
          <w:highlight w:val="none"/>
        </w:rPr>
        <w:t>与上年</w:t>
      </w:r>
      <w:r>
        <w:rPr>
          <w:rFonts w:hint="eastAsia" w:ascii="方正仿宋_GBK" w:hAnsi="方正仿宋_GBK" w:eastAsia="方正仿宋_GBK" w:cs="方正仿宋_GBK"/>
          <w:sz w:val="32"/>
          <w:szCs w:val="32"/>
          <w:highlight w:val="none"/>
          <w:lang w:val="en-US" w:eastAsia="zh-CN"/>
        </w:rPr>
        <w:t>决算数</w:t>
      </w:r>
      <w:r>
        <w:rPr>
          <w:rFonts w:hint="eastAsia" w:ascii="方正仿宋_GBK" w:hAnsi="方正仿宋_GBK" w:eastAsia="方正仿宋_GBK" w:cs="方正仿宋_GBK"/>
          <w:sz w:val="32"/>
          <w:szCs w:val="32"/>
          <w:highlight w:val="none"/>
        </w:rPr>
        <w:t>持平</w:t>
      </w:r>
      <w:r>
        <w:rPr>
          <w:rFonts w:hint="eastAsia" w:ascii="方正仿宋_GBK" w:hAnsi="方正仿宋_GBK" w:eastAsia="方正仿宋_GBK" w:cs="方正仿宋_GBK"/>
          <w:sz w:val="32"/>
          <w:szCs w:val="32"/>
          <w:highlight w:val="none"/>
          <w:lang w:eastAsia="zh-CN"/>
        </w:rPr>
        <w:t>。</w:t>
      </w:r>
    </w:p>
    <w:p w14:paraId="62A868D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6B644E3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EDA20E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val="en-US"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w:t>
      </w:r>
    </w:p>
    <w:p w14:paraId="2CB34CA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757FD4C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526968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与上年决算数持平。</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与2023年度相比，减少1.16万元，下降87.2%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职工教育培训会减少。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6.36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与2023年度相比，减少1.55万元，下降19.6%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节约开支。</w:t>
      </w:r>
    </w:p>
    <w:p w14:paraId="160DFAF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B39B70A">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Style w:val="13"/>
          <w:rFonts w:ascii="方正仿宋_GBK" w:hAnsi="方正仿宋_GBK" w:eastAsia="方正仿宋_GBK" w:cs="方正仿宋_GBK"/>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按照部门决算列报口径，我</w:t>
      </w:r>
      <w:r>
        <w:rPr>
          <w:rStyle w:val="13"/>
          <w:rFonts w:hint="eastAsia" w:ascii="方正仿宋_GBK" w:hAnsi="方正仿宋_GBK" w:eastAsia="方正仿宋_GBK" w:cs="方正仿宋_GBK"/>
          <w:b w:val="0"/>
          <w:bCs/>
          <w:sz w:val="32"/>
          <w:szCs w:val="32"/>
          <w:shd w:val="clear" w:color="auto" w:fill="FFFFFF"/>
          <w:lang w:val="en-US" w:eastAsia="zh-CN"/>
        </w:rPr>
        <w:t>单位</w:t>
      </w:r>
      <w:r>
        <w:rPr>
          <w:rStyle w:val="13"/>
          <w:rFonts w:hint="eastAsia" w:ascii="方正仿宋_GBK" w:hAnsi="方正仿宋_GBK" w:eastAsia="方正仿宋_GBK" w:cs="方正仿宋_GBK"/>
          <w:b w:val="0"/>
          <w:bCs/>
          <w:sz w:val="32"/>
          <w:szCs w:val="32"/>
          <w:shd w:val="clear" w:color="auto" w:fill="FFFFFF"/>
        </w:rPr>
        <w:t>不在机关运行经费统计范围之内。</w:t>
      </w:r>
    </w:p>
    <w:p w14:paraId="497E7F2D">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b/>
          <w:bCs/>
          <w:color w:val="auto"/>
          <w:sz w:val="32"/>
          <w:szCs w:val="32"/>
          <w:highlight w:val="yellow"/>
        </w:rPr>
      </w:pPr>
    </w:p>
    <w:p w14:paraId="512C995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18244B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val="en-US"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sz w:val="32"/>
          <w:szCs w:val="32"/>
          <w:shd w:val="clear" w:color="auto" w:fill="FFFFFF"/>
          <w:lang w:val="en-US" w:eastAsia="zh-CN"/>
        </w:rPr>
        <w:t>领导干部</w:t>
      </w:r>
      <w:r>
        <w:rPr>
          <w:rFonts w:ascii="方正仿宋_GBK" w:hAnsi="方正仿宋_GBK" w:eastAsia="方正仿宋_GBK" w:cs="方正仿宋_GBK"/>
          <w:sz w:val="32"/>
          <w:szCs w:val="32"/>
          <w:shd w:val="clear" w:color="auto" w:fill="FFFFFF"/>
        </w:rPr>
        <w:t>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hint="eastAsia" w:ascii="方正仿宋_GBK" w:hAnsi="方正仿宋_GBK" w:eastAsia="方正仿宋_GBK" w:cs="方正仿宋_GBK"/>
          <w:sz w:val="32"/>
          <w:szCs w:val="32"/>
          <w:shd w:val="clear" w:color="auto" w:fill="FFFFFF"/>
          <w:lang w:val="en-US" w:eastAsia="zh-CN"/>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F70DFE5">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8EBAB0A">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3"/>
          <w:rFonts w:hint="eastAsia" w:ascii="方正仿宋_GBK" w:hAnsi="方正仿宋_GBK" w:eastAsia="方正仿宋_GBK" w:cs="方正仿宋_GBK"/>
          <w:b w:val="0"/>
          <w:bCs/>
          <w:sz w:val="32"/>
          <w:szCs w:val="32"/>
          <w:shd w:val="clear" w:color="auto" w:fill="FFFFFF"/>
        </w:rPr>
        <w:t>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rPr>
        <w:t>年度我单位未发生政府采购事项，无相关</w:t>
      </w:r>
      <w:r>
        <w:rPr>
          <w:rStyle w:val="13"/>
          <w:rFonts w:hint="eastAsia" w:ascii="方正仿宋_GBK" w:hAnsi="方正仿宋_GBK" w:eastAsia="方正仿宋_GBK" w:cs="方正仿宋_GBK"/>
          <w:b w:val="0"/>
          <w:bCs/>
          <w:sz w:val="32"/>
          <w:szCs w:val="32"/>
          <w:shd w:val="clear" w:color="auto" w:fill="FFFFFF"/>
          <w:lang w:eastAsia="zh-CN"/>
        </w:rPr>
        <w:t>经费支出。</w:t>
      </w:r>
      <w:r>
        <w:rPr>
          <w:rStyle w:val="13"/>
          <w:rFonts w:hint="eastAsia" w:ascii="方正仿宋_GBK" w:hAnsi="方正仿宋_GBK" w:eastAsia="方正仿宋_GBK" w:cs="方正仿宋_GBK"/>
          <w:b w:val="0"/>
          <w:bCs/>
          <w:sz w:val="32"/>
          <w:szCs w:val="32"/>
          <w:shd w:val="clear" w:color="auto" w:fill="FFFFFF"/>
          <w:lang w:val="en-US" w:eastAsia="zh-CN"/>
        </w:rPr>
        <w:t xml:space="preserve"> </w:t>
      </w:r>
    </w:p>
    <w:p w14:paraId="5358BC9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63972553">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3CA14166">
      <w:pPr>
        <w:widowControl/>
        <w:spacing w:line="560" w:lineRule="exact"/>
        <w:ind w:firstLine="640" w:firstLineChars="200"/>
        <w:jc w:val="left"/>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sz w:val="32"/>
          <w:szCs w:val="32"/>
          <w:shd w:val="clear" w:color="auto" w:fill="FFFFFF"/>
        </w:rPr>
        <w:t>根据预算绩效管理要求，我单位</w:t>
      </w:r>
      <w:r>
        <w:rPr>
          <w:rFonts w:hint="eastAsia" w:ascii="方正仿宋_GBK" w:hAnsi="方正仿宋_GBK" w:eastAsia="方正仿宋_GBK" w:cs="方正仿宋_GBK"/>
          <w:sz w:val="32"/>
          <w:szCs w:val="32"/>
          <w:shd w:val="clear" w:color="auto" w:fill="FFFFFF"/>
          <w:lang w:eastAsia="zh-CN"/>
        </w:rPr>
        <w:t>对6</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138.32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其中，以填报自评表形式开展自评</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项，涉及资金</w:t>
      </w:r>
      <w:r>
        <w:rPr>
          <w:rFonts w:hint="eastAsia" w:ascii="方正仿宋_GBK" w:hAnsi="方正仿宋_GBK" w:eastAsia="方正仿宋_GBK" w:cs="方正仿宋_GBK"/>
          <w:sz w:val="32"/>
          <w:szCs w:val="32"/>
          <w:shd w:val="clear" w:color="auto" w:fill="FFFFFF"/>
          <w:lang w:val="en-US" w:eastAsia="zh-CN"/>
        </w:rPr>
        <w:t>138.32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333333"/>
          <w:kern w:val="0"/>
          <w:sz w:val="32"/>
          <w:szCs w:val="32"/>
        </w:rPr>
        <w:t>严格执行工程建设强制性标准，深入开展公路水运工程质量安全监督工作，确保建设工程质量安全可靠，进一步减少质量通病，杜绝重大质量事故。建设工程质量监督覆盖率100%</w:t>
      </w:r>
      <w:r>
        <w:rPr>
          <w:rFonts w:hint="eastAsia" w:ascii="方正仿宋_GBK" w:hAnsi="方正仿宋_GBK" w:eastAsia="方正仿宋_GBK" w:cs="方正仿宋_GBK"/>
          <w:color w:val="333333"/>
          <w:kern w:val="0"/>
          <w:sz w:val="32"/>
          <w:szCs w:val="32"/>
          <w:lang w:eastAsia="zh-CN"/>
        </w:rPr>
        <w:t>，</w:t>
      </w:r>
      <w:r>
        <w:rPr>
          <w:rFonts w:hint="eastAsia" w:ascii="方正仿宋_GBK" w:hAnsi="方正仿宋_GBK" w:eastAsia="方正仿宋_GBK" w:cs="方正仿宋_GBK"/>
          <w:color w:val="333333"/>
          <w:kern w:val="0"/>
          <w:sz w:val="32"/>
          <w:szCs w:val="32"/>
        </w:rPr>
        <w:t>工程竣工验收</w:t>
      </w:r>
      <w:r>
        <w:rPr>
          <w:rFonts w:hint="eastAsia" w:ascii="方正仿宋_GBK" w:hAnsi="方正仿宋_GBK" w:eastAsia="方正仿宋_GBK" w:cs="方正仿宋_GBK"/>
          <w:color w:val="333333"/>
          <w:kern w:val="0"/>
          <w:sz w:val="32"/>
          <w:szCs w:val="32"/>
          <w:lang w:eastAsia="zh-CN"/>
        </w:rPr>
        <w:t>合格率</w:t>
      </w:r>
      <w:r>
        <w:rPr>
          <w:rFonts w:hint="eastAsia" w:ascii="方正仿宋_GBK" w:hAnsi="方正仿宋_GBK" w:eastAsia="方正仿宋_GBK" w:cs="方正仿宋_GBK"/>
          <w:color w:val="333333"/>
          <w:kern w:val="0"/>
          <w:sz w:val="32"/>
          <w:szCs w:val="32"/>
        </w:rPr>
        <w:t>85</w:t>
      </w:r>
      <w:r>
        <w:rPr>
          <w:rFonts w:hint="eastAsia" w:ascii="方正仿宋_GBK" w:hAnsi="方正仿宋_GBK" w:eastAsia="方正仿宋_GBK" w:cs="方正仿宋_GBK"/>
          <w:color w:val="333333"/>
          <w:kern w:val="0"/>
          <w:sz w:val="32"/>
          <w:szCs w:val="32"/>
          <w:lang w:eastAsia="zh-CN"/>
        </w:rPr>
        <w:t>%</w:t>
      </w:r>
      <w:r>
        <w:rPr>
          <w:rFonts w:hint="eastAsia" w:ascii="方正仿宋_GBK" w:hAnsi="方正仿宋_GBK" w:eastAsia="方正仿宋_GBK" w:cs="方正仿宋_GBK"/>
          <w:color w:val="333333"/>
          <w:kern w:val="0"/>
          <w:sz w:val="32"/>
          <w:szCs w:val="32"/>
        </w:rPr>
        <w:t>，竣工验收备案</w:t>
      </w:r>
      <w:r>
        <w:rPr>
          <w:rFonts w:hint="eastAsia" w:ascii="方正仿宋_GBK" w:hAnsi="方正仿宋_GBK" w:eastAsia="方正仿宋_GBK" w:cs="方正仿宋_GBK"/>
          <w:color w:val="333333"/>
          <w:kern w:val="0"/>
          <w:sz w:val="32"/>
          <w:szCs w:val="32"/>
          <w:lang w:eastAsia="zh-CN"/>
        </w:rPr>
        <w:t>率100%</w:t>
      </w:r>
      <w:r>
        <w:rPr>
          <w:rFonts w:hint="eastAsia" w:ascii="方正仿宋_GBK" w:hAnsi="方正仿宋_GBK" w:eastAsia="方正仿宋_GBK" w:cs="方正仿宋_GBK"/>
          <w:color w:val="333333"/>
          <w:kern w:val="0"/>
          <w:sz w:val="32"/>
          <w:szCs w:val="32"/>
        </w:rPr>
        <w:t>。加大公路工程质量安全监督检查、抽测力度，提高建设工程质量水平，确保重点工程的质量安全</w:t>
      </w:r>
      <w:r>
        <w:rPr>
          <w:rFonts w:hint="eastAsia" w:ascii="方正仿宋_GBK" w:hAnsi="方正仿宋_GBK" w:eastAsia="方正仿宋_GBK" w:cs="方正仿宋_GBK"/>
          <w:color w:val="333333"/>
          <w:kern w:val="0"/>
          <w:sz w:val="32"/>
          <w:szCs w:val="32"/>
          <w:lang w:eastAsia="zh-CN"/>
        </w:rPr>
        <w:t>。</w:t>
      </w:r>
    </w:p>
    <w:p w14:paraId="5CB5A1DD">
      <w:pPr>
        <w:pStyle w:val="15"/>
        <w:autoSpaceDE w:val="0"/>
        <w:spacing w:before="0" w:beforeAutospacing="0" w:line="600" w:lineRule="exact"/>
        <w:ind w:firstLine="640" w:firstLineChars="200"/>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sz w:val="32"/>
          <w:szCs w:val="32"/>
          <w:shd w:val="clear" w:color="auto" w:fill="FFFFFF"/>
          <w:lang w:val="en-US" w:eastAsia="zh-CN"/>
        </w:rPr>
        <w:t>丰都县交通工程质量服务中心2024年度项目绩效自评表</w:t>
      </w:r>
      <w:r>
        <w:rPr>
          <w:rFonts w:hint="eastAsia" w:ascii="方正仿宋_GBK" w:hAnsi="方正仿宋_GBK" w:eastAsia="方正仿宋_GBK" w:cs="方正仿宋_GBK"/>
          <w:sz w:val="32"/>
          <w:szCs w:val="32"/>
          <w:shd w:val="clear" w:color="auto" w:fill="FFFFFF"/>
          <w:lang w:eastAsia="zh-CN"/>
        </w:rPr>
        <w:t>见附件。</w:t>
      </w:r>
    </w:p>
    <w:p w14:paraId="266CBC9A">
      <w:pPr>
        <w:pStyle w:val="15"/>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14:paraId="7A2F11D6">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960" w:firstLineChars="300"/>
        <w:jc w:val="left"/>
        <w:textAlignment w:val="auto"/>
        <w:rPr>
          <w:rFonts w:hint="default" w:ascii="楷体" w:hAnsi="楷体" w:eastAsia="方正仿宋_GBK" w:cs="楷体"/>
          <w:b/>
          <w:bCs/>
          <w:kern w:val="0"/>
          <w:sz w:val="32"/>
          <w:szCs w:val="32"/>
          <w:shd w:val="clear" w:fill="FFFFFF"/>
          <w:lang w:val="en-US" w:eastAsia="zh-CN"/>
        </w:rPr>
      </w:pPr>
      <w:r>
        <w:rPr>
          <w:rFonts w:hint="eastAsia" w:ascii="方正仿宋_GBK" w:hAnsi="方正仿宋_GBK" w:eastAsia="方正仿宋_GBK" w:cs="方正仿宋_GBK"/>
          <w:b w:val="0"/>
          <w:bCs w:val="0"/>
          <w:color w:val="auto"/>
          <w:sz w:val="32"/>
          <w:szCs w:val="32"/>
          <w:highlight w:val="none"/>
          <w:shd w:val="clear" w:color="auto" w:fill="FFFFFF"/>
        </w:rPr>
        <w:t>我单位未组织开展绩效评价。</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 xml:space="preserve">   </w:t>
      </w:r>
    </w:p>
    <w:p w14:paraId="0E6D9EB1">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7B73C788">
      <w:pPr>
        <w:pStyle w:val="14"/>
        <w:autoSpaceDE w:val="0"/>
        <w:ind w:firstLine="643"/>
        <w:rPr>
          <w:rFonts w:hint="eastAsia" w:ascii="方正仿宋_GBK" w:hAnsi="方正仿宋_GBK" w:eastAsia="方正仿宋_GBK" w:cs="方正仿宋_GBK"/>
          <w:b w:val="0"/>
          <w:bCs w:val="0"/>
          <w:sz w:val="32"/>
          <w:szCs w:val="32"/>
          <w:highlight w:val="none"/>
          <w:shd w:val="clear" w:color="auto" w:fill="FFFFFF"/>
        </w:rPr>
      </w:pPr>
      <w:r>
        <w:rPr>
          <w:rFonts w:hint="eastAsia" w:ascii="方正仿宋_GBK" w:hAnsi="方正仿宋_GBK" w:eastAsia="方正仿宋_GBK" w:cs="方正仿宋_GBK"/>
          <w:b w:val="0"/>
          <w:bCs w:val="0"/>
          <w:sz w:val="32"/>
          <w:szCs w:val="32"/>
          <w:highlight w:val="none"/>
          <w:shd w:val="clear" w:color="auto" w:fill="FFFFFF"/>
          <w:lang w:eastAsia="zh-CN"/>
        </w:rPr>
        <w:t>县</w:t>
      </w:r>
      <w:r>
        <w:rPr>
          <w:rFonts w:hint="eastAsia" w:ascii="方正仿宋_GBK" w:hAnsi="方正仿宋_GBK" w:eastAsia="方正仿宋_GBK" w:cs="方正仿宋_GBK"/>
          <w:b w:val="0"/>
          <w:bCs w:val="0"/>
          <w:sz w:val="32"/>
          <w:szCs w:val="32"/>
          <w:highlight w:val="none"/>
          <w:shd w:val="clear" w:color="auto" w:fill="FFFFFF"/>
        </w:rPr>
        <w:t>财政局未委托第三方对我单位开展绩效评价。</w:t>
      </w:r>
    </w:p>
    <w:p w14:paraId="759E093C">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3E64C82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7D771F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A0E66A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A94865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354AD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666D9BF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C981BF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31299E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A92707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4C51D6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05CEA9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D3B538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C2800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00B4E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EF8F9B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932B73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B9EB9B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14:paraId="3709B33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3C84615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136708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3"/>
          <w:rFonts w:ascii="方正仿宋_GBK" w:hAnsi="方正仿宋_GBK" w:eastAsia="方正仿宋_GBK" w:cs="方正仿宋_GBK"/>
          <w:sz w:val="32"/>
          <w:szCs w:val="32"/>
          <w:shd w:val="clear" w:color="auto" w:fill="FFFF00"/>
        </w:rPr>
      </w:pPr>
    </w:p>
    <w:p w14:paraId="1D885AE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3"/>
          <w:rFonts w:hint="default" w:ascii="方正仿宋_GBK" w:hAnsi="方正仿宋_GBK" w:eastAsia="方正仿宋_GBK" w:cs="方正仿宋_GBK"/>
          <w:color w:val="auto"/>
          <w:sz w:val="32"/>
          <w:szCs w:val="32"/>
          <w:shd w:val="clear" w:color="auto" w:fill="FFFF00"/>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lang w:eastAsia="zh-CN"/>
        </w:rPr>
        <w:t>李曼林</w:t>
      </w:r>
      <w:r>
        <w:rPr>
          <w:rFonts w:hint="eastAsia" w:ascii="方正仿宋_GBK" w:hAnsi="方正仿宋_GBK" w:eastAsia="方正仿宋_GBK" w:cs="方正仿宋_GBK"/>
          <w:sz w:val="32"/>
          <w:szCs w:val="32"/>
          <w:lang w:val="en-US" w:eastAsia="zh-CN"/>
        </w:rPr>
        <w:t xml:space="preserve">   023-70616006</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0FAC63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3E64FA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431A28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07C1E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A62729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1A4A48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19E894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4A9A13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5EF0B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丰都县交通工程质量服务中心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F241DF2">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1AA17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76C2D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A93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D80CF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0BE45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2D8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BAA7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82B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B50F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CDA2B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FB3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0DA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915B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C8B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33BB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FB0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56A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9B62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CF6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9A28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8E5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67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AA63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799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C84D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09A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2C4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532C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F98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605D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EF9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70C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BE07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5AB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4F26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CF3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F41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0B7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B9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9816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717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BD3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4485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0E9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DDBC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47F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5676F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959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F6C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37.21</w:t>
            </w:r>
            <w:r>
              <w:rPr>
                <w:rFonts w:ascii="Times New Roman" w:hAnsi="Times New Roman"/>
                <w:color w:val="000000"/>
                <w:sz w:val="20"/>
                <w:u w:color="auto"/>
              </w:rPr>
              <w:t xml:space="preserve"> </w:t>
            </w:r>
          </w:p>
        </w:tc>
      </w:tr>
      <w:tr w14:paraId="08AD25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6D3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999E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B83E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80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r>
      <w:tr w14:paraId="21A84A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0B6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497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FCA5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772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75EE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DF6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2684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61C8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BB5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4E6E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6BD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58A1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C7C7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F64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4276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7E7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0B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8D94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BD0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321.03</w:t>
            </w:r>
            <w:r>
              <w:rPr>
                <w:rFonts w:ascii="Times New Roman" w:hAnsi="Times New Roman"/>
                <w:color w:val="000000"/>
                <w:sz w:val="20"/>
                <w:u w:color="auto"/>
              </w:rPr>
              <w:t xml:space="preserve"> </w:t>
            </w:r>
          </w:p>
        </w:tc>
      </w:tr>
      <w:tr w14:paraId="34CE7A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FA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46A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F3F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675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FB70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B4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74F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43D4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42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C651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252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EE7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8AF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44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128A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C1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2C0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6CF6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7DA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FFEAE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61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596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E194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D3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8684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A24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C9A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0FF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E3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14:paraId="66369E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91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67B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8DAF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6F2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AA71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C09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A83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F82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AB4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9DE7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8D9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2E1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1F2E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190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CA69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28A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E69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BF46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346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22DC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994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973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36C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2B6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FB33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2F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1F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AFA9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645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2278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E7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15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6F74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658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86E6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9D7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BC2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BCE6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02E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380.03</w:t>
            </w:r>
            <w:r>
              <w:rPr>
                <w:rFonts w:ascii="Times New Roman" w:hAnsi="Times New Roman"/>
                <w:color w:val="000000"/>
                <w:sz w:val="20"/>
                <w:u w:color="auto"/>
              </w:rPr>
              <w:t xml:space="preserve"> </w:t>
            </w:r>
          </w:p>
        </w:tc>
      </w:tr>
      <w:tr w14:paraId="592103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32B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91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7A5E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771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9ED7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45E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A3D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0837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BA9D6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C9207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59A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FE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B7D880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410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380.03</w:t>
            </w:r>
            <w:r>
              <w:rPr>
                <w:rFonts w:ascii="Times New Roman" w:hAnsi="Times New Roman"/>
                <w:color w:val="000000"/>
                <w:sz w:val="20"/>
                <w:u w:color="auto"/>
              </w:rPr>
              <w:t xml:space="preserve"> </w:t>
            </w:r>
          </w:p>
        </w:tc>
      </w:tr>
    </w:tbl>
    <w:p w14:paraId="65FD40E0">
      <w:pPr>
        <w:rPr>
          <w:rFonts w:hint="default" w:cs="宋体"/>
          <w:sz w:val="21"/>
          <w:szCs w:val="21"/>
        </w:rPr>
      </w:pPr>
    </w:p>
    <w:p w14:paraId="2C0EB2A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1B3F0B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A35A082">
            <w:pPr>
              <w:jc w:val="center"/>
              <w:textAlignment w:val="bottom"/>
              <w:rPr>
                <w:rFonts w:hint="default" w:cs="宋体"/>
                <w:b/>
                <w:color w:val="000000"/>
                <w:sz w:val="32"/>
                <w:szCs w:val="32"/>
              </w:rPr>
            </w:pPr>
            <w:r>
              <w:rPr>
                <w:rFonts w:cs="宋体"/>
                <w:b/>
                <w:color w:val="000000"/>
                <w:sz w:val="32"/>
                <w:szCs w:val="32"/>
              </w:rPr>
              <w:t>收入决算表</w:t>
            </w:r>
          </w:p>
        </w:tc>
      </w:tr>
      <w:tr w14:paraId="3DAA834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55538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丰都县交通工程质量服务中心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0897AA7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8F8BE8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7F726B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F49F69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88020B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0E00D9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C17F4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EE2C79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C0F707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4E2AA0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26E2C6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E31CE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7944D6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FD33F2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1D28A4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590D2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CAD2C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979299A">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50C0">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2C95">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3E1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622F3">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2BD1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5D46">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9F888">
            <w:pPr>
              <w:jc w:val="center"/>
              <w:textAlignment w:val="center"/>
              <w:rPr>
                <w:rFonts w:hint="default" w:cs="宋体"/>
                <w:b/>
                <w:color w:val="000000"/>
                <w:sz w:val="20"/>
                <w:szCs w:val="20"/>
              </w:rPr>
            </w:pPr>
            <w:r>
              <w:rPr>
                <w:rFonts w:cs="宋体"/>
                <w:b/>
                <w:color w:val="000000"/>
                <w:sz w:val="20"/>
                <w:szCs w:val="20"/>
              </w:rPr>
              <w:t>其他收入</w:t>
            </w:r>
          </w:p>
        </w:tc>
      </w:tr>
      <w:tr w14:paraId="72D2BA5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D80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5AD7C7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E08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38D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7F48F">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EE8D">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6EA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3E9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AAF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DA56">
            <w:pPr>
              <w:jc w:val="center"/>
              <w:rPr>
                <w:rFonts w:hint="default" w:cs="宋体"/>
                <w:b/>
                <w:color w:val="000000"/>
                <w:sz w:val="20"/>
                <w:szCs w:val="20"/>
              </w:rPr>
            </w:pPr>
          </w:p>
        </w:tc>
      </w:tr>
      <w:tr w14:paraId="3F8D73D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74B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6F541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E99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4481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E059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D263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F061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219D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AB8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3DF68">
            <w:pPr>
              <w:jc w:val="center"/>
              <w:rPr>
                <w:rFonts w:hint="default" w:cs="宋体"/>
                <w:b/>
                <w:color w:val="000000"/>
                <w:sz w:val="20"/>
                <w:szCs w:val="20"/>
              </w:rPr>
            </w:pPr>
          </w:p>
        </w:tc>
      </w:tr>
      <w:tr w14:paraId="71ED96A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4D7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69F35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A297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FEA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D05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8C6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56E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74E0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FDED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74BA">
            <w:pPr>
              <w:jc w:val="center"/>
              <w:rPr>
                <w:rFonts w:hint="default" w:cs="宋体"/>
                <w:b/>
                <w:color w:val="000000"/>
                <w:sz w:val="20"/>
                <w:szCs w:val="20"/>
              </w:rPr>
            </w:pPr>
          </w:p>
        </w:tc>
      </w:tr>
      <w:tr w14:paraId="05271FD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C1B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2FD88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6DC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A7C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28DB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081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D9FB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D9D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3AE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BC8D">
            <w:pPr>
              <w:jc w:val="center"/>
              <w:rPr>
                <w:rFonts w:hint="default" w:cs="宋体"/>
                <w:b/>
                <w:color w:val="000000"/>
                <w:sz w:val="20"/>
                <w:szCs w:val="20"/>
              </w:rPr>
            </w:pPr>
          </w:p>
        </w:tc>
      </w:tr>
      <w:tr w14:paraId="3B6015D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312F">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292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380.03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A70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380.03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1E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AE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E57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F85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6C0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11C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A4219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E7E1">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BF6E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8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B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8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D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F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B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0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8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EAD8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0971">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C9020">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D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8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2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A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B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2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B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D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D21D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5E4E">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280ED">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6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4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4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6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F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1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4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A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CAE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BCA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A70CA">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7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F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C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C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B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6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8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A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DB4F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6FB2">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313AA">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4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D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0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2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4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F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D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C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13A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418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B3E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7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1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E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5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D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5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F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8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7B2C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DB9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F7E42">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A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C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D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B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C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E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B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4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8936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ABA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96B10">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E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0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C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6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E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D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B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0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524C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915A">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B61C">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8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4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B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7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A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2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5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0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558E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C1BC">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9B082">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4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D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3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A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1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3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2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2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94CD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FB36">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1AC55">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D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5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4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8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F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6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E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5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9222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EBD4">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6BC5C">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4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8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C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3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6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3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4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A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417E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5E75">
            <w:pPr>
              <w:textAlignment w:val="center"/>
              <w:rPr>
                <w:rFonts w:hint="default" w:cs="宋体"/>
                <w:color w:val="000000"/>
                <w:sz w:val="20"/>
                <w:szCs w:val="20"/>
              </w:rPr>
            </w:pPr>
            <w:r>
              <w:rPr>
                <w:rFonts w:cs="宋体"/>
                <w:color w:val="000000"/>
                <w:sz w:val="20"/>
                <w:szCs w:val="20"/>
              </w:rPr>
              <w:t>2140199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C71C3">
            <w:pPr>
              <w:textAlignment w:val="center"/>
              <w:rPr>
                <w:rFonts w:hint="default" w:cs="宋体"/>
                <w:color w:val="000000"/>
                <w:sz w:val="20"/>
                <w:szCs w:val="20"/>
              </w:rPr>
            </w:pPr>
            <w:r>
              <w:rPr>
                <w:rFonts w:cs="宋体"/>
                <w:color w:val="000000"/>
                <w:sz w:val="20"/>
                <w:szCs w:val="20"/>
              </w:rPr>
              <w:t>其他公路水路运输支出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6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7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9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F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1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4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0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5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CF00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06E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FD5A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5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2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4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5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D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0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B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6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8105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70F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A013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A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E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8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1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6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6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2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7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3E86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A12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BB2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2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7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F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C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E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0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C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9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F18C1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0"/>
        <w:tblW w:w="4940" w:type="pct"/>
        <w:tblInd w:w="0" w:type="dxa"/>
        <w:tblLayout w:type="fixed"/>
        <w:tblCellMar>
          <w:top w:w="0" w:type="dxa"/>
          <w:left w:w="0" w:type="dxa"/>
          <w:bottom w:w="0" w:type="dxa"/>
          <w:right w:w="0" w:type="dxa"/>
        </w:tblCellMar>
      </w:tblPr>
      <w:tblGrid>
        <w:gridCol w:w="1276"/>
        <w:gridCol w:w="3559"/>
        <w:gridCol w:w="1819"/>
        <w:gridCol w:w="1744"/>
        <w:gridCol w:w="1604"/>
        <w:gridCol w:w="1538"/>
        <w:gridCol w:w="1671"/>
        <w:gridCol w:w="1929"/>
      </w:tblGrid>
      <w:tr w14:paraId="736DFC52">
        <w:tblPrEx>
          <w:tblCellMar>
            <w:top w:w="0" w:type="dxa"/>
            <w:left w:w="0" w:type="dxa"/>
            <w:bottom w:w="0" w:type="dxa"/>
            <w:right w:w="0" w:type="dxa"/>
          </w:tblCellMar>
        </w:tblPrEx>
        <w:trPr>
          <w:trHeight w:val="90"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AF985C">
            <w:pPr>
              <w:rPr>
                <w:rFonts w:hint="default" w:cs="宋体"/>
                <w:b/>
                <w:color w:val="000000"/>
                <w:sz w:val="32"/>
                <w:szCs w:val="32"/>
              </w:rPr>
            </w:pPr>
            <w:r>
              <w:rPr>
                <w:rFonts w:cs="宋体"/>
                <w:sz w:val="20"/>
                <w:szCs w:val="20"/>
              </w:rPr>
              <w:br w:type="page"/>
            </w:r>
            <w:r>
              <w:rPr>
                <w:rFonts w:hint="eastAsia" w:cs="宋体"/>
                <w:sz w:val="20"/>
                <w:szCs w:val="20"/>
                <w:lang w:val="en-US" w:eastAsia="zh-CN"/>
              </w:rPr>
              <w:t xml:space="preserve">                                                                     </w:t>
            </w:r>
            <w:r>
              <w:rPr>
                <w:rFonts w:cs="宋体"/>
                <w:b/>
                <w:color w:val="000000"/>
                <w:sz w:val="32"/>
                <w:szCs w:val="32"/>
              </w:rPr>
              <w:t>支出决算表</w:t>
            </w:r>
          </w:p>
        </w:tc>
      </w:tr>
      <w:tr w14:paraId="39070218">
        <w:tblPrEx>
          <w:tblCellMar>
            <w:top w:w="0" w:type="dxa"/>
            <w:left w:w="0" w:type="dxa"/>
            <w:bottom w:w="0" w:type="dxa"/>
            <w:right w:w="0" w:type="dxa"/>
          </w:tblCellMar>
        </w:tblPrEx>
        <w:trPr>
          <w:trHeight w:val="90"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F73C4B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丰都县交通工程质量服务中心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D7E2B7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775AFA6">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230F9CE5">
            <w:pPr>
              <w:rPr>
                <w:rFonts w:hint="default" w:cs="宋体"/>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63798A78">
            <w:pPr>
              <w:rPr>
                <w:rFonts w:hint="default" w:cs="宋体"/>
                <w:color w:val="000000"/>
                <w:sz w:val="20"/>
                <w:szCs w:val="20"/>
              </w:rPr>
            </w:pPr>
          </w:p>
        </w:tc>
        <w:tc>
          <w:tcPr>
            <w:tcW w:w="637" w:type="pct"/>
            <w:tcBorders>
              <w:top w:val="nil"/>
              <w:left w:val="nil"/>
              <w:bottom w:val="nil"/>
              <w:right w:val="nil"/>
            </w:tcBorders>
            <w:shd w:val="clear" w:color="auto" w:fill="auto"/>
            <w:noWrap/>
            <w:tcMar>
              <w:top w:w="15" w:type="dxa"/>
              <w:left w:w="15" w:type="dxa"/>
              <w:right w:w="15" w:type="dxa"/>
            </w:tcMar>
            <w:vAlign w:val="bottom"/>
          </w:tcPr>
          <w:p w14:paraId="290513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9E80130">
        <w:tblPrEx>
          <w:tblCellMar>
            <w:top w:w="0" w:type="dxa"/>
            <w:left w:w="0" w:type="dxa"/>
            <w:bottom w:w="0" w:type="dxa"/>
            <w:right w:w="0" w:type="dxa"/>
          </w:tblCellMar>
        </w:tblPrEx>
        <w:trPr>
          <w:trHeight w:val="90"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B239AD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FF9A08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EEAF98D">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3A4DBF58">
            <w:pPr>
              <w:rPr>
                <w:rFonts w:hint="default" w:cs="宋体"/>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375DA973">
            <w:pPr>
              <w:rPr>
                <w:rFonts w:hint="default" w:cs="宋体"/>
                <w:color w:val="000000"/>
                <w:sz w:val="20"/>
                <w:szCs w:val="20"/>
              </w:rPr>
            </w:pPr>
          </w:p>
        </w:tc>
        <w:tc>
          <w:tcPr>
            <w:tcW w:w="637" w:type="pct"/>
            <w:tcBorders>
              <w:top w:val="nil"/>
              <w:left w:val="nil"/>
              <w:bottom w:val="nil"/>
              <w:right w:val="nil"/>
            </w:tcBorders>
            <w:shd w:val="clear" w:color="auto" w:fill="auto"/>
            <w:noWrap/>
            <w:tcMar>
              <w:top w:w="15" w:type="dxa"/>
              <w:left w:w="15" w:type="dxa"/>
              <w:right w:w="15" w:type="dxa"/>
            </w:tcMar>
            <w:vAlign w:val="bottom"/>
          </w:tcPr>
          <w:p w14:paraId="0C1BF95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8ADBEE">
        <w:tblPrEx>
          <w:tblCellMar>
            <w:top w:w="0" w:type="dxa"/>
            <w:left w:w="0" w:type="dxa"/>
            <w:bottom w:w="0" w:type="dxa"/>
            <w:right w:w="0" w:type="dxa"/>
          </w:tblCellMar>
        </w:tblPrEx>
        <w:trPr>
          <w:trHeight w:val="90"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33F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945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E6E5">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B6089">
            <w:pPr>
              <w:jc w:val="center"/>
              <w:textAlignment w:val="center"/>
              <w:rPr>
                <w:rFonts w:hint="default" w:cs="宋体"/>
                <w:b/>
                <w:color w:val="000000"/>
                <w:sz w:val="20"/>
                <w:szCs w:val="20"/>
              </w:rPr>
            </w:pPr>
            <w:r>
              <w:rPr>
                <w:rFonts w:cs="宋体"/>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89E9A">
            <w:pPr>
              <w:jc w:val="center"/>
              <w:textAlignment w:val="center"/>
              <w:rPr>
                <w:rFonts w:hint="default" w:cs="宋体"/>
                <w:b/>
                <w:color w:val="000000"/>
                <w:sz w:val="20"/>
                <w:szCs w:val="20"/>
              </w:rPr>
            </w:pPr>
            <w:r>
              <w:rPr>
                <w:rFonts w:cs="宋体"/>
                <w:b/>
                <w:color w:val="000000"/>
                <w:sz w:val="20"/>
                <w:szCs w:val="20"/>
              </w:rPr>
              <w:t>上缴上级支出</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40C4">
            <w:pPr>
              <w:jc w:val="center"/>
              <w:textAlignment w:val="center"/>
              <w:rPr>
                <w:rFonts w:hint="default" w:cs="宋体"/>
                <w:b/>
                <w:color w:val="000000"/>
                <w:sz w:val="20"/>
                <w:szCs w:val="20"/>
              </w:rPr>
            </w:pPr>
            <w:r>
              <w:rPr>
                <w:rFonts w:cs="宋体"/>
                <w:b/>
                <w:color w:val="000000"/>
                <w:sz w:val="20"/>
                <w:szCs w:val="20"/>
              </w:rPr>
              <w:t>经营支出</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40DD5">
            <w:pPr>
              <w:jc w:val="center"/>
              <w:textAlignment w:val="center"/>
              <w:rPr>
                <w:rFonts w:hint="default" w:cs="宋体"/>
                <w:b/>
                <w:color w:val="000000"/>
                <w:sz w:val="20"/>
                <w:szCs w:val="20"/>
              </w:rPr>
            </w:pPr>
            <w:r>
              <w:rPr>
                <w:rFonts w:cs="宋体"/>
                <w:b/>
                <w:color w:val="000000"/>
                <w:sz w:val="20"/>
                <w:szCs w:val="20"/>
              </w:rPr>
              <w:t>对附属单位补助支出</w:t>
            </w:r>
          </w:p>
        </w:tc>
      </w:tr>
      <w:tr w14:paraId="56A7BC53">
        <w:tblPrEx>
          <w:tblCellMar>
            <w:top w:w="0" w:type="dxa"/>
            <w:left w:w="0" w:type="dxa"/>
            <w:bottom w:w="0" w:type="dxa"/>
            <w:right w:w="0" w:type="dxa"/>
          </w:tblCellMar>
        </w:tblPrEx>
        <w:trPr>
          <w:trHeight w:val="312"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12B8">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1DDCE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7B6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8FE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C89E">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FC3B">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163D">
            <w:pPr>
              <w:jc w:val="center"/>
              <w:rPr>
                <w:rFonts w:hint="default" w:cs="宋体"/>
                <w:b/>
                <w:color w:val="000000"/>
                <w:sz w:val="20"/>
                <w:szCs w:val="20"/>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F14A">
            <w:pPr>
              <w:jc w:val="center"/>
              <w:rPr>
                <w:rFonts w:hint="default" w:cs="宋体"/>
                <w:b/>
                <w:color w:val="000000"/>
                <w:sz w:val="20"/>
                <w:szCs w:val="20"/>
              </w:rPr>
            </w:pPr>
          </w:p>
        </w:tc>
      </w:tr>
      <w:tr w14:paraId="29BA7A97">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78E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D5C60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7DB6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23E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A78F">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FA66">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31FE1">
            <w:pPr>
              <w:jc w:val="center"/>
              <w:rPr>
                <w:rFonts w:hint="default" w:cs="宋体"/>
                <w:b/>
                <w:color w:val="000000"/>
                <w:sz w:val="20"/>
                <w:szCs w:val="20"/>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9592">
            <w:pPr>
              <w:jc w:val="center"/>
              <w:rPr>
                <w:rFonts w:hint="default" w:cs="宋体"/>
                <w:b/>
                <w:color w:val="000000"/>
                <w:sz w:val="20"/>
                <w:szCs w:val="20"/>
              </w:rPr>
            </w:pPr>
          </w:p>
        </w:tc>
      </w:tr>
      <w:tr w14:paraId="03236F5C">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8A3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35CD9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01B5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87C7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1C62">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F1DA2">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03B94">
            <w:pPr>
              <w:jc w:val="center"/>
              <w:rPr>
                <w:rFonts w:hint="default" w:cs="宋体"/>
                <w:b/>
                <w:color w:val="000000"/>
                <w:sz w:val="20"/>
                <w:szCs w:val="20"/>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C3A4">
            <w:pPr>
              <w:jc w:val="center"/>
              <w:rPr>
                <w:rFonts w:hint="default" w:cs="宋体"/>
                <w:b/>
                <w:color w:val="000000"/>
                <w:sz w:val="20"/>
                <w:szCs w:val="20"/>
              </w:rPr>
            </w:pPr>
          </w:p>
        </w:tc>
      </w:tr>
      <w:tr w14:paraId="6F29BFE5">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3BB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E6F2C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6E4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DE9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0900D">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24C0">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66914">
            <w:pPr>
              <w:jc w:val="center"/>
              <w:rPr>
                <w:rFonts w:hint="default" w:cs="宋体"/>
                <w:b/>
                <w:color w:val="000000"/>
                <w:sz w:val="20"/>
                <w:szCs w:val="20"/>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593E3">
            <w:pPr>
              <w:jc w:val="center"/>
              <w:rPr>
                <w:rFonts w:hint="default" w:cs="宋体"/>
                <w:b/>
                <w:color w:val="000000"/>
                <w:sz w:val="20"/>
                <w:szCs w:val="20"/>
              </w:rPr>
            </w:pPr>
          </w:p>
        </w:tc>
      </w:tr>
      <w:tr w14:paraId="4733D656">
        <w:tblPrEx>
          <w:tblCellMar>
            <w:top w:w="0" w:type="dxa"/>
            <w:left w:w="0" w:type="dxa"/>
            <w:bottom w:w="0" w:type="dxa"/>
            <w:right w:w="0" w:type="dxa"/>
          </w:tblCellMar>
        </w:tblPrEx>
        <w:trPr>
          <w:trHeight w:val="90"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5967">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960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380.03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CCF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244.34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D60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135.69</w:t>
            </w:r>
            <w:r>
              <w:rPr>
                <w:rFonts w:ascii="Times New Roman" w:hAnsi="Times New Roman"/>
                <w:b/>
                <w:color w:val="000000"/>
                <w:sz w:val="20"/>
                <w:u w:color="auto"/>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1BF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9C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5A6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18D410">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D7A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2F51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8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8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9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E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3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2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392D89">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A116">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FF286">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1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E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3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B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A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B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3355F2">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BEEE">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F04ED">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8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5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A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C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E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4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A7E888">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AEF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D17C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5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B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A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E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A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6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0A2A0E">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A346">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30C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2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5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3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1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D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F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B95900">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DF6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A1640">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6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1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4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D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1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2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A3103E">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571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6E92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E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8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B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6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4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6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7D7BE1">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9204">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4ACBB">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C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B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D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3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A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0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4B194D">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B215">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1D54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1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2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1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2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5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8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CB9238">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8D1D">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A8427">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3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5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1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135.69</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7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7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C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C372CB">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F8F6">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27181">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F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B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A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135.69</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A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3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9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F3E9E4">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EA96">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13796">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F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8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8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2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3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4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867E1">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0CB8">
            <w:pPr>
              <w:textAlignment w:val="center"/>
              <w:rPr>
                <w:rFonts w:hint="default" w:cs="宋体"/>
                <w:color w:val="000000"/>
                <w:sz w:val="20"/>
                <w:szCs w:val="20"/>
              </w:rPr>
            </w:pPr>
            <w:r>
              <w:rPr>
                <w:rFonts w:cs="宋体"/>
                <w:color w:val="000000"/>
                <w:sz w:val="20"/>
                <w:szCs w:val="20"/>
              </w:rPr>
              <w:t>2140199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A813A">
            <w:pPr>
              <w:textAlignment w:val="center"/>
              <w:rPr>
                <w:rFonts w:hint="default" w:cs="宋体"/>
                <w:color w:val="000000"/>
                <w:sz w:val="20"/>
                <w:szCs w:val="20"/>
              </w:rPr>
            </w:pPr>
            <w:r>
              <w:rPr>
                <w:rFonts w:cs="宋体"/>
                <w:color w:val="000000"/>
                <w:sz w:val="20"/>
                <w:szCs w:val="20"/>
              </w:rPr>
              <w:t>其他公路水路运输支出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1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0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8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105.69</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7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9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6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56F730">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A2A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1BDD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C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A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6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D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2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5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9D1196">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ABA6">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3A2AA">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B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7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0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D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1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4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0BDBC">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F717">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A5E1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3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1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4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6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D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7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CD151F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0BBCB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500EDD">
            <w:pPr>
              <w:rPr>
                <w:rFonts w:hint="default" w:cs="宋体"/>
                <w:b/>
                <w:color w:val="000000"/>
                <w:sz w:val="32"/>
                <w:szCs w:val="32"/>
              </w:rPr>
            </w:pPr>
            <w:r>
              <w:rPr>
                <w:rFonts w:cs="宋体"/>
                <w:sz w:val="21"/>
                <w:szCs w:val="21"/>
              </w:rPr>
              <w:br w:type="page"/>
            </w:r>
            <w:r>
              <w:rPr>
                <w:rFonts w:hint="eastAsia" w:cs="宋体"/>
                <w:sz w:val="21"/>
                <w:szCs w:val="21"/>
                <w:lang w:val="en-US" w:eastAsia="zh-CN"/>
              </w:rPr>
              <w:t xml:space="preserve">                                              </w:t>
            </w:r>
            <w:r>
              <w:rPr>
                <w:rFonts w:cs="宋体"/>
                <w:b/>
                <w:color w:val="000000"/>
                <w:sz w:val="32"/>
                <w:szCs w:val="32"/>
              </w:rPr>
              <w:t>财政拨款收入支出决算总表</w:t>
            </w:r>
          </w:p>
        </w:tc>
      </w:tr>
      <w:tr w14:paraId="1FB3FBB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FB99A7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丰都县交通工程质量服务中心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D690FE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48044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21380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5D7550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7F4DF8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62CFD0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E6D92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2A810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20406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4DE4C8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6EC53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C7B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118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21C5BB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888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A964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5BDD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FC5A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0D23EC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A1C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302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DCA1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3DC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817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26D8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1608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D3E82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E75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6F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C4E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CC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3C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6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9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9E13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916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8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1E7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B4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4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9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0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FBD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7EE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C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82F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8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E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F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C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CBF1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12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53EE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3D1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E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F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8A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F0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284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74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42B7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8CF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0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C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D7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32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9406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10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9A96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EF2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F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4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F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C7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CE63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DF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9D00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22F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F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C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7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6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308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5E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2770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0A5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D5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80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C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3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42C3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35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E345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170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7F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55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6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BD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AFB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05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FCA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290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6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D5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4F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3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1DA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D5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4A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8A4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1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1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8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A3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54F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6A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3F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4B7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A0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DA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54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E7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4195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D1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31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C5F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62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B8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4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0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3218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8B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9C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8A8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B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1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FC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8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A03C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11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D6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AAA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8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AE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DE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7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CA7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C8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D0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F71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8E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4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03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29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620A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CA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A6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0E7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8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E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A5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8C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725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03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AE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7AC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2F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8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AD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5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1ED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99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9E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D9F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12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86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1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1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84E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37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E4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8A4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DA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C4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E1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B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A426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B0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82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DB2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8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FB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9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B893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CF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83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2EC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B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36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24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3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389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43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E5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EF3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59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C4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8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4C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50D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FB79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73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2B4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C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A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46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BC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1FC1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7CA2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5E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967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8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2F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8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3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2020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6659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65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AA2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F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1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3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D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6076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560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7D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683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03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CB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96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D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F60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650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F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D6E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4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D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A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9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8A7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16C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C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9704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12595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F745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5CB01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32874B">
            <w:pPr>
              <w:spacing w:line="200" w:lineRule="exact"/>
              <w:rPr>
                <w:rFonts w:hint="default" w:ascii="Times New Roman" w:hAnsi="Times New Roman"/>
                <w:color w:val="000000"/>
                <w:sz w:val="18"/>
                <w:szCs w:val="18"/>
              </w:rPr>
            </w:pPr>
          </w:p>
        </w:tc>
      </w:tr>
      <w:tr w14:paraId="57E108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190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8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3BA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018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CC9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320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ADE6">
            <w:pPr>
              <w:spacing w:line="200" w:lineRule="exact"/>
              <w:jc w:val="right"/>
              <w:rPr>
                <w:rFonts w:hint="default" w:ascii="Times New Roman" w:hAnsi="Times New Roman"/>
                <w:color w:val="000000"/>
                <w:sz w:val="18"/>
                <w:szCs w:val="18"/>
              </w:rPr>
            </w:pPr>
          </w:p>
        </w:tc>
      </w:tr>
      <w:tr w14:paraId="395E6B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1DA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A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225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75E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48B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863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DCB6">
            <w:pPr>
              <w:spacing w:line="200" w:lineRule="exact"/>
              <w:jc w:val="right"/>
              <w:rPr>
                <w:rFonts w:hint="default" w:ascii="Times New Roman" w:hAnsi="Times New Roman"/>
                <w:color w:val="000000"/>
                <w:sz w:val="18"/>
                <w:szCs w:val="18"/>
              </w:rPr>
            </w:pPr>
          </w:p>
        </w:tc>
      </w:tr>
      <w:tr w14:paraId="62BAE5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076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6B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020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C3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A4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8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6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AA9120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903D27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2E6181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F1E242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7B8FAE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丰都县交通工程质量服务中心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203957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B81DF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0BAB10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FC34A6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5FE5B8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A8D0C7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E11C7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7DDC0">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AFB211">
            <w:pPr>
              <w:jc w:val="center"/>
              <w:textAlignment w:val="center"/>
              <w:rPr>
                <w:rFonts w:hint="default" w:cs="宋体"/>
                <w:b/>
                <w:color w:val="000000"/>
                <w:sz w:val="20"/>
                <w:szCs w:val="20"/>
              </w:rPr>
            </w:pPr>
            <w:r>
              <w:rPr>
                <w:rFonts w:cs="宋体"/>
                <w:b/>
                <w:color w:val="000000"/>
                <w:sz w:val="20"/>
                <w:szCs w:val="20"/>
              </w:rPr>
              <w:t>本年支出</w:t>
            </w:r>
          </w:p>
        </w:tc>
      </w:tr>
      <w:tr w14:paraId="3271E8F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364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4875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0EA55">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5A7A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FE380">
            <w:pPr>
              <w:jc w:val="center"/>
              <w:textAlignment w:val="center"/>
              <w:rPr>
                <w:rFonts w:hint="default" w:cs="宋体"/>
                <w:b/>
                <w:color w:val="000000"/>
                <w:sz w:val="20"/>
                <w:szCs w:val="20"/>
              </w:rPr>
            </w:pPr>
            <w:r>
              <w:rPr>
                <w:rFonts w:cs="宋体"/>
                <w:b/>
                <w:color w:val="000000"/>
                <w:sz w:val="20"/>
                <w:szCs w:val="20"/>
              </w:rPr>
              <w:t>项目支出</w:t>
            </w:r>
          </w:p>
        </w:tc>
      </w:tr>
      <w:tr w14:paraId="2006C06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407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9DB5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1C3F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ED72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61FE9">
            <w:pPr>
              <w:jc w:val="center"/>
              <w:rPr>
                <w:rFonts w:hint="default" w:cs="宋体"/>
                <w:b/>
                <w:color w:val="000000"/>
                <w:sz w:val="20"/>
                <w:szCs w:val="20"/>
              </w:rPr>
            </w:pPr>
          </w:p>
        </w:tc>
      </w:tr>
      <w:tr w14:paraId="32709AF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09B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93E1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1F3B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9956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87AD9">
            <w:pPr>
              <w:jc w:val="center"/>
              <w:rPr>
                <w:rFonts w:hint="default" w:cs="宋体"/>
                <w:b/>
                <w:color w:val="000000"/>
                <w:sz w:val="20"/>
                <w:szCs w:val="20"/>
              </w:rPr>
            </w:pPr>
          </w:p>
        </w:tc>
      </w:tr>
      <w:tr w14:paraId="262C7B2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03E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EC1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380.03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9BF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E29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135.69</w:t>
            </w:r>
            <w:r>
              <w:rPr>
                <w:rFonts w:ascii="Times New Roman" w:hAnsi="Times New Roman"/>
                <w:b/>
                <w:color w:val="000000"/>
                <w:sz w:val="20"/>
                <w:u w:color="auto"/>
              </w:rPr>
              <w:t xml:space="preserve"> </w:t>
            </w:r>
          </w:p>
        </w:tc>
      </w:tr>
      <w:tr w14:paraId="0E2E8F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55A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0128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5DB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FD9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654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59F8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3E7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E04C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BCE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DF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716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3A4D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6057">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C76F">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B0C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65B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35E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D70A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5E0D">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0625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C1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C91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C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2BEB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DD6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4714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151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D28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00B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CD03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C15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57EA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B61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D23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E71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B296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10C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325E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70C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7E9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873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10CD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2B32">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32B9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24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D80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0E9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B0AC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A11B">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BCB1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B57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A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A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10F5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0DA9">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A9A1E">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6DA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410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5DD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135.69</w:t>
            </w:r>
            <w:r>
              <w:rPr>
                <w:rFonts w:ascii="Times New Roman" w:hAnsi="Times New Roman"/>
                <w:b/>
                <w:color w:val="000000"/>
                <w:sz w:val="20"/>
                <w:u w:color="auto"/>
              </w:rPr>
              <w:t xml:space="preserve"> </w:t>
            </w:r>
          </w:p>
        </w:tc>
      </w:tr>
      <w:tr w14:paraId="1FBFF8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7486">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BD9F6">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C95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C11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6E7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135.69</w:t>
            </w:r>
            <w:r>
              <w:rPr>
                <w:rFonts w:ascii="Times New Roman" w:hAnsi="Times New Roman"/>
                <w:b/>
                <w:color w:val="000000"/>
                <w:sz w:val="20"/>
                <w:u w:color="auto"/>
              </w:rPr>
              <w:t xml:space="preserve"> </w:t>
            </w:r>
          </w:p>
        </w:tc>
      </w:tr>
      <w:tr w14:paraId="315323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03B2">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58005">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3F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B7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9B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14:paraId="06B850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36FF">
            <w:pPr>
              <w:textAlignment w:val="center"/>
              <w:rPr>
                <w:rFonts w:hint="default" w:cs="宋体"/>
                <w:color w:val="000000"/>
                <w:sz w:val="20"/>
                <w:szCs w:val="20"/>
              </w:rPr>
            </w:pPr>
            <w:r>
              <w:rPr>
                <w:rFonts w:cs="宋体"/>
                <w:color w:val="000000"/>
                <w:sz w:val="20"/>
                <w:szCs w:val="20"/>
              </w:rPr>
              <w:t>2140199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2EB0C">
            <w:pPr>
              <w:textAlignment w:val="center"/>
              <w:rPr>
                <w:rFonts w:hint="default" w:cs="宋体"/>
                <w:color w:val="000000"/>
                <w:sz w:val="20"/>
                <w:szCs w:val="20"/>
              </w:rPr>
            </w:pPr>
            <w:r>
              <w:rPr>
                <w:rFonts w:cs="宋体"/>
                <w:color w:val="000000"/>
                <w:sz w:val="20"/>
                <w:szCs w:val="20"/>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770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9EB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98D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105.69</w:t>
            </w:r>
            <w:r>
              <w:rPr>
                <w:rFonts w:ascii="Times New Roman" w:hAnsi="Times New Roman"/>
                <w:color w:val="000000"/>
                <w:sz w:val="20"/>
                <w:u w:color="auto"/>
              </w:rPr>
              <w:t xml:space="preserve"> </w:t>
            </w:r>
          </w:p>
        </w:tc>
      </w:tr>
      <w:tr w14:paraId="4798C7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A25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2BF6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485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9DE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3BC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4F74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1F7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40114">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89B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325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969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088C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9F3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689F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4B5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D42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901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D4B37D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305E8D6">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60FBD6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0D493A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836A04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0AFE2B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丰都县交通工程质量服务中心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3422A7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770DF2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2A09AB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EB135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E6035D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A2D3CE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28F08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4A4B1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7997AD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2FF40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07575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CA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408E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CC8D7E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B6A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84C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386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4D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5EE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232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38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925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203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78BEB9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E1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B22C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259B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DC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72E9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6CFB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FA6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8D0D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76B7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362C3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B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F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2C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8E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A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D5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D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4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98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632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3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6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B5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0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3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16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42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E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FF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77C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83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0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78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F5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0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ED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2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CE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8A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DAB0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C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5B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6F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D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8A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BD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B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4C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5F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3E1A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6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10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10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B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AE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16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20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4B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7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212E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C8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11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13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2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00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A2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6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5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E6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21D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D2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35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5D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A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1C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05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AE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F3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99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8C3C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1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B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8F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4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DB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91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3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5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FE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A596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F1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A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18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1C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59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58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8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A5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07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74F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71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E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BA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F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49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5C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F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C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B4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BC3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A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F3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F1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C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F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01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5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A4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54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7BE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76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DD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9B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C7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23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06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9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8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5E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FA8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14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89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B5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16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EA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B4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FF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D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8B6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A79E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8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1E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70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A1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C5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3A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B4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29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70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A613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B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14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D1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E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B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D3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5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1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42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2BD4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6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9A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E6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4D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AF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EA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0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BB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7E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7CE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E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4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47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4C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AF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E7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A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03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65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729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B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4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05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9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3E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18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3B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C1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AD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E36F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B2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DD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CF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17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C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35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9E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3D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32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0926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75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A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AD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A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03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E4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6C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0D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A7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994C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D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75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7A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1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7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9A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1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3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7B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81E4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C0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B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DD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16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8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75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D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25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C3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9366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E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E8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C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1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B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D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5B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6B7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6D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9EB6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B1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0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60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E9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EF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C2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16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5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C7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095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AB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59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18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D9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3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1A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A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9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DA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C9F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C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5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7A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5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4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45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4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D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36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E722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6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9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FA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33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18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CB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1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26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DB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E749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23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1B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08E2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7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F6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72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8F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99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C6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F07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4E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3D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4A1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1F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B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D2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53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AB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C0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6DCD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A8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60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AF86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6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5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EC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A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C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2A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E8A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0A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94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878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0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C1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FA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2A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A0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C1F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B9A2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C0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C6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258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2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6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69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24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B3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9DE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9A9A1F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CE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34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562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66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B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4D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4B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A9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B74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AF9E2E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8AF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9B54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225.39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6B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8C1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18.95</w:t>
            </w:r>
            <w:r>
              <w:rPr>
                <w:rFonts w:ascii="Times New Roman" w:hAnsi="Times New Roman"/>
                <w:color w:val="000000"/>
                <w:sz w:val="18"/>
                <w:u w:color="auto"/>
              </w:rPr>
              <w:t xml:space="preserve"> </w:t>
            </w:r>
          </w:p>
        </w:tc>
      </w:tr>
    </w:tbl>
    <w:p w14:paraId="745C122C">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5774C5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306060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26E26F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2E6218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丰都县交通工程质量服务中心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7BE799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FAC6F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7748A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5212F4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A7913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9D343E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191212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B4FD5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716D5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00850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FDF5CE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2D72A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96DE2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635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92BC7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979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6A072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DB91A">
            <w:pPr>
              <w:jc w:val="center"/>
              <w:textAlignment w:val="center"/>
              <w:rPr>
                <w:rFonts w:hint="default" w:cs="宋体"/>
                <w:b/>
                <w:color w:val="000000"/>
                <w:sz w:val="20"/>
                <w:szCs w:val="20"/>
              </w:rPr>
            </w:pPr>
            <w:r>
              <w:rPr>
                <w:rFonts w:cs="宋体"/>
                <w:b/>
                <w:color w:val="000000"/>
                <w:sz w:val="20"/>
                <w:szCs w:val="20"/>
              </w:rPr>
              <w:t>年末结转和结余</w:t>
            </w:r>
          </w:p>
        </w:tc>
      </w:tr>
      <w:tr w14:paraId="77BA031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8E54">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8135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1D583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27D2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41303">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0BEC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B722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442E">
            <w:pPr>
              <w:jc w:val="center"/>
              <w:rPr>
                <w:rFonts w:hint="default" w:cs="宋体"/>
                <w:b/>
                <w:color w:val="000000"/>
                <w:sz w:val="20"/>
                <w:szCs w:val="20"/>
              </w:rPr>
            </w:pPr>
          </w:p>
        </w:tc>
      </w:tr>
      <w:tr w14:paraId="40E56F1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B0B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6C6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D7996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7CD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D0A8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3717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57CC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090EB">
            <w:pPr>
              <w:jc w:val="center"/>
              <w:rPr>
                <w:rFonts w:hint="default" w:cs="宋体"/>
                <w:b/>
                <w:color w:val="000000"/>
                <w:sz w:val="20"/>
                <w:szCs w:val="20"/>
              </w:rPr>
            </w:pPr>
          </w:p>
        </w:tc>
      </w:tr>
      <w:tr w14:paraId="5E71453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F8A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1CAC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FA1F2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BE61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E921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7CEB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AF97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73B3">
            <w:pPr>
              <w:jc w:val="center"/>
              <w:rPr>
                <w:rFonts w:hint="default" w:cs="宋体"/>
                <w:b/>
                <w:color w:val="000000"/>
                <w:sz w:val="20"/>
                <w:szCs w:val="20"/>
              </w:rPr>
            </w:pPr>
          </w:p>
        </w:tc>
      </w:tr>
      <w:tr w14:paraId="1121F1D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C2B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6ED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851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C89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93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C6B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F0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5C81C3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23F9">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52D4">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98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F7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085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F89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742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345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8EE0144">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14:paraId="73EDE87C">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ECC386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C23BB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E9539D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F696D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丰都县交通工程质量服务中心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1829B8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38FFA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0773C4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26BCF9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F343CF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E0074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288F3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A41C38">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C4824">
            <w:pPr>
              <w:jc w:val="center"/>
              <w:textAlignment w:val="bottom"/>
              <w:rPr>
                <w:rFonts w:hint="default" w:cs="宋体"/>
                <w:b/>
                <w:color w:val="000000"/>
                <w:sz w:val="20"/>
                <w:szCs w:val="20"/>
              </w:rPr>
            </w:pPr>
            <w:r>
              <w:rPr>
                <w:rFonts w:cs="宋体"/>
                <w:b/>
                <w:color w:val="000000"/>
                <w:sz w:val="20"/>
                <w:szCs w:val="20"/>
              </w:rPr>
              <w:t>本年支出</w:t>
            </w:r>
          </w:p>
        </w:tc>
      </w:tr>
      <w:tr w14:paraId="3FC27CF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F521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EAF3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3CFA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BFE1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13519">
            <w:pPr>
              <w:jc w:val="center"/>
              <w:textAlignment w:val="center"/>
              <w:rPr>
                <w:rFonts w:hint="default" w:cs="宋体"/>
                <w:b/>
                <w:color w:val="000000"/>
                <w:sz w:val="20"/>
                <w:szCs w:val="20"/>
              </w:rPr>
            </w:pPr>
            <w:r>
              <w:rPr>
                <w:rFonts w:cs="宋体"/>
                <w:b/>
                <w:color w:val="000000"/>
                <w:sz w:val="20"/>
                <w:szCs w:val="20"/>
              </w:rPr>
              <w:t>项目支出</w:t>
            </w:r>
          </w:p>
        </w:tc>
      </w:tr>
      <w:tr w14:paraId="3166926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EC12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5DC2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C770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78C2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DB83A">
            <w:pPr>
              <w:jc w:val="center"/>
              <w:rPr>
                <w:rFonts w:hint="default" w:cs="宋体"/>
                <w:b/>
                <w:color w:val="000000"/>
                <w:sz w:val="20"/>
                <w:szCs w:val="20"/>
              </w:rPr>
            </w:pPr>
          </w:p>
        </w:tc>
      </w:tr>
      <w:tr w14:paraId="3B7D75C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DFE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89AA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16C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2DD1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52AF9">
            <w:pPr>
              <w:jc w:val="center"/>
              <w:rPr>
                <w:rFonts w:hint="default" w:cs="宋体"/>
                <w:b/>
                <w:color w:val="000000"/>
                <w:sz w:val="20"/>
                <w:szCs w:val="20"/>
              </w:rPr>
            </w:pPr>
          </w:p>
        </w:tc>
      </w:tr>
      <w:tr w14:paraId="330287D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DF4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6DFC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5FB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A79F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621A1">
            <w:pPr>
              <w:jc w:val="center"/>
              <w:rPr>
                <w:rFonts w:hint="default" w:cs="宋体"/>
                <w:b/>
                <w:color w:val="000000"/>
                <w:sz w:val="20"/>
                <w:szCs w:val="20"/>
              </w:rPr>
            </w:pPr>
          </w:p>
        </w:tc>
      </w:tr>
      <w:tr w14:paraId="46FD763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814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405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1B4A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9D5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A05CC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00F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DD64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88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C1AE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E2C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151C5B0">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14:paraId="59F929DA">
      <w:pPr>
        <w:rPr>
          <w:rFonts w:hint="default" w:cs="宋体"/>
          <w:sz w:val="21"/>
          <w:szCs w:val="21"/>
        </w:rPr>
      </w:pPr>
      <w:r>
        <w:rPr>
          <w:rFonts w:hint="default" w:cs="宋体"/>
          <w:sz w:val="21"/>
          <w:szCs w:val="21"/>
        </w:rPr>
        <w:br w:type="page"/>
      </w:r>
    </w:p>
    <w:tbl>
      <w:tblPr>
        <w:tblStyle w:val="10"/>
        <w:tblW w:w="4907" w:type="pct"/>
        <w:tblInd w:w="0" w:type="dxa"/>
        <w:tblLayout w:type="fixed"/>
        <w:tblCellMar>
          <w:top w:w="0" w:type="dxa"/>
          <w:left w:w="170" w:type="dxa"/>
          <w:bottom w:w="0" w:type="dxa"/>
          <w:right w:w="170" w:type="dxa"/>
        </w:tblCellMar>
      </w:tblPr>
      <w:tblGrid>
        <w:gridCol w:w="3375"/>
        <w:gridCol w:w="2560"/>
        <w:gridCol w:w="2520"/>
        <w:gridCol w:w="3894"/>
        <w:gridCol w:w="2687"/>
      </w:tblGrid>
      <w:tr w14:paraId="1F10CB18">
        <w:tblPrEx>
          <w:tblCellMar>
            <w:top w:w="0" w:type="dxa"/>
            <w:left w:w="170" w:type="dxa"/>
            <w:bottom w:w="0" w:type="dxa"/>
            <w:right w:w="170" w:type="dxa"/>
          </w:tblCellMar>
        </w:tblPrEx>
        <w:trPr>
          <w:trHeight w:val="398" w:hRule="atLeast"/>
        </w:trPr>
        <w:tc>
          <w:tcPr>
            <w:tcW w:w="5000" w:type="pct"/>
            <w:gridSpan w:val="5"/>
            <w:shd w:val="clear" w:color="auto" w:fill="auto"/>
            <w:noWrap/>
            <w:tcMar>
              <w:top w:w="15" w:type="dxa"/>
              <w:left w:w="15" w:type="dxa"/>
              <w:right w:w="15" w:type="dxa"/>
            </w:tcMar>
            <w:vAlign w:val="bottom"/>
          </w:tcPr>
          <w:p w14:paraId="7941A37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A7494D0">
        <w:tblPrEx>
          <w:tblCellMar>
            <w:top w:w="0" w:type="dxa"/>
            <w:left w:w="170" w:type="dxa"/>
            <w:bottom w:w="0" w:type="dxa"/>
            <w:right w:w="170" w:type="dxa"/>
          </w:tblCellMar>
        </w:tblPrEx>
        <w:trPr>
          <w:trHeight w:val="290" w:hRule="atLeast"/>
        </w:trPr>
        <w:tc>
          <w:tcPr>
            <w:tcW w:w="1122" w:type="pct"/>
            <w:shd w:val="clear" w:color="auto" w:fill="auto"/>
            <w:noWrap/>
            <w:tcMar>
              <w:top w:w="15" w:type="dxa"/>
              <w:left w:w="15" w:type="dxa"/>
              <w:right w:w="15" w:type="dxa"/>
            </w:tcMar>
            <w:vAlign w:val="bottom"/>
          </w:tcPr>
          <w:p w14:paraId="339349E9">
            <w:pPr>
              <w:spacing w:line="280" w:lineRule="exact"/>
              <w:rPr>
                <w:rFonts w:hint="default" w:cs="宋体"/>
                <w:color w:val="000000"/>
                <w:kern w:val="2"/>
                <w:sz w:val="20"/>
                <w:szCs w:val="20"/>
              </w:rPr>
            </w:pPr>
          </w:p>
        </w:tc>
        <w:tc>
          <w:tcPr>
            <w:tcW w:w="851" w:type="pct"/>
            <w:shd w:val="clear" w:color="auto" w:fill="auto"/>
            <w:noWrap/>
            <w:tcMar>
              <w:top w:w="15" w:type="dxa"/>
              <w:left w:w="15" w:type="dxa"/>
              <w:right w:w="15" w:type="dxa"/>
            </w:tcMar>
            <w:vAlign w:val="bottom"/>
          </w:tcPr>
          <w:p w14:paraId="1A27F3D6">
            <w:pPr>
              <w:spacing w:line="280" w:lineRule="exact"/>
              <w:jc w:val="center"/>
              <w:rPr>
                <w:rFonts w:hint="default" w:cs="宋体"/>
                <w:color w:val="000000"/>
                <w:kern w:val="2"/>
                <w:sz w:val="20"/>
                <w:szCs w:val="20"/>
              </w:rPr>
            </w:pPr>
          </w:p>
        </w:tc>
        <w:tc>
          <w:tcPr>
            <w:tcW w:w="838" w:type="pct"/>
            <w:shd w:val="clear" w:color="auto" w:fill="auto"/>
            <w:noWrap/>
            <w:tcMar>
              <w:top w:w="15" w:type="dxa"/>
              <w:left w:w="15" w:type="dxa"/>
              <w:right w:w="15" w:type="dxa"/>
            </w:tcMar>
            <w:vAlign w:val="bottom"/>
          </w:tcPr>
          <w:p w14:paraId="5C6A3F40">
            <w:pPr>
              <w:spacing w:line="280" w:lineRule="exact"/>
              <w:jc w:val="right"/>
              <w:rPr>
                <w:rFonts w:hint="default" w:cs="宋体"/>
                <w:color w:val="000000"/>
                <w:kern w:val="2"/>
                <w:sz w:val="20"/>
                <w:szCs w:val="20"/>
              </w:rPr>
            </w:pPr>
          </w:p>
        </w:tc>
        <w:tc>
          <w:tcPr>
            <w:tcW w:w="1294" w:type="pct"/>
            <w:shd w:val="clear" w:color="auto" w:fill="auto"/>
            <w:noWrap/>
            <w:tcMar>
              <w:top w:w="15" w:type="dxa"/>
              <w:left w:w="15" w:type="dxa"/>
              <w:right w:w="15" w:type="dxa"/>
            </w:tcMar>
            <w:vAlign w:val="bottom"/>
          </w:tcPr>
          <w:p w14:paraId="1791B6C1">
            <w:pPr>
              <w:spacing w:line="280" w:lineRule="exact"/>
              <w:rPr>
                <w:rFonts w:hint="default" w:cs="宋体"/>
                <w:color w:val="000000"/>
                <w:kern w:val="2"/>
                <w:sz w:val="20"/>
                <w:szCs w:val="20"/>
              </w:rPr>
            </w:pPr>
          </w:p>
        </w:tc>
        <w:tc>
          <w:tcPr>
            <w:tcW w:w="893" w:type="pct"/>
            <w:shd w:val="clear" w:color="auto" w:fill="auto"/>
            <w:noWrap/>
            <w:tcMar>
              <w:top w:w="15" w:type="dxa"/>
              <w:left w:w="15" w:type="dxa"/>
              <w:right w:w="15" w:type="dxa"/>
            </w:tcMar>
            <w:vAlign w:val="bottom"/>
          </w:tcPr>
          <w:p w14:paraId="65AD61D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09B84B9">
        <w:tblPrEx>
          <w:tblCellMar>
            <w:top w:w="0" w:type="dxa"/>
            <w:left w:w="170" w:type="dxa"/>
            <w:bottom w:w="0" w:type="dxa"/>
            <w:right w:w="170" w:type="dxa"/>
          </w:tblCellMar>
        </w:tblPrEx>
        <w:trPr>
          <w:trHeight w:val="290" w:hRule="atLeast"/>
        </w:trPr>
        <w:tc>
          <w:tcPr>
            <w:tcW w:w="1973"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48E17C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丰都县交通工程质量服务中心</w:t>
            </w:r>
          </w:p>
        </w:tc>
        <w:tc>
          <w:tcPr>
            <w:tcW w:w="838" w:type="pct"/>
            <w:tcBorders>
              <w:top w:val="nil"/>
              <w:left w:val="nil"/>
              <w:bottom w:val="single" w:color="auto" w:sz="4" w:space="0"/>
              <w:right w:val="nil"/>
            </w:tcBorders>
            <w:shd w:val="clear" w:color="auto" w:fill="auto"/>
            <w:noWrap/>
            <w:tcMar>
              <w:top w:w="15" w:type="dxa"/>
              <w:left w:w="15" w:type="dxa"/>
              <w:right w:w="15" w:type="dxa"/>
            </w:tcMar>
            <w:vAlign w:val="bottom"/>
          </w:tcPr>
          <w:p w14:paraId="2D7B1382">
            <w:pPr>
              <w:spacing w:line="280" w:lineRule="exact"/>
              <w:jc w:val="right"/>
              <w:rPr>
                <w:rFonts w:hint="default" w:cs="宋体"/>
                <w:color w:val="000000"/>
                <w:kern w:val="2"/>
                <w:sz w:val="20"/>
                <w:szCs w:val="20"/>
              </w:rPr>
            </w:pPr>
          </w:p>
        </w:tc>
        <w:tc>
          <w:tcPr>
            <w:tcW w:w="1294" w:type="pct"/>
            <w:tcBorders>
              <w:top w:val="nil"/>
              <w:left w:val="nil"/>
              <w:bottom w:val="single" w:color="auto" w:sz="4" w:space="0"/>
              <w:right w:val="nil"/>
            </w:tcBorders>
            <w:shd w:val="clear" w:color="auto" w:fill="auto"/>
            <w:noWrap/>
            <w:tcMar>
              <w:top w:w="15" w:type="dxa"/>
              <w:left w:w="15" w:type="dxa"/>
              <w:right w:w="15" w:type="dxa"/>
            </w:tcMar>
            <w:vAlign w:val="bottom"/>
          </w:tcPr>
          <w:p w14:paraId="4AEF7E31">
            <w:pPr>
              <w:spacing w:line="280" w:lineRule="exact"/>
              <w:rPr>
                <w:rFonts w:hint="default" w:cs="宋体"/>
                <w:color w:val="000000"/>
                <w:kern w:val="2"/>
                <w:sz w:val="20"/>
                <w:szCs w:val="20"/>
              </w:rPr>
            </w:pPr>
          </w:p>
        </w:tc>
        <w:tc>
          <w:tcPr>
            <w:tcW w:w="893" w:type="pct"/>
            <w:tcBorders>
              <w:top w:val="nil"/>
              <w:left w:val="nil"/>
              <w:bottom w:val="single" w:color="auto" w:sz="4" w:space="0"/>
              <w:right w:val="nil"/>
            </w:tcBorders>
            <w:shd w:val="clear" w:color="auto" w:fill="auto"/>
            <w:noWrap/>
            <w:tcMar>
              <w:top w:w="15" w:type="dxa"/>
              <w:left w:w="15" w:type="dxa"/>
              <w:right w:w="15" w:type="dxa"/>
            </w:tcMar>
            <w:vAlign w:val="bottom"/>
          </w:tcPr>
          <w:p w14:paraId="431A176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D6065D9">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213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13A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579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CC2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63A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E50FC25">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AB6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4A3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610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6E4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ABC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463D2">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3FE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DAA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8B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033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B58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251187">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FDD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749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CC9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36A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BD0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3B1C2">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5AF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284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5CC1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BC4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A82C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56A816F">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95A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E6C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0B9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7F7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10C6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A56C63D">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CA1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948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D9F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41B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88D2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97621">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719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5A2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14F1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8E8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E3C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805303">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B81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5C6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2C68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F25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2A5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83B1C">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F22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35D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2BB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999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2DD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1702C4">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C1A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915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300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CD2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5FB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3DC5F7">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014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818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64BC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F07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A76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1C4C495">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94D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203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97B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D8F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FC4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FF35E">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19F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7B9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2F3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6AD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958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2D18F1">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D1D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F06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429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20B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07C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A15B75">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D93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2F8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DBF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9F9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E0A6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96362EE">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8A1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76D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FBA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D5E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6B9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A7AD53">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711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190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69C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EF3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CB5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407C90">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6B7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23E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7F4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2EA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D27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0BEECD">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788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774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02B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749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BCE2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1AF9A2">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AAB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71A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634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DCB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D01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1BD2F">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38D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E05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C85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174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7D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8341CD">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D20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82B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714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FA89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1DCB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5807136">
        <w:tblPrEx>
          <w:tblCellMar>
            <w:top w:w="0" w:type="dxa"/>
            <w:left w:w="170" w:type="dxa"/>
            <w:bottom w:w="0" w:type="dxa"/>
            <w:right w:w="170" w:type="dxa"/>
          </w:tblCellMar>
        </w:tblPrEx>
        <w:trPr>
          <w:trHeight w:val="316"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2D5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98D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06D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E39E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B623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E394FB6">
        <w:tblPrEx>
          <w:tblCellMar>
            <w:top w:w="0" w:type="dxa"/>
            <w:left w:w="170" w:type="dxa"/>
            <w:bottom w:w="0" w:type="dxa"/>
            <w:right w:w="170" w:type="dxa"/>
          </w:tblCellMar>
        </w:tblPrEx>
        <w:trPr>
          <w:trHeight w:val="343" w:hRule="atLeast"/>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ECC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A7F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6C4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32D5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B1B5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5C51FAD">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4D4E2890">
      <w:pPr>
        <w:pStyle w:val="2"/>
        <w:rPr>
          <w:rFonts w:hint="eastAsia"/>
          <w:lang w:val="en-US" w:eastAsia="zh-CN"/>
        </w:rPr>
      </w:pPr>
    </w:p>
    <w:p w14:paraId="00BA38B9">
      <w:pPr>
        <w:pStyle w:val="2"/>
        <w:rPr>
          <w:rFonts w:hint="eastAsia"/>
          <w:lang w:val="en-US" w:eastAsia="zh-CN"/>
        </w:rPr>
      </w:pPr>
    </w:p>
    <w:p w14:paraId="23DAD778">
      <w:pPr>
        <w:rPr>
          <w:rFonts w:hint="default"/>
          <w:sz w:val="18"/>
          <w:szCs w:val="18"/>
        </w:rPr>
      </w:pP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A5D5">
    <w:pPr>
      <w:pStyle w:val="6"/>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v:imagedata o:title=""/>
          <o:lock v:ext="edit" aspectratio="f"/>
          <v:textbox inset="0mm,0mm,0mm,0mm" style="mso-fit-shape-to-text:t;">
            <w:txbxContent>
              <w:p w14:paraId="038B54DB">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8599">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C05BCC3">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AC2F">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E25141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41B0AAD">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29CD">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5AB49"/>
    <w:multiLevelType w:val="singleLevel"/>
    <w:tmpl w:val="BB25AB49"/>
    <w:lvl w:ilvl="0" w:tentative="0">
      <w:start w:val="2"/>
      <w:numFmt w:val="chineseCounting"/>
      <w:suff w:val="nothing"/>
      <w:lvlText w:val="（%1）"/>
      <w:lvlJc w:val="left"/>
      <w:rPr>
        <w:rFonts w:hint="eastAsia"/>
      </w:rPr>
    </w:lvl>
  </w:abstractNum>
  <w:abstractNum w:abstractNumId="1">
    <w:nsid w:val="7B26AA6B"/>
    <w:multiLevelType w:val="singleLevel"/>
    <w:tmpl w:val="7B26AA6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C476E"/>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FE7AA3"/>
    <w:rsid w:val="0F836721"/>
    <w:rsid w:val="0FA25D96"/>
    <w:rsid w:val="107B59E5"/>
    <w:rsid w:val="10EC0126"/>
    <w:rsid w:val="10F70B9A"/>
    <w:rsid w:val="111445C7"/>
    <w:rsid w:val="114278C6"/>
    <w:rsid w:val="1158083A"/>
    <w:rsid w:val="11643A4B"/>
    <w:rsid w:val="11A61B2E"/>
    <w:rsid w:val="11ED0F98"/>
    <w:rsid w:val="11F03528"/>
    <w:rsid w:val="12C921C4"/>
    <w:rsid w:val="13871C70"/>
    <w:rsid w:val="13A71CB4"/>
    <w:rsid w:val="13AF1D43"/>
    <w:rsid w:val="13CE1647"/>
    <w:rsid w:val="13FD55AB"/>
    <w:rsid w:val="14200702"/>
    <w:rsid w:val="14370EA1"/>
    <w:rsid w:val="155B515D"/>
    <w:rsid w:val="163A6CEE"/>
    <w:rsid w:val="173708E3"/>
    <w:rsid w:val="17C374FC"/>
    <w:rsid w:val="182E4AB6"/>
    <w:rsid w:val="186E164B"/>
    <w:rsid w:val="189079DC"/>
    <w:rsid w:val="189B0D0B"/>
    <w:rsid w:val="18B43F7C"/>
    <w:rsid w:val="191C433B"/>
    <w:rsid w:val="194A1770"/>
    <w:rsid w:val="19B906A4"/>
    <w:rsid w:val="19D13C3F"/>
    <w:rsid w:val="1B6F15B6"/>
    <w:rsid w:val="1BAA2EDC"/>
    <w:rsid w:val="1CA55E64"/>
    <w:rsid w:val="1D014A01"/>
    <w:rsid w:val="1D022362"/>
    <w:rsid w:val="1D1B04B0"/>
    <w:rsid w:val="1DA52501"/>
    <w:rsid w:val="1DBD6767"/>
    <w:rsid w:val="1DC52125"/>
    <w:rsid w:val="1DD26311"/>
    <w:rsid w:val="1E043040"/>
    <w:rsid w:val="1E374ACB"/>
    <w:rsid w:val="1ECF0A66"/>
    <w:rsid w:val="1EF67CA4"/>
    <w:rsid w:val="1F020D3A"/>
    <w:rsid w:val="1F2C5189"/>
    <w:rsid w:val="1F4B0B02"/>
    <w:rsid w:val="1FBB35CD"/>
    <w:rsid w:val="1FCD26AF"/>
    <w:rsid w:val="20592BE1"/>
    <w:rsid w:val="20642787"/>
    <w:rsid w:val="21556F04"/>
    <w:rsid w:val="222E324D"/>
    <w:rsid w:val="22403BD3"/>
    <w:rsid w:val="22AD3177"/>
    <w:rsid w:val="235417B6"/>
    <w:rsid w:val="24B92327"/>
    <w:rsid w:val="24C14514"/>
    <w:rsid w:val="2533755C"/>
    <w:rsid w:val="25791755"/>
    <w:rsid w:val="25F7090E"/>
    <w:rsid w:val="26396DF4"/>
    <w:rsid w:val="27167136"/>
    <w:rsid w:val="271B442C"/>
    <w:rsid w:val="27B23302"/>
    <w:rsid w:val="28B430AA"/>
    <w:rsid w:val="29310A5F"/>
    <w:rsid w:val="29C37A35"/>
    <w:rsid w:val="2A076083"/>
    <w:rsid w:val="2A287736"/>
    <w:rsid w:val="2A73162E"/>
    <w:rsid w:val="2B167953"/>
    <w:rsid w:val="2B200583"/>
    <w:rsid w:val="2B2729C0"/>
    <w:rsid w:val="2B8209DE"/>
    <w:rsid w:val="2B821C91"/>
    <w:rsid w:val="2BF81A22"/>
    <w:rsid w:val="2C636760"/>
    <w:rsid w:val="2C6762A3"/>
    <w:rsid w:val="2E127282"/>
    <w:rsid w:val="2FCA4B37"/>
    <w:rsid w:val="2FE029D7"/>
    <w:rsid w:val="2FF06E00"/>
    <w:rsid w:val="3026446D"/>
    <w:rsid w:val="30586FEC"/>
    <w:rsid w:val="30A77050"/>
    <w:rsid w:val="315F0B22"/>
    <w:rsid w:val="31692558"/>
    <w:rsid w:val="316A69FC"/>
    <w:rsid w:val="31A15828"/>
    <w:rsid w:val="31D84415"/>
    <w:rsid w:val="31E83DC4"/>
    <w:rsid w:val="32285F6F"/>
    <w:rsid w:val="32770556"/>
    <w:rsid w:val="329C0913"/>
    <w:rsid w:val="32A64EAD"/>
    <w:rsid w:val="32AA0460"/>
    <w:rsid w:val="3337290D"/>
    <w:rsid w:val="33E31118"/>
    <w:rsid w:val="33EF7674"/>
    <w:rsid w:val="342D7BC6"/>
    <w:rsid w:val="352930DB"/>
    <w:rsid w:val="35573069"/>
    <w:rsid w:val="355F6038"/>
    <w:rsid w:val="358C217E"/>
    <w:rsid w:val="36C9128A"/>
    <w:rsid w:val="373728C3"/>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B555FD"/>
    <w:rsid w:val="42E86A87"/>
    <w:rsid w:val="43307B09"/>
    <w:rsid w:val="43427F8D"/>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DE447F0"/>
    <w:rsid w:val="4EA02117"/>
    <w:rsid w:val="4EFD467F"/>
    <w:rsid w:val="4F0C6BA3"/>
    <w:rsid w:val="4F186D58"/>
    <w:rsid w:val="4FFE7F08"/>
    <w:rsid w:val="504A7AE2"/>
    <w:rsid w:val="504B6EAA"/>
    <w:rsid w:val="50BB18DE"/>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4364AD"/>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E3588B"/>
    <w:rsid w:val="62944DD7"/>
    <w:rsid w:val="6319381F"/>
    <w:rsid w:val="632D41A1"/>
    <w:rsid w:val="63440EE3"/>
    <w:rsid w:val="63C25DC5"/>
    <w:rsid w:val="63C62057"/>
    <w:rsid w:val="64571EF5"/>
    <w:rsid w:val="64FB113D"/>
    <w:rsid w:val="656152C6"/>
    <w:rsid w:val="6587477F"/>
    <w:rsid w:val="658C3A08"/>
    <w:rsid w:val="65C031CA"/>
    <w:rsid w:val="65CE6852"/>
    <w:rsid w:val="66267C04"/>
    <w:rsid w:val="663F505A"/>
    <w:rsid w:val="666C2D2F"/>
    <w:rsid w:val="66AF5D7C"/>
    <w:rsid w:val="66EE5541"/>
    <w:rsid w:val="675D0908"/>
    <w:rsid w:val="67924660"/>
    <w:rsid w:val="68407834"/>
    <w:rsid w:val="6883293E"/>
    <w:rsid w:val="688412AD"/>
    <w:rsid w:val="68EB1B71"/>
    <w:rsid w:val="696C0310"/>
    <w:rsid w:val="6A6C7940"/>
    <w:rsid w:val="6A9F1565"/>
    <w:rsid w:val="6AAD2300"/>
    <w:rsid w:val="6B474EF5"/>
    <w:rsid w:val="6BC938E5"/>
    <w:rsid w:val="6C0A5AC5"/>
    <w:rsid w:val="6C1C4C80"/>
    <w:rsid w:val="6C560CAE"/>
    <w:rsid w:val="6C576495"/>
    <w:rsid w:val="6CCD7863"/>
    <w:rsid w:val="6D903FF5"/>
    <w:rsid w:val="6DA955B8"/>
    <w:rsid w:val="6DE346AB"/>
    <w:rsid w:val="6DE5391A"/>
    <w:rsid w:val="6EFD1324"/>
    <w:rsid w:val="6F5A53AC"/>
    <w:rsid w:val="6FAC003D"/>
    <w:rsid w:val="6FD926BF"/>
    <w:rsid w:val="6FE55E12"/>
    <w:rsid w:val="6FFB2E76"/>
    <w:rsid w:val="70515EB3"/>
    <w:rsid w:val="708F6F7F"/>
    <w:rsid w:val="70D94BD3"/>
    <w:rsid w:val="70F55256"/>
    <w:rsid w:val="71574775"/>
    <w:rsid w:val="71C34D91"/>
    <w:rsid w:val="72243095"/>
    <w:rsid w:val="724A5A0B"/>
    <w:rsid w:val="72DB435C"/>
    <w:rsid w:val="72E2613A"/>
    <w:rsid w:val="72F771F4"/>
    <w:rsid w:val="73934AD2"/>
    <w:rsid w:val="73CE5B43"/>
    <w:rsid w:val="750837F0"/>
    <w:rsid w:val="754758CF"/>
    <w:rsid w:val="75595ECD"/>
    <w:rsid w:val="764F62AB"/>
    <w:rsid w:val="765C45EC"/>
    <w:rsid w:val="768A7619"/>
    <w:rsid w:val="76BD23AB"/>
    <w:rsid w:val="770C083C"/>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5377</Words>
  <Characters>5979</Characters>
  <Lines>186</Lines>
  <Paragraphs>52</Paragraphs>
  <TotalTime>7</TotalTime>
  <ScaleCrop>false</ScaleCrop>
  <LinksUpToDate>false</LinksUpToDate>
  <CharactersWithSpaces>6038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崔不吹</cp:lastModifiedBy>
  <cp:lastPrinted>2025-09-15T02:43:00Z</cp:lastPrinted>
  <dcterms:modified xsi:type="dcterms:W3CDTF">2025-09-16T08:00:03Z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eyJoZGlkIjoiZmQzM2VmMDU3MGVkNDU1YjRhOTM0NjlhYWUyMmMxZDEiLCJ1c2VySWQiOiI2NDc4MTk1NzUifQ==</vt:lpwstr>
  </property>
</Properties>
</file>