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6938A856">
      <w:pPr>
        <w:spacing w:line="600" w:lineRule="exact"/>
        <w:jc w:val="center"/>
        <w:rPr>
          <w:rFonts w:hint="eastAsia" w:ascii="方正小标宋_GBK" w:hAnsi="华文中宋" w:eastAsia="方正小标宋_GBK" w:cs="华文中宋"/>
          <w:sz w:val="44"/>
          <w:szCs w:val="44"/>
          <w:lang w:eastAsia="zh-CN"/>
        </w:rPr>
      </w:pPr>
      <w:r>
        <w:rPr>
          <w:rFonts w:hint="eastAsia" w:ascii="方正小标宋_GBK" w:hAnsi="华文中宋" w:eastAsia="方正小标宋_GBK" w:cs="华文中宋"/>
          <w:sz w:val="44"/>
          <w:szCs w:val="44"/>
          <w:lang w:eastAsia="zh-CN"/>
        </w:rPr>
        <w:t>丰都县港航海事事务中心</w:t>
      </w:r>
    </w:p>
    <w:p w14:paraId="574DF4D5">
      <w:pPr>
        <w:spacing w:line="600" w:lineRule="exact"/>
        <w:jc w:val="center"/>
        <w:rPr>
          <w:rFonts w:hint="eastAsia" w:ascii="方正小标宋_GBK" w:hAnsi="华文中宋" w:eastAsia="方正小标宋_GBK" w:cs="华文中宋"/>
          <w:sz w:val="44"/>
          <w:szCs w:val="44"/>
        </w:rPr>
      </w:pPr>
      <w:r>
        <w:rPr>
          <w:rFonts w:hint="eastAsia" w:ascii="方正小标宋_GBK" w:hAnsi="华文中宋" w:eastAsia="方正小标宋_GBK" w:cs="华文中宋"/>
          <w:sz w:val="44"/>
          <w:szCs w:val="44"/>
        </w:rPr>
        <w:t>2025年部门预算情况说明</w:t>
      </w:r>
    </w:p>
    <w:p w14:paraId="638102D8">
      <w:pPr>
        <w:spacing w:line="600" w:lineRule="exact"/>
        <w:ind w:firstLine="880" w:firstLineChars="200"/>
        <w:jc w:val="center"/>
        <w:rPr>
          <w:rFonts w:hint="eastAsia" w:ascii="方正小标宋_GBK" w:hAnsi="华文中宋" w:eastAsia="方正小标宋_GBK" w:cs="华文中宋"/>
          <w:sz w:val="44"/>
          <w:szCs w:val="44"/>
        </w:rPr>
      </w:pPr>
    </w:p>
    <w:p w14:paraId="75FDFDC6">
      <w:pPr>
        <w:numPr>
          <w:ilvl w:val="0"/>
          <w:numId w:val="1"/>
        </w:numPr>
        <w:spacing w:line="600" w:lineRule="exact"/>
        <w:ind w:firstLine="640" w:firstLineChars="200"/>
        <w:rPr>
          <w:rFonts w:ascii="黑体" w:hAnsi="黑体" w:eastAsia="黑体" w:cs="仿宋_GB2312"/>
          <w:sz w:val="32"/>
        </w:rPr>
      </w:pPr>
      <w:bookmarkStart w:id="0" w:name="_GoBack"/>
      <w:r>
        <w:rPr>
          <w:rFonts w:hint="eastAsia" w:ascii="黑体" w:hAnsi="黑体" w:eastAsia="黑体" w:cs="仿宋_GB2312"/>
          <w:sz w:val="32"/>
        </w:rPr>
        <w:t>单位基本情况</w:t>
      </w:r>
    </w:p>
    <w:p w14:paraId="367BB3D2">
      <w:pPr>
        <w:spacing w:line="600" w:lineRule="exact"/>
        <w:ind w:firstLine="640" w:firstLineChars="200"/>
        <w:rPr>
          <w:rFonts w:hint="eastAsia" w:ascii="方正楷体_GBK" w:hAnsi="仿宋_GB2312" w:eastAsia="方正楷体_GBK" w:cs="仿宋_GB2312"/>
          <w:sz w:val="32"/>
        </w:rPr>
      </w:pPr>
      <w:r>
        <w:rPr>
          <w:rFonts w:hint="eastAsia" w:ascii="方正楷体_GBK" w:hAnsi="仿宋_GB2312" w:eastAsia="方正楷体_GBK" w:cs="仿宋_GB2312"/>
          <w:sz w:val="32"/>
        </w:rPr>
        <w:t>（一）职能职责。</w:t>
      </w:r>
    </w:p>
    <w:p w14:paraId="15ACBC0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lang w:val="en-US" w:eastAsia="zh-CN"/>
        </w:rPr>
        <w:t>1、</w:t>
      </w:r>
      <w:r>
        <w:rPr>
          <w:rFonts w:hint="default" w:ascii="Times New Roman" w:hAnsi="Times New Roman" w:eastAsia="方正仿宋_GBK" w:cs="Times New Roman"/>
          <w:b/>
          <w:bCs/>
          <w:sz w:val="32"/>
        </w:rPr>
        <w:t>宗旨：</w:t>
      </w:r>
      <w:r>
        <w:rPr>
          <w:rFonts w:hint="default" w:ascii="Times New Roman" w:hAnsi="Times New Roman" w:eastAsia="方正仿宋_GBK" w:cs="Times New Roman"/>
          <w:sz w:val="32"/>
          <w:lang w:val="en-US" w:eastAsia="zh-CN"/>
        </w:rPr>
        <w:t>为水路运输业发展服务。</w:t>
      </w:r>
    </w:p>
    <w:p w14:paraId="69842EC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lang w:val="en-US" w:eastAsia="zh-CN"/>
        </w:rPr>
        <w:t>2、</w:t>
      </w:r>
      <w:r>
        <w:rPr>
          <w:rFonts w:hint="default" w:ascii="Times New Roman" w:hAnsi="Times New Roman" w:eastAsia="方正仿宋_GBK" w:cs="Times New Roman"/>
          <w:b/>
          <w:bCs/>
          <w:sz w:val="32"/>
        </w:rPr>
        <w:t>主要职责：</w:t>
      </w:r>
      <w:r>
        <w:rPr>
          <w:rFonts w:hint="default" w:ascii="Times New Roman" w:hAnsi="Times New Roman" w:eastAsia="方正仿宋_GBK" w:cs="Times New Roman"/>
          <w:sz w:val="32"/>
          <w:lang w:val="en-US" w:eastAsia="zh-CN"/>
        </w:rPr>
        <w:t>承担港口、地方航道、水路运输、地方海事等管理的相关辅助性、事务性工作。</w:t>
      </w:r>
    </w:p>
    <w:p w14:paraId="6A8F206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lang w:val="en-US" w:eastAsia="zh-CN"/>
        </w:rPr>
      </w:pPr>
      <w:r>
        <w:rPr>
          <w:rFonts w:hint="default" w:ascii="Times New Roman" w:hAnsi="Times New Roman" w:eastAsia="方正仿宋_GBK" w:cs="Times New Roman"/>
          <w:sz w:val="32"/>
          <w:lang w:val="en-US" w:eastAsia="zh-CN"/>
        </w:rPr>
        <w:t>3、</w:t>
      </w:r>
      <w:r>
        <w:rPr>
          <w:rFonts w:hint="default" w:ascii="Times New Roman" w:hAnsi="Times New Roman" w:eastAsia="方正仿宋_GBK" w:cs="Times New Roman"/>
          <w:b/>
          <w:bCs/>
          <w:sz w:val="32"/>
        </w:rPr>
        <w:t>具体职责任务</w:t>
      </w:r>
      <w:r>
        <w:rPr>
          <w:rFonts w:hint="default" w:ascii="Times New Roman" w:hAnsi="Times New Roman" w:eastAsia="方正仿宋_GBK" w:cs="Times New Roman"/>
          <w:b/>
          <w:bCs/>
          <w:sz w:val="32"/>
          <w:lang w:eastAsia="zh-CN"/>
        </w:rPr>
        <w:t>：</w:t>
      </w:r>
      <w:r>
        <w:rPr>
          <w:rFonts w:hint="default" w:ascii="Times New Roman" w:hAnsi="Times New Roman" w:eastAsia="方正仿宋_GBK" w:cs="Times New Roman"/>
          <w:sz w:val="32"/>
          <w:lang w:val="en-US" w:eastAsia="zh-CN"/>
        </w:rPr>
        <w:t>参与港口、地方航道、水路运输、水上交通安全、地方海事相关政策、制度监督实施工作；承担港口管理的事务工作；承担地方航道管理的事务工作，负责航道、航标、通航建筑物等航道设施的养护管理工作；承担水路运输管理的事务工作；承担地方海事管理、船舶管理、防治船舶及相关水上设施污染管理、船舶载运危险货物及其他货物的安全监督、船员管理、通航管理等方面的事务工作；承担地方水上交通安全的事务工作；参与船舶（含渔船）检验监督管理的服务工作；参与重点物资、应急救援物资和人员、紧急和重要军事物资水路运输的协调工作；承担港航海事政务服务、行业统计的事务工作；完成县交通局交办的其他任务。</w:t>
      </w:r>
    </w:p>
    <w:p w14:paraId="11345CD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楷体_GBK" w:hAnsi="仿宋_GB2312" w:eastAsia="方正楷体_GBK" w:cs="仿宋_GB2312"/>
          <w:sz w:val="32"/>
        </w:rPr>
      </w:pPr>
      <w:r>
        <w:rPr>
          <w:rFonts w:hint="default" w:ascii="Times New Roman" w:hAnsi="Times New Roman" w:eastAsia="方正仿宋_GBK" w:cs="Times New Roman"/>
          <w:sz w:val="32"/>
          <w:lang w:val="en-US" w:eastAsia="zh-CN"/>
        </w:rPr>
        <w:t>以上具体职责任务均属基本公益服务。</w:t>
      </w:r>
    </w:p>
    <w:p w14:paraId="5514F6D9">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rPr>
          <w:rFonts w:hint="eastAsia" w:ascii="方正楷体_GBK" w:hAnsi="仿宋_GB2312" w:eastAsia="方正楷体_GBK" w:cs="仿宋_GB2312"/>
          <w:sz w:val="32"/>
        </w:rPr>
      </w:pPr>
      <w:r>
        <w:rPr>
          <w:rFonts w:hint="eastAsia" w:ascii="方正楷体_GBK" w:hAnsi="仿宋_GB2312" w:eastAsia="方正楷体_GBK" w:cs="仿宋_GB2312"/>
          <w:sz w:val="32"/>
        </w:rPr>
        <w:t>单位构成。</w:t>
      </w:r>
    </w:p>
    <w:p w14:paraId="0B22DDF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lang w:val="en-US" w:eastAsia="zh-CN"/>
        </w:rPr>
      </w:pPr>
      <w:r>
        <w:rPr>
          <w:rFonts w:hint="default" w:ascii="Times New Roman" w:hAnsi="Times New Roman" w:eastAsia="方正仿宋_GBK" w:cs="Times New Roman"/>
          <w:sz w:val="32"/>
          <w:lang w:val="en-US" w:eastAsia="zh-CN"/>
        </w:rPr>
        <w:t>丰都县港航海事事务中心为</w:t>
      </w:r>
      <w:r>
        <w:rPr>
          <w:rFonts w:hint="default" w:ascii="Times New Roman" w:hAnsi="Times New Roman" w:eastAsia="方正仿宋_GBK" w:cs="Times New Roman"/>
          <w:sz w:val="32"/>
          <w:lang w:val="zh-CN" w:eastAsia="zh-CN"/>
        </w:rPr>
        <w:t>丰都县交通局所属</w:t>
      </w:r>
      <w:r>
        <w:rPr>
          <w:rFonts w:hint="default" w:ascii="Times New Roman" w:hAnsi="Times New Roman" w:eastAsia="方正仿宋_GBK" w:cs="Times New Roman"/>
          <w:sz w:val="32"/>
          <w:lang w:val="en-US" w:eastAsia="zh-CN"/>
        </w:rPr>
        <w:t>的</w:t>
      </w:r>
      <w:r>
        <w:rPr>
          <w:rFonts w:hint="default" w:ascii="Times New Roman" w:hAnsi="Times New Roman" w:eastAsia="方正仿宋_GBK" w:cs="Times New Roman"/>
          <w:sz w:val="32"/>
          <w:lang w:val="zh-CN" w:eastAsia="zh-CN"/>
        </w:rPr>
        <w:t>副科</w:t>
      </w:r>
      <w:r>
        <w:rPr>
          <w:rFonts w:hint="default" w:ascii="Times New Roman" w:hAnsi="Times New Roman" w:eastAsia="方正仿宋_GBK" w:cs="Times New Roman"/>
          <w:sz w:val="32"/>
          <w:lang w:val="en-US" w:eastAsia="zh-CN"/>
        </w:rPr>
        <w:t>级财政全额拨款公益</w:t>
      </w:r>
      <w:r>
        <w:rPr>
          <w:rFonts w:hint="default" w:ascii="Times New Roman" w:hAnsi="Times New Roman" w:eastAsia="方正仿宋_GBK" w:cs="Times New Roman"/>
          <w:sz w:val="32"/>
          <w:lang w:val="zh-CN" w:eastAsia="zh-CN"/>
        </w:rPr>
        <w:t>一</w:t>
      </w:r>
      <w:r>
        <w:rPr>
          <w:rFonts w:hint="default" w:ascii="Times New Roman" w:hAnsi="Times New Roman" w:eastAsia="方正仿宋_GBK" w:cs="Times New Roman"/>
          <w:sz w:val="32"/>
          <w:lang w:val="en-US" w:eastAsia="zh-CN"/>
        </w:rPr>
        <w:t>类事业单位，全额事业编制为12名，设主任、副主任各1名。内设综合科、航道养护科、安全海事科、运输科、港口科5个内设机构。其中</w:t>
      </w:r>
      <w:r>
        <w:rPr>
          <w:rFonts w:hint="default" w:ascii="Times New Roman" w:hAnsi="Times New Roman" w:eastAsia="方正仿宋_GBK" w:cs="Times New Roman"/>
          <w:sz w:val="32"/>
          <w:lang w:val="zh-CN" w:eastAsia="zh-CN"/>
        </w:rPr>
        <w:t>内设机构领导职数5名</w:t>
      </w:r>
      <w:r>
        <w:rPr>
          <w:rFonts w:hint="default" w:ascii="Times New Roman" w:hAnsi="Times New Roman" w:eastAsia="方正仿宋_GBK" w:cs="Times New Roman"/>
          <w:sz w:val="32"/>
          <w:lang w:val="en-US" w:eastAsia="zh-CN"/>
        </w:rPr>
        <w:t>（各科设科长1名）。本单位无下级预算单位。</w:t>
      </w:r>
    </w:p>
    <w:p w14:paraId="4904A500">
      <w:pPr>
        <w:numPr>
          <w:ilvl w:val="0"/>
          <w:numId w:val="1"/>
        </w:numPr>
        <w:spacing w:line="600" w:lineRule="exact"/>
        <w:ind w:firstLine="640" w:firstLineChars="200"/>
        <w:rPr>
          <w:rFonts w:ascii="黑体" w:hAnsi="黑体" w:eastAsia="黑体" w:cs="仿宋_GB2312"/>
          <w:sz w:val="32"/>
        </w:rPr>
      </w:pPr>
      <w:r>
        <w:rPr>
          <w:rFonts w:hint="eastAsia" w:ascii="黑体" w:hAnsi="黑体" w:eastAsia="黑体" w:cs="仿宋_GB2312"/>
          <w:sz w:val="32"/>
        </w:rPr>
        <w:t>部门</w:t>
      </w:r>
      <w:r>
        <w:rPr>
          <w:rFonts w:ascii="黑体" w:hAnsi="黑体" w:eastAsia="黑体" w:cs="仿宋_GB2312"/>
          <w:sz w:val="32"/>
        </w:rPr>
        <w:t>收支总体情况</w:t>
      </w:r>
    </w:p>
    <w:p w14:paraId="230C0675">
      <w:pPr>
        <w:spacing w:line="600" w:lineRule="exact"/>
        <w:ind w:firstLine="640" w:firstLineChars="200"/>
        <w:rPr>
          <w:rFonts w:hint="default" w:ascii="Times New Roman" w:hAnsi="Times New Roman" w:eastAsia="方正仿宋_GBK" w:cs="Times New Roman"/>
          <w:sz w:val="32"/>
          <w:lang w:val="en-US" w:eastAsia="zh-CN"/>
        </w:rPr>
      </w:pPr>
      <w:r>
        <w:rPr>
          <w:rFonts w:hint="eastAsia" w:ascii="仿宋_GB2312" w:hAnsi="仿宋_GB2312" w:eastAsia="仿宋_GB2312" w:cs="仿宋_GB2312"/>
          <w:sz w:val="32"/>
        </w:rPr>
        <w:t>（一）</w:t>
      </w:r>
      <w:r>
        <w:rPr>
          <w:rFonts w:hint="eastAsia" w:ascii="方正楷体_GBK" w:hAnsi="仿宋_GB2312" w:eastAsia="方正楷体_GBK" w:cs="仿宋_GB2312"/>
          <w:sz w:val="32"/>
        </w:rPr>
        <w:t>收入预算</w:t>
      </w:r>
      <w:r>
        <w:rPr>
          <w:rFonts w:hint="eastAsia" w:ascii="仿宋_GB2312" w:hAnsi="仿宋_GB2312" w:eastAsia="仿宋_GB2312" w:cs="仿宋_GB2312"/>
          <w:sz w:val="32"/>
        </w:rPr>
        <w:t>：</w:t>
      </w:r>
      <w:r>
        <w:rPr>
          <w:rFonts w:hint="eastAsia" w:ascii="Times New Roman" w:hAnsi="Times New Roman" w:eastAsia="方正仿宋_GBK" w:cs="Times New Roman"/>
          <w:sz w:val="32"/>
          <w:lang w:val="en-US" w:eastAsia="zh-CN"/>
        </w:rPr>
        <w:t>2025年年初预算数1061.17万元，其中：一般公共预算拨款721.54万元，政府性基金预算拨款339.63万元，国有资本经营预算拨款0万元，事业收入0万元，事业单位经营收入0万元，其他收入0万元。收入较去年增加552.45万元，主要是</w:t>
      </w:r>
      <w:r>
        <w:rPr>
          <w:rFonts w:hint="default" w:ascii="Times New Roman" w:hAnsi="Times New Roman" w:eastAsia="方正仿宋_GBK" w:cs="Times New Roman"/>
          <w:sz w:val="32"/>
          <w:lang w:val="en-US" w:eastAsia="zh-CN"/>
        </w:rPr>
        <w:t>基本支出经费收入</w:t>
      </w:r>
      <w:r>
        <w:rPr>
          <w:rFonts w:hint="eastAsia" w:ascii="Times New Roman" w:hAnsi="Times New Roman" w:eastAsia="方正仿宋_GBK" w:cs="Times New Roman"/>
          <w:sz w:val="32"/>
          <w:lang w:val="en-US" w:eastAsia="zh-CN"/>
        </w:rPr>
        <w:t>增加45.85</w:t>
      </w:r>
      <w:r>
        <w:rPr>
          <w:rFonts w:hint="default" w:ascii="Times New Roman" w:hAnsi="Times New Roman" w:eastAsia="方正仿宋_GBK" w:cs="Times New Roman"/>
          <w:sz w:val="32"/>
          <w:lang w:val="en-US" w:eastAsia="zh-CN"/>
        </w:rPr>
        <w:t>万元，项目经费拨款增加</w:t>
      </w:r>
      <w:r>
        <w:rPr>
          <w:rFonts w:hint="eastAsia" w:ascii="Times New Roman" w:hAnsi="Times New Roman" w:eastAsia="方正仿宋_GBK" w:cs="Times New Roman"/>
          <w:sz w:val="32"/>
          <w:lang w:val="en-US" w:eastAsia="zh-CN"/>
        </w:rPr>
        <w:t>166.97</w:t>
      </w:r>
      <w:r>
        <w:rPr>
          <w:rFonts w:hint="default" w:ascii="Times New Roman" w:hAnsi="Times New Roman" w:eastAsia="方正仿宋_GBK" w:cs="Times New Roman"/>
          <w:sz w:val="32"/>
          <w:lang w:val="en-US" w:eastAsia="zh-CN"/>
        </w:rPr>
        <w:t>万元</w:t>
      </w:r>
      <w:r>
        <w:rPr>
          <w:rFonts w:hint="eastAsia" w:ascii="Times New Roman" w:hAnsi="Times New Roman" w:eastAsia="方正仿宋_GBK" w:cs="Times New Roman"/>
          <w:sz w:val="32"/>
          <w:lang w:val="en-US" w:eastAsia="zh-CN"/>
        </w:rPr>
        <w:t>，政府性基金预算拨款增加339.63万元。</w:t>
      </w:r>
    </w:p>
    <w:p w14:paraId="7362B8DF">
      <w:pPr>
        <w:spacing w:line="600" w:lineRule="exact"/>
        <w:ind w:firstLine="640" w:firstLineChars="200"/>
        <w:rPr>
          <w:rFonts w:hint="eastAsia" w:ascii="Times New Roman" w:hAnsi="Times New Roman" w:eastAsia="方正仿宋_GBK" w:cs="Times New Roman"/>
          <w:sz w:val="32"/>
          <w:lang w:val="en-US" w:eastAsia="zh-CN"/>
        </w:rPr>
      </w:pPr>
      <w:r>
        <w:rPr>
          <w:rFonts w:hint="eastAsia" w:ascii="方正楷体_GBK" w:hAnsi="仿宋_GB2312" w:eastAsia="方正楷体_GBK" w:cs="仿宋_GB2312"/>
          <w:sz w:val="32"/>
        </w:rPr>
        <w:t>（二）支出预算：</w:t>
      </w:r>
      <w:r>
        <w:rPr>
          <w:rFonts w:hint="eastAsia" w:ascii="Times New Roman" w:hAnsi="Times New Roman" w:eastAsia="方正仿宋_GBK" w:cs="Times New Roman"/>
          <w:sz w:val="32"/>
          <w:lang w:val="en-US" w:eastAsia="zh-CN"/>
        </w:rPr>
        <w:t>2025年年初预算数1061.17万元，其中：社会保障和就业支出50.68万元，卫生健康支出13.65万元，住房保障支出11.80万元、</w:t>
      </w:r>
      <w:r>
        <w:rPr>
          <w:rFonts w:hint="default" w:ascii="Times New Roman" w:hAnsi="Times New Roman" w:eastAsia="方正仿宋_GBK" w:cs="Times New Roman"/>
          <w:sz w:val="32"/>
          <w:lang w:val="en-US" w:eastAsia="zh-CN"/>
        </w:rPr>
        <w:t>交通运输支出</w:t>
      </w:r>
      <w:r>
        <w:rPr>
          <w:rFonts w:hint="eastAsia" w:ascii="Times New Roman" w:hAnsi="Times New Roman" w:eastAsia="方正仿宋_GBK" w:cs="Times New Roman"/>
          <w:sz w:val="32"/>
          <w:lang w:val="en-US" w:eastAsia="zh-CN"/>
        </w:rPr>
        <w:t>985.04</w:t>
      </w:r>
      <w:r>
        <w:rPr>
          <w:rFonts w:hint="default" w:ascii="Times New Roman" w:hAnsi="Times New Roman" w:eastAsia="方正仿宋_GBK" w:cs="Times New Roman"/>
          <w:sz w:val="32"/>
          <w:lang w:val="en-US" w:eastAsia="zh-CN"/>
        </w:rPr>
        <w:t>万元</w:t>
      </w:r>
      <w:r>
        <w:rPr>
          <w:rFonts w:hint="eastAsia" w:ascii="Times New Roman" w:hAnsi="Times New Roman" w:eastAsia="方正仿宋_GBK" w:cs="Times New Roman"/>
          <w:sz w:val="32"/>
          <w:lang w:val="en-US" w:eastAsia="zh-CN"/>
        </w:rPr>
        <w:t>。支出较去年增加552.45万元，主要是基本支出增加45.85万元，项目支出增加166.97万元，政府性基金预算支出增加339.63万元。</w:t>
      </w:r>
    </w:p>
    <w:p w14:paraId="2732763D">
      <w:pPr>
        <w:numPr>
          <w:ilvl w:val="0"/>
          <w:numId w:val="1"/>
        </w:numPr>
        <w:spacing w:line="600" w:lineRule="exact"/>
        <w:ind w:firstLine="640" w:firstLineChars="200"/>
        <w:rPr>
          <w:rFonts w:hint="eastAsia" w:ascii="黑体" w:hAnsi="黑体" w:eastAsia="黑体" w:cs="仿宋_GB2312"/>
          <w:sz w:val="32"/>
        </w:rPr>
      </w:pPr>
      <w:r>
        <w:rPr>
          <w:rFonts w:hint="eastAsia" w:ascii="黑体" w:hAnsi="黑体" w:eastAsia="黑体" w:cs="仿宋_GB2312"/>
          <w:sz w:val="32"/>
        </w:rPr>
        <w:t>部门预算情况说明</w:t>
      </w:r>
    </w:p>
    <w:p w14:paraId="057927A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2025年一般公共预算财政拨款收入1061.17万元，一般公共预算财政拨款支出1061.17万元，比2024年增加552.45万元。其中：基本支出280.40万元，比2024年增加45.85万元，</w:t>
      </w:r>
      <w:r>
        <w:rPr>
          <w:rFonts w:hint="default" w:ascii="Times New Roman" w:hAnsi="Times New Roman" w:eastAsia="方正仿宋_GBK" w:cs="Times New Roman"/>
          <w:sz w:val="32"/>
          <w:lang w:val="en-US" w:eastAsia="zh-CN"/>
        </w:rPr>
        <w:t>主要原因是202</w:t>
      </w:r>
      <w:r>
        <w:rPr>
          <w:rFonts w:hint="eastAsia" w:ascii="Times New Roman" w:hAnsi="Times New Roman" w:eastAsia="方正仿宋_GBK" w:cs="Times New Roman"/>
          <w:sz w:val="32"/>
          <w:lang w:val="en-US" w:eastAsia="zh-CN"/>
        </w:rPr>
        <w:t>4</w:t>
      </w:r>
      <w:r>
        <w:rPr>
          <w:rFonts w:hint="default" w:ascii="Times New Roman" w:hAnsi="Times New Roman" w:eastAsia="方正仿宋_GBK" w:cs="Times New Roman"/>
          <w:sz w:val="32"/>
          <w:lang w:val="en-US" w:eastAsia="zh-CN"/>
        </w:rPr>
        <w:t>年</w:t>
      </w:r>
      <w:r>
        <w:rPr>
          <w:rFonts w:hint="eastAsia" w:ascii="Times New Roman" w:hAnsi="Times New Roman" w:eastAsia="方正仿宋_GBK" w:cs="Times New Roman"/>
          <w:sz w:val="32"/>
          <w:lang w:val="en-US" w:eastAsia="zh-CN"/>
        </w:rPr>
        <w:t>招录</w:t>
      </w:r>
      <w:r>
        <w:rPr>
          <w:rFonts w:hint="default" w:ascii="Times New Roman" w:hAnsi="Times New Roman" w:eastAsia="方正仿宋_GBK" w:cs="Times New Roman"/>
          <w:sz w:val="32"/>
          <w:lang w:val="en-US" w:eastAsia="zh-CN"/>
        </w:rPr>
        <w:t>2</w:t>
      </w:r>
      <w:r>
        <w:rPr>
          <w:rFonts w:hint="eastAsia" w:ascii="Times New Roman" w:hAnsi="Times New Roman" w:eastAsia="方正仿宋_GBK" w:cs="Times New Roman"/>
          <w:sz w:val="32"/>
          <w:lang w:val="en-US" w:eastAsia="zh-CN"/>
        </w:rPr>
        <w:t>名人员。主要用于保障在职人员工资福利及社会保险缴费，退休人员补助等，保障部门正常运转的各项商品服务支出；项目支出441.14万元，比2024年增加166.97万元，</w:t>
      </w:r>
      <w:r>
        <w:rPr>
          <w:rFonts w:hint="default" w:ascii="Times New Roman" w:hAnsi="Times New Roman" w:eastAsia="方正仿宋_GBK" w:cs="Times New Roman"/>
          <w:sz w:val="32"/>
          <w:lang w:val="en-US" w:eastAsia="zh-CN"/>
        </w:rPr>
        <w:t>主要原因是</w:t>
      </w:r>
      <w:r>
        <w:rPr>
          <w:rFonts w:hint="eastAsia" w:ascii="Times New Roman" w:hAnsi="Times New Roman" w:eastAsia="方正仿宋_GBK" w:cs="Times New Roman"/>
          <w:sz w:val="32"/>
          <w:lang w:val="en-US" w:eastAsia="zh-CN"/>
        </w:rPr>
        <w:t>退伍军人再就业补助、高洪水应急地锚建设补助资金、港口岸电标准化建设和改造、</w:t>
      </w:r>
      <w:r>
        <w:rPr>
          <w:rFonts w:hint="default" w:ascii="Times New Roman" w:hAnsi="Times New Roman" w:eastAsia="方正仿宋_GBK" w:cs="Times New Roman"/>
          <w:sz w:val="32"/>
          <w:lang w:val="en-US" w:eastAsia="zh-CN"/>
        </w:rPr>
        <w:t>应急救援艇运行费、安全环保整治经费、港航海事业务费、航道日常维护费</w:t>
      </w:r>
      <w:r>
        <w:rPr>
          <w:rFonts w:hint="eastAsia" w:ascii="Times New Roman" w:hAnsi="Times New Roman" w:eastAsia="方正仿宋_GBK" w:cs="Times New Roman"/>
          <w:sz w:val="32"/>
          <w:lang w:val="en-US" w:eastAsia="zh-CN"/>
        </w:rPr>
        <w:t>等</w:t>
      </w:r>
      <w:r>
        <w:rPr>
          <w:rFonts w:hint="default" w:ascii="Times New Roman" w:hAnsi="Times New Roman" w:eastAsia="方正仿宋_GBK" w:cs="Times New Roman"/>
          <w:sz w:val="32"/>
          <w:lang w:val="en-US" w:eastAsia="zh-CN"/>
        </w:rPr>
        <w:t>增加。主要用于维护水运秩序，保障水运安全，水运环保整治等重点工作</w:t>
      </w:r>
      <w:r>
        <w:rPr>
          <w:rFonts w:hint="eastAsia" w:ascii="Times New Roman" w:hAnsi="Times New Roman" w:eastAsia="方正仿宋_GBK" w:cs="Times New Roman"/>
          <w:sz w:val="32"/>
          <w:lang w:val="en-US" w:eastAsia="zh-CN"/>
        </w:rPr>
        <w:t>。</w:t>
      </w:r>
    </w:p>
    <w:p w14:paraId="3C0D56A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 xml:space="preserve">2025年政府性基金预算收入339.63万元，政府性基金预算支出339.63万元，比2024年增加339.63万元，主要原因是超长期特别国债安排支出增加，主要用于老旧营运船舶报废更新。  </w:t>
      </w:r>
    </w:p>
    <w:p w14:paraId="10E1487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2025年无使用国有资本经营预算拨款安排的支出。</w:t>
      </w:r>
    </w:p>
    <w:p w14:paraId="638645E0">
      <w:pPr>
        <w:numPr>
          <w:ilvl w:val="0"/>
          <w:numId w:val="1"/>
        </w:numPr>
        <w:spacing w:line="600" w:lineRule="exact"/>
        <w:ind w:firstLine="640" w:firstLineChars="200"/>
        <w:rPr>
          <w:rFonts w:ascii="黑体" w:hAnsi="黑体" w:eastAsia="黑体" w:cs="仿宋_GB2312"/>
          <w:sz w:val="32"/>
        </w:rPr>
      </w:pPr>
      <w:r>
        <w:rPr>
          <w:rFonts w:hint="eastAsia" w:ascii="黑体" w:hAnsi="黑体" w:eastAsia="黑体" w:cs="仿宋_GB2312"/>
          <w:sz w:val="32"/>
        </w:rPr>
        <w:t>“三公”经费情况说明</w:t>
      </w:r>
    </w:p>
    <w:p w14:paraId="56CE4CD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2025年“三公”经费预算6.4万元，</w:t>
      </w:r>
      <w:r>
        <w:rPr>
          <w:rFonts w:hint="default" w:ascii="Times New Roman" w:hAnsi="Times New Roman" w:eastAsia="方正仿宋_GBK" w:cs="Times New Roman"/>
          <w:sz w:val="32"/>
          <w:lang w:val="en-US" w:eastAsia="zh-CN"/>
        </w:rPr>
        <w:t>与202</w:t>
      </w:r>
      <w:r>
        <w:rPr>
          <w:rFonts w:hint="eastAsia" w:ascii="Times New Roman" w:hAnsi="Times New Roman" w:eastAsia="方正仿宋_GBK" w:cs="Times New Roman"/>
          <w:sz w:val="32"/>
          <w:lang w:val="en-US" w:eastAsia="zh-CN"/>
        </w:rPr>
        <w:t>4</w:t>
      </w:r>
      <w:r>
        <w:rPr>
          <w:rFonts w:hint="default" w:ascii="Times New Roman" w:hAnsi="Times New Roman" w:eastAsia="方正仿宋_GBK" w:cs="Times New Roman"/>
          <w:sz w:val="32"/>
          <w:lang w:val="en-US" w:eastAsia="zh-CN"/>
        </w:rPr>
        <w:t>年持平</w:t>
      </w:r>
      <w:r>
        <w:rPr>
          <w:rFonts w:hint="eastAsia" w:ascii="Times New Roman" w:hAnsi="Times New Roman" w:eastAsia="方正仿宋_GBK" w:cs="Times New Roman"/>
          <w:sz w:val="32"/>
          <w:lang w:val="en-US" w:eastAsia="zh-CN"/>
        </w:rPr>
        <w:t>。其中：因公出国（境）费用0万元，</w:t>
      </w:r>
      <w:r>
        <w:rPr>
          <w:rFonts w:hint="default" w:ascii="Times New Roman" w:hAnsi="Times New Roman" w:eastAsia="方正仿宋_GBK" w:cs="Times New Roman"/>
          <w:sz w:val="32"/>
          <w:lang w:val="en-US" w:eastAsia="zh-CN"/>
        </w:rPr>
        <w:t>与202</w:t>
      </w:r>
      <w:r>
        <w:rPr>
          <w:rFonts w:hint="eastAsia" w:ascii="Times New Roman" w:hAnsi="Times New Roman" w:eastAsia="方正仿宋_GBK" w:cs="Times New Roman"/>
          <w:sz w:val="32"/>
          <w:lang w:val="en-US" w:eastAsia="zh-CN"/>
        </w:rPr>
        <w:t>4</w:t>
      </w:r>
      <w:r>
        <w:rPr>
          <w:rFonts w:hint="default" w:ascii="Times New Roman" w:hAnsi="Times New Roman" w:eastAsia="方正仿宋_GBK" w:cs="Times New Roman"/>
          <w:sz w:val="32"/>
          <w:lang w:val="en-US" w:eastAsia="zh-CN"/>
        </w:rPr>
        <w:t>年持平</w:t>
      </w:r>
      <w:r>
        <w:rPr>
          <w:rFonts w:hint="eastAsia" w:ascii="Times New Roman" w:hAnsi="Times New Roman" w:eastAsia="方正仿宋_GBK" w:cs="Times New Roman"/>
          <w:sz w:val="32"/>
          <w:lang w:val="en-US" w:eastAsia="zh-CN"/>
        </w:rPr>
        <w:t>；公务接待费1万元，</w:t>
      </w:r>
      <w:r>
        <w:rPr>
          <w:rFonts w:hint="default" w:ascii="Times New Roman" w:hAnsi="Times New Roman" w:eastAsia="方正仿宋_GBK" w:cs="Times New Roman"/>
          <w:sz w:val="32"/>
          <w:lang w:val="en-US" w:eastAsia="zh-CN"/>
        </w:rPr>
        <w:t>与202</w:t>
      </w:r>
      <w:r>
        <w:rPr>
          <w:rFonts w:hint="eastAsia" w:ascii="Times New Roman" w:hAnsi="Times New Roman" w:eastAsia="方正仿宋_GBK" w:cs="Times New Roman"/>
          <w:sz w:val="32"/>
          <w:lang w:val="en-US" w:eastAsia="zh-CN"/>
        </w:rPr>
        <w:t>4</w:t>
      </w:r>
      <w:r>
        <w:rPr>
          <w:rFonts w:hint="default" w:ascii="Times New Roman" w:hAnsi="Times New Roman" w:eastAsia="方正仿宋_GBK" w:cs="Times New Roman"/>
          <w:sz w:val="32"/>
          <w:lang w:val="en-US" w:eastAsia="zh-CN"/>
        </w:rPr>
        <w:t>年持平</w:t>
      </w:r>
      <w:r>
        <w:rPr>
          <w:rFonts w:hint="eastAsia" w:ascii="Times New Roman" w:hAnsi="Times New Roman" w:eastAsia="方正仿宋_GBK" w:cs="Times New Roman"/>
          <w:sz w:val="32"/>
          <w:lang w:val="en-US" w:eastAsia="zh-CN"/>
        </w:rPr>
        <w:t>；公务用车运行维护费5.4万元，</w:t>
      </w:r>
      <w:r>
        <w:rPr>
          <w:rFonts w:hint="default" w:ascii="Times New Roman" w:hAnsi="Times New Roman" w:eastAsia="方正仿宋_GBK" w:cs="Times New Roman"/>
          <w:sz w:val="32"/>
          <w:lang w:val="en-US" w:eastAsia="zh-CN"/>
        </w:rPr>
        <w:t>与202</w:t>
      </w:r>
      <w:r>
        <w:rPr>
          <w:rFonts w:hint="eastAsia" w:ascii="Times New Roman" w:hAnsi="Times New Roman" w:eastAsia="方正仿宋_GBK" w:cs="Times New Roman"/>
          <w:sz w:val="32"/>
          <w:lang w:val="en-US" w:eastAsia="zh-CN"/>
        </w:rPr>
        <w:t>4</w:t>
      </w:r>
      <w:r>
        <w:rPr>
          <w:rFonts w:hint="default" w:ascii="Times New Roman" w:hAnsi="Times New Roman" w:eastAsia="方正仿宋_GBK" w:cs="Times New Roman"/>
          <w:sz w:val="32"/>
          <w:lang w:val="en-US" w:eastAsia="zh-CN"/>
        </w:rPr>
        <w:t>年持平</w:t>
      </w:r>
      <w:r>
        <w:rPr>
          <w:rFonts w:hint="eastAsia" w:ascii="Times New Roman" w:hAnsi="Times New Roman" w:eastAsia="方正仿宋_GBK" w:cs="Times New Roman"/>
          <w:sz w:val="32"/>
          <w:lang w:val="en-US" w:eastAsia="zh-CN"/>
        </w:rPr>
        <w:t>；公务用车购置费 0万元，</w:t>
      </w:r>
      <w:r>
        <w:rPr>
          <w:rFonts w:hint="default" w:ascii="Times New Roman" w:hAnsi="Times New Roman" w:eastAsia="方正仿宋_GBK" w:cs="Times New Roman"/>
          <w:sz w:val="32"/>
          <w:lang w:val="en-US" w:eastAsia="zh-CN"/>
        </w:rPr>
        <w:t>与202</w:t>
      </w:r>
      <w:r>
        <w:rPr>
          <w:rFonts w:hint="eastAsia" w:ascii="Times New Roman" w:hAnsi="Times New Roman" w:eastAsia="方正仿宋_GBK" w:cs="Times New Roman"/>
          <w:sz w:val="32"/>
          <w:lang w:val="en-US" w:eastAsia="zh-CN"/>
        </w:rPr>
        <w:t>4</w:t>
      </w:r>
      <w:r>
        <w:rPr>
          <w:rFonts w:hint="default" w:ascii="Times New Roman" w:hAnsi="Times New Roman" w:eastAsia="方正仿宋_GBK" w:cs="Times New Roman"/>
          <w:sz w:val="32"/>
          <w:lang w:val="en-US" w:eastAsia="zh-CN"/>
        </w:rPr>
        <w:t>年持平</w:t>
      </w:r>
      <w:r>
        <w:rPr>
          <w:rFonts w:hint="eastAsia" w:ascii="Times New Roman" w:hAnsi="Times New Roman" w:eastAsia="方正仿宋_GBK" w:cs="Times New Roman"/>
          <w:sz w:val="32"/>
          <w:lang w:val="en-US" w:eastAsia="zh-CN"/>
        </w:rPr>
        <w:t>。</w:t>
      </w:r>
    </w:p>
    <w:p w14:paraId="68B049F6">
      <w:pPr>
        <w:numPr>
          <w:ilvl w:val="0"/>
          <w:numId w:val="1"/>
        </w:numPr>
        <w:spacing w:line="600" w:lineRule="exact"/>
        <w:ind w:firstLine="640" w:firstLineChars="200"/>
        <w:rPr>
          <w:rFonts w:hint="eastAsia" w:ascii="黑体" w:hAnsi="黑体" w:eastAsia="黑体" w:cs="仿宋_GB2312"/>
          <w:sz w:val="32"/>
        </w:rPr>
      </w:pPr>
      <w:r>
        <w:rPr>
          <w:rFonts w:hint="eastAsia" w:ascii="黑体" w:hAnsi="黑体" w:eastAsia="黑体" w:cs="仿宋_GB2312"/>
          <w:sz w:val="32"/>
        </w:rPr>
        <w:t>其他重要</w:t>
      </w:r>
      <w:r>
        <w:rPr>
          <w:rFonts w:ascii="黑体" w:hAnsi="黑体" w:eastAsia="黑体" w:cs="仿宋_GB2312"/>
          <w:sz w:val="32"/>
        </w:rPr>
        <w:t>事项的情况说明</w:t>
      </w:r>
    </w:p>
    <w:p w14:paraId="6261E97A">
      <w:pPr>
        <w:ind w:firstLine="640" w:firstLineChars="200"/>
        <w:rPr>
          <w:rFonts w:hint="eastAsia" w:ascii="方正楷体_GBK" w:hAnsi="仿宋_GB2312" w:eastAsia="方正楷体_GBK" w:cs="仿宋_GB2312"/>
          <w:sz w:val="32"/>
        </w:rPr>
      </w:pPr>
      <w:r>
        <w:rPr>
          <w:rFonts w:hint="eastAsia" w:ascii="方正楷体_GBK" w:hAnsi="仿宋_GB2312" w:eastAsia="方正楷体_GBK" w:cs="仿宋_GB2312"/>
          <w:sz w:val="32"/>
        </w:rPr>
        <w:t>（一）</w:t>
      </w:r>
      <w:r>
        <w:rPr>
          <w:rFonts w:hint="eastAsia" w:ascii="方正楷体_GBK" w:hAnsi="仿宋_GB2312" w:eastAsia="方正楷体_GBK" w:cs="仿宋_GB2312"/>
          <w:color w:val="000000"/>
          <w:sz w:val="32"/>
        </w:rPr>
        <w:t>我单位不在机关运行经费统计范围之内</w:t>
      </w:r>
      <w:r>
        <w:rPr>
          <w:rFonts w:hint="eastAsia" w:ascii="方正楷体_GBK" w:hAnsi="仿宋_GB2312" w:eastAsia="方正楷体_GBK" w:cs="仿宋_GB2312"/>
          <w:sz w:val="32"/>
        </w:rPr>
        <w:t>。</w:t>
      </w:r>
    </w:p>
    <w:p w14:paraId="3983D72E">
      <w:pPr>
        <w:ind w:firstLine="640" w:firstLineChars="200"/>
        <w:rPr>
          <w:rFonts w:hint="eastAsia" w:ascii="Times New Roman" w:hAnsi="Times New Roman" w:eastAsia="方正仿宋_GBK" w:cs="Times New Roman"/>
          <w:sz w:val="32"/>
          <w:lang w:val="en-US" w:eastAsia="zh-CN"/>
        </w:rPr>
      </w:pPr>
      <w:r>
        <w:rPr>
          <w:rFonts w:hint="eastAsia" w:ascii="方正楷体_GBK" w:hAnsi="仿宋_GB2312" w:eastAsia="方正楷体_GBK" w:cs="仿宋_GB2312"/>
          <w:sz w:val="32"/>
        </w:rPr>
        <w:t>（二）</w:t>
      </w:r>
      <w:r>
        <w:rPr>
          <w:rFonts w:hint="eastAsia" w:ascii="方正楷体_GBK" w:hAnsi="仿宋_GB2312" w:eastAsia="方正楷体_GBK" w:cs="仿宋_GB2312"/>
          <w:color w:val="000000"/>
          <w:sz w:val="32"/>
        </w:rPr>
        <w:t>政府采购情况</w:t>
      </w:r>
      <w:r>
        <w:rPr>
          <w:rFonts w:hint="eastAsia" w:ascii="方正楷体_GBK" w:hAnsi="仿宋_GB2312" w:eastAsia="方正楷体_GBK" w:cs="仿宋_GB2312"/>
          <w:sz w:val="32"/>
        </w:rPr>
        <w:t>。</w:t>
      </w:r>
      <w:r>
        <w:rPr>
          <w:rFonts w:hint="eastAsia" w:ascii="Times New Roman" w:hAnsi="Times New Roman" w:eastAsia="方正仿宋_GBK" w:cs="Times New Roman"/>
          <w:sz w:val="32"/>
          <w:lang w:val="en-US" w:eastAsia="zh-CN"/>
        </w:rPr>
        <w:t>单位政府采购预算总额 0.45万元：政府采购货物预算0.45万元、政府采购工程预算0万元、政府采购服务预算0万元；其中一般公共预算拨款政府采购0.45万元：政府采购货物预算0.45万元、政府采购工程预算0万元、政府采购服务预算0万元。</w:t>
      </w:r>
    </w:p>
    <w:p w14:paraId="0AD134EE">
      <w:pPr>
        <w:ind w:firstLine="640" w:firstLineChars="200"/>
        <w:rPr>
          <w:rFonts w:hint="default" w:ascii="Times New Roman" w:hAnsi="Times New Roman" w:eastAsia="方正仿宋_GBK" w:cs="Times New Roman"/>
          <w:sz w:val="32"/>
          <w:lang w:val="en-US" w:eastAsia="zh-CN"/>
        </w:rPr>
      </w:pPr>
      <w:r>
        <w:rPr>
          <w:rFonts w:hint="eastAsia" w:ascii="方正楷体_GBK" w:hAnsi="仿宋_GB2312" w:eastAsia="方正楷体_GBK" w:cs="仿宋_GB2312"/>
          <w:sz w:val="32"/>
        </w:rPr>
        <w:t>（三）</w:t>
      </w:r>
      <w:r>
        <w:rPr>
          <w:rFonts w:hint="eastAsia" w:ascii="方正楷体_GBK" w:hAnsi="仿宋_GB2312" w:eastAsia="方正楷体_GBK" w:cs="仿宋_GB2312"/>
          <w:color w:val="000000"/>
          <w:sz w:val="32"/>
        </w:rPr>
        <w:t>绩效目标设置情况</w:t>
      </w:r>
      <w:r>
        <w:rPr>
          <w:rFonts w:hint="eastAsia" w:ascii="方正楷体_GBK" w:hAnsi="仿宋_GB2312" w:eastAsia="方正楷体_GBK" w:cs="仿宋_GB2312"/>
          <w:sz w:val="32"/>
        </w:rPr>
        <w:t>。</w:t>
      </w:r>
      <w:r>
        <w:rPr>
          <w:rFonts w:hint="eastAsia" w:ascii="Times New Roman" w:hAnsi="Times New Roman" w:eastAsia="方正仿宋_GBK" w:cs="Times New Roman"/>
          <w:sz w:val="32"/>
          <w:lang w:val="en-US" w:eastAsia="zh-CN"/>
        </w:rPr>
        <w:t>2025年项目支出均实行了绩效目标管理，涉及资金量780.77万元。</w:t>
      </w:r>
    </w:p>
    <w:p w14:paraId="6B2AE30D">
      <w:pPr>
        <w:ind w:firstLine="640" w:firstLineChars="200"/>
        <w:rPr>
          <w:rFonts w:hint="eastAsia" w:ascii="Times New Roman" w:hAnsi="Times New Roman" w:eastAsia="方正仿宋_GBK" w:cs="Times New Roman"/>
          <w:sz w:val="32"/>
          <w:lang w:val="en-US" w:eastAsia="zh-CN"/>
        </w:rPr>
      </w:pPr>
      <w:r>
        <w:rPr>
          <w:rFonts w:hint="eastAsia" w:ascii="方正楷体_GBK" w:hAnsi="仿宋_GB2312" w:eastAsia="方正楷体_GBK" w:cs="仿宋_GB2312"/>
          <w:color w:val="000000"/>
          <w:sz w:val="32"/>
        </w:rPr>
        <w:t>（四）国有资产占有使用情况。</w:t>
      </w:r>
      <w:r>
        <w:rPr>
          <w:rFonts w:hint="eastAsia" w:ascii="Times New Roman" w:hAnsi="Times New Roman" w:eastAsia="方正仿宋_GBK" w:cs="Times New Roman"/>
          <w:sz w:val="32"/>
          <w:lang w:val="en-US" w:eastAsia="zh-CN"/>
        </w:rPr>
        <w:t>截至2024年12月，单位共有车辆2辆，其中一般公务用车2辆、执勤执法用车 0辆。2025年一般公共预算安排购置车辆0辆，其中一般公务用车0辆、执勤执法用车0辆。</w:t>
      </w:r>
    </w:p>
    <w:p w14:paraId="36D82329">
      <w:pPr>
        <w:numPr>
          <w:ilvl w:val="0"/>
          <w:numId w:val="1"/>
        </w:numPr>
        <w:spacing w:line="600" w:lineRule="exact"/>
        <w:ind w:firstLine="640" w:firstLineChars="200"/>
        <w:rPr>
          <w:rFonts w:hint="eastAsia" w:ascii="黑体" w:hAnsi="黑体" w:eastAsia="黑体" w:cs="仿宋_GB2312"/>
          <w:sz w:val="32"/>
        </w:rPr>
      </w:pPr>
      <w:r>
        <w:rPr>
          <w:rFonts w:hint="eastAsia" w:ascii="黑体" w:hAnsi="黑体" w:eastAsia="黑体" w:cs="仿宋_GB2312"/>
          <w:sz w:val="32"/>
        </w:rPr>
        <w:t>专业性名词</w:t>
      </w:r>
      <w:r>
        <w:rPr>
          <w:rFonts w:ascii="黑体" w:hAnsi="黑体" w:eastAsia="黑体" w:cs="仿宋_GB2312"/>
          <w:sz w:val="32"/>
        </w:rPr>
        <w:t>解释</w:t>
      </w:r>
    </w:p>
    <w:p w14:paraId="1C47052D">
      <w:pPr>
        <w:pStyle w:val="11"/>
        <w:tabs>
          <w:tab w:val="center" w:pos="4153"/>
          <w:tab w:val="left" w:pos="7275"/>
        </w:tabs>
        <w:spacing w:line="600" w:lineRule="exact"/>
        <w:ind w:firstLine="640"/>
        <w:jc w:val="left"/>
        <w:rPr>
          <w:rFonts w:hint="eastAsia" w:ascii="Times New Roman" w:hAnsi="Times New Roman" w:eastAsia="方正仿宋_GBK" w:cs="Times New Roman"/>
          <w:kern w:val="2"/>
          <w:sz w:val="32"/>
          <w:szCs w:val="22"/>
          <w:lang w:val="en-US" w:eastAsia="zh-CN" w:bidi="ar-SA"/>
        </w:rPr>
      </w:pPr>
      <w:r>
        <w:rPr>
          <w:rFonts w:hint="eastAsia" w:ascii="方正楷体_GBK" w:eastAsia="方正楷体_GBK"/>
          <w:sz w:val="32"/>
          <w:szCs w:val="32"/>
        </w:rPr>
        <w:t>（一）财政拨款收入：</w:t>
      </w:r>
      <w:r>
        <w:rPr>
          <w:rFonts w:hint="eastAsia" w:ascii="Times New Roman" w:hAnsi="Times New Roman" w:eastAsia="方正仿宋_GBK" w:cs="Times New Roman"/>
          <w:kern w:val="2"/>
          <w:sz w:val="32"/>
          <w:szCs w:val="22"/>
          <w:lang w:val="en-US" w:eastAsia="zh-CN" w:bidi="ar-SA"/>
        </w:rPr>
        <w:t>指本年度从本级财政部门取得的财政拨款，包括一般公共预算财政拨款和政府性基金预算财政拨款。</w:t>
      </w:r>
    </w:p>
    <w:p w14:paraId="1666E824">
      <w:pPr>
        <w:pStyle w:val="11"/>
        <w:tabs>
          <w:tab w:val="center" w:pos="4153"/>
          <w:tab w:val="left" w:pos="7275"/>
        </w:tabs>
        <w:spacing w:line="600" w:lineRule="exact"/>
        <w:ind w:firstLine="640"/>
        <w:jc w:val="left"/>
        <w:rPr>
          <w:rFonts w:hint="eastAsia" w:ascii="Times New Roman" w:hAnsi="Times New Roman" w:eastAsia="方正仿宋_GBK" w:cs="Times New Roman"/>
          <w:kern w:val="2"/>
          <w:sz w:val="32"/>
          <w:szCs w:val="22"/>
          <w:lang w:val="en-US" w:eastAsia="zh-CN" w:bidi="ar-SA"/>
        </w:rPr>
      </w:pPr>
      <w:r>
        <w:rPr>
          <w:rFonts w:hint="eastAsia" w:ascii="方正楷体_GBK" w:eastAsia="方正楷体_GBK"/>
          <w:sz w:val="32"/>
          <w:szCs w:val="32"/>
        </w:rPr>
        <w:t>（二）</w:t>
      </w:r>
      <w:r>
        <w:rPr>
          <w:rFonts w:hint="eastAsia" w:ascii="方正楷体_GBK" w:hAnsi="仿宋_GB2312" w:eastAsia="方正楷体_GBK" w:cs="仿宋_GB2312"/>
          <w:color w:val="000000"/>
          <w:kern w:val="2"/>
          <w:sz w:val="32"/>
          <w:szCs w:val="22"/>
          <w:lang w:val="en-US" w:eastAsia="zh-CN" w:bidi="ar-SA"/>
        </w:rPr>
        <w:t>其他收入：</w:t>
      </w:r>
      <w:r>
        <w:rPr>
          <w:rFonts w:hint="eastAsia" w:ascii="Times New Roman" w:hAnsi="Times New Roman" w:eastAsia="方正仿宋_GBK" w:cs="Times New Roman"/>
          <w:kern w:val="2"/>
          <w:sz w:val="32"/>
          <w:szCs w:val="22"/>
          <w:lang w:val="en-US" w:eastAsia="zh-CN" w:bidi="ar-SA"/>
        </w:rPr>
        <w:t>指单位取得的除“财政拨款收入”、“事业收入”、“经营收入”等以外的收入。</w:t>
      </w:r>
    </w:p>
    <w:p w14:paraId="2B450EAB">
      <w:pPr>
        <w:pStyle w:val="11"/>
        <w:tabs>
          <w:tab w:val="center" w:pos="4153"/>
          <w:tab w:val="left" w:pos="7275"/>
        </w:tabs>
        <w:spacing w:line="600" w:lineRule="exact"/>
        <w:ind w:firstLine="640"/>
        <w:jc w:val="left"/>
        <w:rPr>
          <w:rFonts w:hint="eastAsia" w:ascii="Times New Roman" w:hAnsi="Times New Roman" w:eastAsia="方正仿宋_GBK" w:cs="Times New Roman"/>
          <w:kern w:val="2"/>
          <w:sz w:val="32"/>
          <w:szCs w:val="22"/>
          <w:lang w:val="en-US" w:eastAsia="zh-CN" w:bidi="ar-SA"/>
        </w:rPr>
      </w:pPr>
      <w:r>
        <w:rPr>
          <w:rFonts w:hint="eastAsia" w:ascii="方正楷体_GBK" w:eastAsia="方正楷体_GBK"/>
          <w:sz w:val="32"/>
          <w:szCs w:val="32"/>
        </w:rPr>
        <w:t>（三）</w:t>
      </w:r>
      <w:r>
        <w:rPr>
          <w:rFonts w:hint="eastAsia" w:ascii="方正楷体_GBK" w:hAnsi="仿宋_GB2312" w:eastAsia="方正楷体_GBK" w:cs="仿宋_GB2312"/>
          <w:color w:val="000000"/>
          <w:kern w:val="2"/>
          <w:sz w:val="32"/>
          <w:szCs w:val="22"/>
          <w:lang w:val="en-US" w:eastAsia="zh-CN" w:bidi="ar-SA"/>
        </w:rPr>
        <w:t>基本支出：</w:t>
      </w:r>
      <w:r>
        <w:rPr>
          <w:rFonts w:hint="eastAsia" w:ascii="Times New Roman" w:hAnsi="Times New Roman" w:eastAsia="方正仿宋_GBK" w:cs="Times New Roman"/>
          <w:kern w:val="2"/>
          <w:sz w:val="32"/>
          <w:szCs w:val="22"/>
          <w:lang w:val="en-US" w:eastAsia="zh-CN" w:bidi="ar-SA"/>
        </w:rPr>
        <w:t>指为保障机构正常运转、完成日常工作任务而发生的人员经费和公用经费。</w:t>
      </w:r>
    </w:p>
    <w:p w14:paraId="03DA5F96">
      <w:pPr>
        <w:pStyle w:val="11"/>
        <w:tabs>
          <w:tab w:val="center" w:pos="4153"/>
          <w:tab w:val="left" w:pos="7275"/>
        </w:tabs>
        <w:spacing w:line="600" w:lineRule="exact"/>
        <w:ind w:firstLine="640"/>
        <w:jc w:val="left"/>
        <w:rPr>
          <w:rFonts w:hint="eastAsia" w:ascii="Times New Roman" w:hAnsi="Times New Roman" w:eastAsia="方正仿宋_GBK" w:cs="Times New Roman"/>
          <w:kern w:val="2"/>
          <w:sz w:val="32"/>
          <w:szCs w:val="22"/>
          <w:lang w:val="en-US" w:eastAsia="zh-CN" w:bidi="ar-SA"/>
        </w:rPr>
      </w:pPr>
      <w:r>
        <w:rPr>
          <w:rFonts w:hint="eastAsia" w:ascii="方正楷体_GBK" w:eastAsia="方正楷体_GBK"/>
          <w:sz w:val="32"/>
          <w:szCs w:val="32"/>
        </w:rPr>
        <w:t>（四）</w:t>
      </w:r>
      <w:r>
        <w:rPr>
          <w:rFonts w:hint="eastAsia" w:ascii="方正楷体_GBK" w:hAnsi="仿宋_GB2312" w:eastAsia="方正楷体_GBK" w:cs="仿宋_GB2312"/>
          <w:color w:val="000000"/>
          <w:kern w:val="2"/>
          <w:sz w:val="32"/>
          <w:szCs w:val="22"/>
          <w:lang w:val="en-US" w:eastAsia="zh-CN" w:bidi="ar-SA"/>
        </w:rPr>
        <w:t>项目支出：</w:t>
      </w:r>
      <w:r>
        <w:rPr>
          <w:rFonts w:hint="eastAsia" w:ascii="Times New Roman" w:hAnsi="Times New Roman" w:eastAsia="方正仿宋_GBK" w:cs="Times New Roman"/>
          <w:kern w:val="2"/>
          <w:sz w:val="32"/>
          <w:szCs w:val="22"/>
          <w:lang w:val="en-US" w:eastAsia="zh-CN" w:bidi="ar-SA"/>
        </w:rPr>
        <w:t>指在基本支出之外为完成特定行政任务和事业发展目标所发生的支出。</w:t>
      </w:r>
    </w:p>
    <w:p w14:paraId="3C40426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lang w:val="en-US" w:eastAsia="zh-CN"/>
        </w:rPr>
      </w:pPr>
      <w:r>
        <w:rPr>
          <w:rFonts w:hint="eastAsia" w:ascii="方正楷体_GBK" w:eastAsia="方正楷体_GBK"/>
          <w:sz w:val="32"/>
          <w:szCs w:val="32"/>
        </w:rPr>
        <w:t>（五）</w:t>
      </w:r>
      <w:r>
        <w:rPr>
          <w:rFonts w:hint="eastAsia" w:ascii="方正楷体_GBK" w:hAnsi="仿宋_GB2312" w:eastAsia="方正楷体_GBK" w:cs="仿宋_GB2312"/>
          <w:color w:val="000000"/>
          <w:sz w:val="32"/>
        </w:rPr>
        <w:t>“三公”经费：</w:t>
      </w:r>
      <w:r>
        <w:rPr>
          <w:rFonts w:hint="eastAsia" w:ascii="Times New Roman" w:hAnsi="Times New Roman" w:eastAsia="方正仿宋_GBK" w:cs="Times New Roman"/>
          <w:sz w:val="32"/>
          <w:lang w:val="en-US" w:eastAsia="zh-CN"/>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14:paraId="0A9984F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 xml:space="preserve">部门预算公开联系人：谭雪玲    联系方式：023-70674461 </w:t>
      </w:r>
    </w:p>
    <w:p w14:paraId="7C716CD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lang w:val="en-US" w:eastAsia="zh-CN"/>
        </w:rPr>
      </w:pPr>
    </w:p>
    <w:p w14:paraId="5BA4394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K" w:cs="Times New Roman"/>
          <w:sz w:val="32"/>
          <w:lang w:val="en-US" w:eastAsia="zh-CN"/>
        </w:rPr>
      </w:pPr>
    </w:p>
    <w:p w14:paraId="6E115DD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方正仿宋_GBK" w:cs="Times New Roman"/>
          <w:sz w:val="32"/>
          <w:lang w:val="en-US" w:eastAsia="zh-CN"/>
        </w:rPr>
      </w:pPr>
    </w:p>
    <w:bookmarkEnd w:id="0"/>
    <w:sectPr>
      <w:footerReference r:id="rId3" w:type="default"/>
      <w:pgSz w:w="11906" w:h="16838"/>
      <w:pgMar w:top="2098" w:right="1531" w:bottom="1985" w:left="1531"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FB899">
    <w:pPr>
      <w:pStyle w:val="3"/>
      <w:tabs>
        <w:tab w:val="left" w:pos="3906"/>
        <w:tab w:val="clear" w:pos="4153"/>
      </w:tabs>
      <w:rPr>
        <w:rFonts w:hint="eastAsia"/>
      </w:rP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AEA3A8F">
                          <w:pPr>
                            <w:pStyle w:val="3"/>
                            <w:rPr>
                              <w:rFonts w:hint="eastAsia"/>
                              <w:sz w:val="24"/>
                              <w:szCs w:val="24"/>
                            </w:rPr>
                          </w:pPr>
                          <w:r>
                            <w:rPr>
                              <w:rFonts w:hint="eastAsia"/>
                              <w:sz w:val="24"/>
                              <w:szCs w:val="24"/>
                            </w:rPr>
                            <w:t xml:space="preserve">— </w:t>
                          </w:r>
                          <w:r>
                            <w:rPr>
                              <w:rFonts w:hint="eastAsia"/>
                              <w:sz w:val="24"/>
                              <w:szCs w:val="24"/>
                            </w:rPr>
                            <w:fldChar w:fldCharType="begin"/>
                          </w:r>
                          <w:r>
                            <w:rPr>
                              <w:rFonts w:hint="eastAsia"/>
                              <w:sz w:val="24"/>
                              <w:szCs w:val="24"/>
                            </w:rPr>
                            <w:instrText xml:space="preserve"> PAGE  \* MERGEFORMAT </w:instrText>
                          </w:r>
                          <w:r>
                            <w:rPr>
                              <w:rFonts w:hint="eastAsia"/>
                              <w:sz w:val="24"/>
                              <w:szCs w:val="24"/>
                            </w:rPr>
                            <w:fldChar w:fldCharType="separate"/>
                          </w:r>
                          <w:r>
                            <w:rPr>
                              <w:sz w:val="24"/>
                              <w:szCs w:val="24"/>
                            </w:rPr>
                            <w:t>1</w:t>
                          </w:r>
                          <w:r>
                            <w:rPr>
                              <w:rFonts w:hint="eastAsia"/>
                              <w:sz w:val="24"/>
                              <w:szCs w:val="24"/>
                            </w:rPr>
                            <w:fldChar w:fldCharType="end"/>
                          </w:r>
                          <w:r>
                            <w:rPr>
                              <w:rFonts w:hint="eastAsia"/>
                              <w:sz w:val="24"/>
                              <w:szCs w:val="24"/>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5AEA3A8F">
                    <w:pPr>
                      <w:pStyle w:val="3"/>
                      <w:rPr>
                        <w:rFonts w:hint="eastAsia"/>
                        <w:sz w:val="24"/>
                        <w:szCs w:val="24"/>
                      </w:rPr>
                    </w:pPr>
                    <w:r>
                      <w:rPr>
                        <w:rFonts w:hint="eastAsia"/>
                        <w:sz w:val="24"/>
                        <w:szCs w:val="24"/>
                      </w:rPr>
                      <w:t xml:space="preserve">— </w:t>
                    </w:r>
                    <w:r>
                      <w:rPr>
                        <w:rFonts w:hint="eastAsia"/>
                        <w:sz w:val="24"/>
                        <w:szCs w:val="24"/>
                      </w:rPr>
                      <w:fldChar w:fldCharType="begin"/>
                    </w:r>
                    <w:r>
                      <w:rPr>
                        <w:rFonts w:hint="eastAsia"/>
                        <w:sz w:val="24"/>
                        <w:szCs w:val="24"/>
                      </w:rPr>
                      <w:instrText xml:space="preserve"> PAGE  \* MERGEFORMAT </w:instrText>
                    </w:r>
                    <w:r>
                      <w:rPr>
                        <w:rFonts w:hint="eastAsia"/>
                        <w:sz w:val="24"/>
                        <w:szCs w:val="24"/>
                      </w:rPr>
                      <w:fldChar w:fldCharType="separate"/>
                    </w:r>
                    <w:r>
                      <w:rPr>
                        <w:sz w:val="24"/>
                        <w:szCs w:val="24"/>
                      </w:rPr>
                      <w:t>1</w:t>
                    </w:r>
                    <w:r>
                      <w:rPr>
                        <w:rFonts w:hint="eastAsia"/>
                        <w:sz w:val="24"/>
                        <w:szCs w:val="24"/>
                      </w:rPr>
                      <w:fldChar w:fldCharType="end"/>
                    </w:r>
                    <w:r>
                      <w:rPr>
                        <w:rFonts w:hint="eastAsia"/>
                        <w:sz w:val="24"/>
                        <w:szCs w:val="24"/>
                      </w:rPr>
                      <w:t xml:space="preserve"> —</w:t>
                    </w:r>
                  </w:p>
                </w:txbxContent>
              </v:textbox>
            </v:shape>
          </w:pict>
        </mc:Fallback>
      </mc:AlternateContent>
    </w:r>
    <w:r>
      <w:rPr>
        <w:rFonts w:hint="eastAsia"/>
      </w:rPr>
      <w:tab/>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F3FD4D"/>
    <w:multiLevelType w:val="singleLevel"/>
    <w:tmpl w:val="BFF3FD4D"/>
    <w:lvl w:ilvl="0" w:tentative="0">
      <w:start w:val="2"/>
      <w:numFmt w:val="chineseCounting"/>
      <w:suff w:val="nothing"/>
      <w:lvlText w:val="（%1）"/>
      <w:lvlJc w:val="left"/>
      <w:rPr>
        <w:rFonts w:hint="eastAsia"/>
      </w:rPr>
    </w:lvl>
  </w:abstractNum>
  <w:abstractNum w:abstractNumId="1">
    <w:nsid w:val="5847F1BC"/>
    <w:multiLevelType w:val="singleLevel"/>
    <w:tmpl w:val="5847F1BC"/>
    <w:lvl w:ilvl="0" w:tentative="0">
      <w:start w:val="1"/>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QwNzg0ZGM5NDlkM2RiM2VkYmNjZjBmNDMyMDk5MjUifQ=="/>
    <w:docVar w:name="KSO_WPS_MARK_KEY" w:val="3a979fb5-ce13-4c44-aa58-4374c2679f66"/>
  </w:docVars>
  <w:rsids>
    <w:rsidRoot w:val="004F7D1D"/>
    <w:rsid w:val="00006FB1"/>
    <w:rsid w:val="0001271B"/>
    <w:rsid w:val="00023A4C"/>
    <w:rsid w:val="00042219"/>
    <w:rsid w:val="00047C7A"/>
    <w:rsid w:val="00053834"/>
    <w:rsid w:val="000551A4"/>
    <w:rsid w:val="000624D8"/>
    <w:rsid w:val="0007330D"/>
    <w:rsid w:val="00075914"/>
    <w:rsid w:val="0008570C"/>
    <w:rsid w:val="00091B93"/>
    <w:rsid w:val="00093301"/>
    <w:rsid w:val="00096685"/>
    <w:rsid w:val="000A60FC"/>
    <w:rsid w:val="000C594E"/>
    <w:rsid w:val="000D2E8F"/>
    <w:rsid w:val="000D6437"/>
    <w:rsid w:val="000E3FBF"/>
    <w:rsid w:val="000F1499"/>
    <w:rsid w:val="000F5707"/>
    <w:rsid w:val="0010264D"/>
    <w:rsid w:val="00106A76"/>
    <w:rsid w:val="00125C07"/>
    <w:rsid w:val="0014404E"/>
    <w:rsid w:val="001525DD"/>
    <w:rsid w:val="00161474"/>
    <w:rsid w:val="00165A74"/>
    <w:rsid w:val="001957F9"/>
    <w:rsid w:val="001C0A7C"/>
    <w:rsid w:val="001D0CAA"/>
    <w:rsid w:val="001D4937"/>
    <w:rsid w:val="001E1AED"/>
    <w:rsid w:val="001E31D9"/>
    <w:rsid w:val="00202E0A"/>
    <w:rsid w:val="002132E9"/>
    <w:rsid w:val="00213635"/>
    <w:rsid w:val="00226F1D"/>
    <w:rsid w:val="00242727"/>
    <w:rsid w:val="00246006"/>
    <w:rsid w:val="00246AA4"/>
    <w:rsid w:val="00252849"/>
    <w:rsid w:val="002605A5"/>
    <w:rsid w:val="0026529F"/>
    <w:rsid w:val="0027005A"/>
    <w:rsid w:val="00270D35"/>
    <w:rsid w:val="002773F0"/>
    <w:rsid w:val="00280A93"/>
    <w:rsid w:val="00286440"/>
    <w:rsid w:val="002959B6"/>
    <w:rsid w:val="002B41F1"/>
    <w:rsid w:val="002C4122"/>
    <w:rsid w:val="002D2A88"/>
    <w:rsid w:val="002E46A9"/>
    <w:rsid w:val="0030024E"/>
    <w:rsid w:val="003019D9"/>
    <w:rsid w:val="003163CF"/>
    <w:rsid w:val="00341606"/>
    <w:rsid w:val="00346387"/>
    <w:rsid w:val="0034700C"/>
    <w:rsid w:val="00357A28"/>
    <w:rsid w:val="00367516"/>
    <w:rsid w:val="00375FC9"/>
    <w:rsid w:val="00383298"/>
    <w:rsid w:val="003872D5"/>
    <w:rsid w:val="0039559F"/>
    <w:rsid w:val="003B11A5"/>
    <w:rsid w:val="003B33C4"/>
    <w:rsid w:val="003B36C2"/>
    <w:rsid w:val="003D14F0"/>
    <w:rsid w:val="003D7234"/>
    <w:rsid w:val="003D7504"/>
    <w:rsid w:val="003E4EB6"/>
    <w:rsid w:val="003F6450"/>
    <w:rsid w:val="00430B72"/>
    <w:rsid w:val="00437D88"/>
    <w:rsid w:val="004417DC"/>
    <w:rsid w:val="00445520"/>
    <w:rsid w:val="00462595"/>
    <w:rsid w:val="0049017F"/>
    <w:rsid w:val="00492FB3"/>
    <w:rsid w:val="004B1650"/>
    <w:rsid w:val="004C42ED"/>
    <w:rsid w:val="004C60BD"/>
    <w:rsid w:val="004D1E02"/>
    <w:rsid w:val="004E592A"/>
    <w:rsid w:val="004E6E1A"/>
    <w:rsid w:val="004F1853"/>
    <w:rsid w:val="004F7D1D"/>
    <w:rsid w:val="00500B1D"/>
    <w:rsid w:val="00506DF4"/>
    <w:rsid w:val="00507823"/>
    <w:rsid w:val="005228CA"/>
    <w:rsid w:val="00536713"/>
    <w:rsid w:val="00543257"/>
    <w:rsid w:val="00572736"/>
    <w:rsid w:val="0058350C"/>
    <w:rsid w:val="005A1227"/>
    <w:rsid w:val="005A4606"/>
    <w:rsid w:val="005A4AD7"/>
    <w:rsid w:val="005B0F11"/>
    <w:rsid w:val="005B61F2"/>
    <w:rsid w:val="005E18A6"/>
    <w:rsid w:val="005F1960"/>
    <w:rsid w:val="006115F1"/>
    <w:rsid w:val="00620BCE"/>
    <w:rsid w:val="0066585E"/>
    <w:rsid w:val="006809FA"/>
    <w:rsid w:val="006C01C3"/>
    <w:rsid w:val="006D0C33"/>
    <w:rsid w:val="006D1609"/>
    <w:rsid w:val="006E0BEC"/>
    <w:rsid w:val="006E455F"/>
    <w:rsid w:val="006F7539"/>
    <w:rsid w:val="00710AD7"/>
    <w:rsid w:val="00714828"/>
    <w:rsid w:val="007158F8"/>
    <w:rsid w:val="0071734A"/>
    <w:rsid w:val="007252E3"/>
    <w:rsid w:val="007336ED"/>
    <w:rsid w:val="00742C4D"/>
    <w:rsid w:val="007620B8"/>
    <w:rsid w:val="00762CF8"/>
    <w:rsid w:val="00765DF5"/>
    <w:rsid w:val="007713EB"/>
    <w:rsid w:val="00791CE4"/>
    <w:rsid w:val="007B10D4"/>
    <w:rsid w:val="007B22D6"/>
    <w:rsid w:val="007B4264"/>
    <w:rsid w:val="007B5ACF"/>
    <w:rsid w:val="007B6182"/>
    <w:rsid w:val="007C4C9B"/>
    <w:rsid w:val="007D2AEA"/>
    <w:rsid w:val="007D4F40"/>
    <w:rsid w:val="007E098F"/>
    <w:rsid w:val="007E0B4D"/>
    <w:rsid w:val="007E6A39"/>
    <w:rsid w:val="007F68E5"/>
    <w:rsid w:val="00801BFF"/>
    <w:rsid w:val="00803270"/>
    <w:rsid w:val="00805D05"/>
    <w:rsid w:val="00813B4F"/>
    <w:rsid w:val="00830BF3"/>
    <w:rsid w:val="00833B65"/>
    <w:rsid w:val="00837BDB"/>
    <w:rsid w:val="008560C6"/>
    <w:rsid w:val="00866533"/>
    <w:rsid w:val="00876439"/>
    <w:rsid w:val="00880920"/>
    <w:rsid w:val="00893BF5"/>
    <w:rsid w:val="008A13B7"/>
    <w:rsid w:val="008A622D"/>
    <w:rsid w:val="008D2570"/>
    <w:rsid w:val="008E3C27"/>
    <w:rsid w:val="008E5A19"/>
    <w:rsid w:val="008E7590"/>
    <w:rsid w:val="008F1CA6"/>
    <w:rsid w:val="008F731A"/>
    <w:rsid w:val="00905727"/>
    <w:rsid w:val="00914195"/>
    <w:rsid w:val="00926FE2"/>
    <w:rsid w:val="00933A24"/>
    <w:rsid w:val="00936EDC"/>
    <w:rsid w:val="00940465"/>
    <w:rsid w:val="0094655E"/>
    <w:rsid w:val="009561D9"/>
    <w:rsid w:val="009653AE"/>
    <w:rsid w:val="00970509"/>
    <w:rsid w:val="00972AB0"/>
    <w:rsid w:val="00983001"/>
    <w:rsid w:val="0098712E"/>
    <w:rsid w:val="009B77D4"/>
    <w:rsid w:val="009E6734"/>
    <w:rsid w:val="009F01A9"/>
    <w:rsid w:val="00A01434"/>
    <w:rsid w:val="00A05F72"/>
    <w:rsid w:val="00A07288"/>
    <w:rsid w:val="00A174AB"/>
    <w:rsid w:val="00A21DCD"/>
    <w:rsid w:val="00A27ED6"/>
    <w:rsid w:val="00A33F5E"/>
    <w:rsid w:val="00A35F07"/>
    <w:rsid w:val="00A45A23"/>
    <w:rsid w:val="00A52D34"/>
    <w:rsid w:val="00A712EA"/>
    <w:rsid w:val="00A8020D"/>
    <w:rsid w:val="00A802E9"/>
    <w:rsid w:val="00A80B6C"/>
    <w:rsid w:val="00AA324B"/>
    <w:rsid w:val="00AB25DF"/>
    <w:rsid w:val="00AC39C3"/>
    <w:rsid w:val="00AC6F85"/>
    <w:rsid w:val="00AE0A20"/>
    <w:rsid w:val="00AE4156"/>
    <w:rsid w:val="00B1352B"/>
    <w:rsid w:val="00B24FA7"/>
    <w:rsid w:val="00B257E3"/>
    <w:rsid w:val="00B54CE7"/>
    <w:rsid w:val="00B558CC"/>
    <w:rsid w:val="00B65450"/>
    <w:rsid w:val="00B72347"/>
    <w:rsid w:val="00B86388"/>
    <w:rsid w:val="00BB3B39"/>
    <w:rsid w:val="00BC2C3D"/>
    <w:rsid w:val="00BD5AA0"/>
    <w:rsid w:val="00BD5FA5"/>
    <w:rsid w:val="00BE573E"/>
    <w:rsid w:val="00BF67E7"/>
    <w:rsid w:val="00C2696C"/>
    <w:rsid w:val="00C427D3"/>
    <w:rsid w:val="00C47446"/>
    <w:rsid w:val="00C5758E"/>
    <w:rsid w:val="00C601F9"/>
    <w:rsid w:val="00C7602D"/>
    <w:rsid w:val="00C827DC"/>
    <w:rsid w:val="00C95346"/>
    <w:rsid w:val="00CA4340"/>
    <w:rsid w:val="00CB0296"/>
    <w:rsid w:val="00CC4A96"/>
    <w:rsid w:val="00CD1C4A"/>
    <w:rsid w:val="00CE1014"/>
    <w:rsid w:val="00CF42ED"/>
    <w:rsid w:val="00D0143D"/>
    <w:rsid w:val="00D10AB7"/>
    <w:rsid w:val="00D160DD"/>
    <w:rsid w:val="00D21CDE"/>
    <w:rsid w:val="00D40ADE"/>
    <w:rsid w:val="00D411DD"/>
    <w:rsid w:val="00D46486"/>
    <w:rsid w:val="00D648D9"/>
    <w:rsid w:val="00D64C2C"/>
    <w:rsid w:val="00D66063"/>
    <w:rsid w:val="00D77D37"/>
    <w:rsid w:val="00D80BC2"/>
    <w:rsid w:val="00D8620E"/>
    <w:rsid w:val="00DA7788"/>
    <w:rsid w:val="00DA7FE6"/>
    <w:rsid w:val="00DB0EC5"/>
    <w:rsid w:val="00DB2D78"/>
    <w:rsid w:val="00DB4539"/>
    <w:rsid w:val="00DE3685"/>
    <w:rsid w:val="00DE5805"/>
    <w:rsid w:val="00E00D68"/>
    <w:rsid w:val="00E01CEB"/>
    <w:rsid w:val="00E11FB2"/>
    <w:rsid w:val="00E1530B"/>
    <w:rsid w:val="00E275D0"/>
    <w:rsid w:val="00E40ED1"/>
    <w:rsid w:val="00E4747D"/>
    <w:rsid w:val="00E67557"/>
    <w:rsid w:val="00E712B9"/>
    <w:rsid w:val="00E96899"/>
    <w:rsid w:val="00EB54C8"/>
    <w:rsid w:val="00EC09E7"/>
    <w:rsid w:val="00EC409D"/>
    <w:rsid w:val="00EE21B6"/>
    <w:rsid w:val="00EF1B14"/>
    <w:rsid w:val="00EF782E"/>
    <w:rsid w:val="00EF7D6B"/>
    <w:rsid w:val="00F11A07"/>
    <w:rsid w:val="00F258CE"/>
    <w:rsid w:val="00F605C0"/>
    <w:rsid w:val="00F66710"/>
    <w:rsid w:val="00F84112"/>
    <w:rsid w:val="00F86A3C"/>
    <w:rsid w:val="00F90464"/>
    <w:rsid w:val="00F9492F"/>
    <w:rsid w:val="00FC2169"/>
    <w:rsid w:val="00FC2267"/>
    <w:rsid w:val="00FE12C3"/>
    <w:rsid w:val="00FE28C5"/>
    <w:rsid w:val="02783976"/>
    <w:rsid w:val="07261BF2"/>
    <w:rsid w:val="0A8E1F88"/>
    <w:rsid w:val="0F8E0ECE"/>
    <w:rsid w:val="13313DF9"/>
    <w:rsid w:val="144F542E"/>
    <w:rsid w:val="177B7D38"/>
    <w:rsid w:val="18CC21E2"/>
    <w:rsid w:val="19185113"/>
    <w:rsid w:val="19D75DEA"/>
    <w:rsid w:val="1BAD1F59"/>
    <w:rsid w:val="25AF1247"/>
    <w:rsid w:val="29BD2986"/>
    <w:rsid w:val="2BBD2276"/>
    <w:rsid w:val="2CD04F7C"/>
    <w:rsid w:val="2D595FCE"/>
    <w:rsid w:val="2E786928"/>
    <w:rsid w:val="2FDE3C2B"/>
    <w:rsid w:val="31293F09"/>
    <w:rsid w:val="33947D60"/>
    <w:rsid w:val="370A0339"/>
    <w:rsid w:val="38C1432F"/>
    <w:rsid w:val="3A920D71"/>
    <w:rsid w:val="3BC5739B"/>
    <w:rsid w:val="3D9B7F3D"/>
    <w:rsid w:val="40AB66E9"/>
    <w:rsid w:val="40F005A0"/>
    <w:rsid w:val="420A5691"/>
    <w:rsid w:val="423D24BA"/>
    <w:rsid w:val="46125FA0"/>
    <w:rsid w:val="48310C7F"/>
    <w:rsid w:val="55EC5382"/>
    <w:rsid w:val="56114DE8"/>
    <w:rsid w:val="565A22EB"/>
    <w:rsid w:val="581F37ED"/>
    <w:rsid w:val="585A34BC"/>
    <w:rsid w:val="599D4999"/>
    <w:rsid w:val="5A1B45AE"/>
    <w:rsid w:val="5A3115B5"/>
    <w:rsid w:val="63520F1A"/>
    <w:rsid w:val="63A610E8"/>
    <w:rsid w:val="678966E5"/>
    <w:rsid w:val="67F05755"/>
    <w:rsid w:val="681A18DB"/>
    <w:rsid w:val="689C04C4"/>
    <w:rsid w:val="68A8338A"/>
    <w:rsid w:val="68F5416C"/>
    <w:rsid w:val="6CED5810"/>
    <w:rsid w:val="6E772A99"/>
    <w:rsid w:val="6F2B0871"/>
    <w:rsid w:val="70DA2502"/>
    <w:rsid w:val="714B7319"/>
    <w:rsid w:val="71514547"/>
    <w:rsid w:val="716A38D3"/>
    <w:rsid w:val="751A73BE"/>
    <w:rsid w:val="78972AD3"/>
    <w:rsid w:val="7D98412F"/>
    <w:rsid w:val="7E834226"/>
    <w:rsid w:val="7F0A225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alloon Text"/>
    <w:basedOn w:val="1"/>
    <w:link w:val="8"/>
    <w:qFormat/>
    <w:uiPriority w:val="0"/>
    <w:rPr>
      <w:sz w:val="18"/>
      <w:szCs w:val="18"/>
    </w:rPr>
  </w:style>
  <w:style w:type="paragraph" w:styleId="3">
    <w:name w:val="footer"/>
    <w:basedOn w:val="1"/>
    <w:link w:val="10"/>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customStyle="1" w:styleId="8">
    <w:name w:val="批注框文本 字符"/>
    <w:link w:val="2"/>
    <w:qFormat/>
    <w:uiPriority w:val="0"/>
    <w:rPr>
      <w:kern w:val="2"/>
      <w:sz w:val="18"/>
      <w:szCs w:val="18"/>
    </w:rPr>
  </w:style>
  <w:style w:type="character" w:customStyle="1" w:styleId="9">
    <w:name w:val="页眉 字符"/>
    <w:link w:val="4"/>
    <w:qFormat/>
    <w:uiPriority w:val="0"/>
    <w:rPr>
      <w:kern w:val="2"/>
      <w:sz w:val="18"/>
      <w:szCs w:val="18"/>
    </w:rPr>
  </w:style>
  <w:style w:type="character" w:customStyle="1" w:styleId="10">
    <w:name w:val="页脚 字符"/>
    <w:link w:val="3"/>
    <w:qFormat/>
    <w:uiPriority w:val="0"/>
    <w:rPr>
      <w:kern w:val="2"/>
      <w:sz w:val="18"/>
      <w:szCs w:val="18"/>
    </w:rPr>
  </w:style>
  <w:style w:type="paragraph" w:styleId="1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2213</Words>
  <Characters>2510</Characters>
  <Lines>14</Lines>
  <Paragraphs>3</Paragraphs>
  <TotalTime>5</TotalTime>
  <ScaleCrop>false</ScaleCrop>
  <LinksUpToDate>false</LinksUpToDate>
  <CharactersWithSpaces>2524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2018-12-17T06:47:00Z</dcterms:created>
  <dc:creator>Administrator</dc:creator>
  <cp:lastModifiedBy>飞哥</cp:lastModifiedBy>
  <cp:lastPrinted>2018-01-02T08:11:00Z</cp:lastPrinted>
  <dcterms:modified xsi:type="dcterms:W3CDTF">2025-03-10T08:28:39Z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2CF9A018B7AD492FA1A1FF8933FF9E6E_13</vt:lpwstr>
  </property>
  <property fmtid="{D5CDD505-2E9C-101B-9397-08002B2CF9AE}" pid="4" name="KSOTemplateDocerSaveRecord">
    <vt:lpwstr>eyJoZGlkIjoiZmQzM2VmMDU3MGVkNDU1YjRhOTM0NjlhYWUyMmMxZDEiLCJ1c2VySWQiOiIyNjg4MTg2NTMifQ==</vt:lpwstr>
  </property>
</Properties>
</file>