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0A1" w:rsidRDefault="00B77A9E">
      <w:pPr>
        <w:pStyle w:val="a7"/>
        <w:spacing w:before="0" w:beforeAutospacing="0"/>
        <w:jc w:val="center"/>
        <w:rPr>
          <w:rFonts w:ascii="方正小标宋_GBK" w:eastAsia="方正小标宋_GBK" w:hAnsi="方正小标宋_GBK" w:cs="方正小标宋_GBK" w:hint="default"/>
          <w:sz w:val="36"/>
          <w:szCs w:val="36"/>
        </w:rPr>
      </w:pPr>
      <w:r>
        <w:rPr>
          <w:rFonts w:ascii="方正小标宋_GBK" w:eastAsia="方正小标宋_GBK" w:hAnsi="方正小标宋_GBK" w:cs="方正小标宋_GBK"/>
          <w:sz w:val="36"/>
          <w:szCs w:val="36"/>
        </w:rPr>
        <w:t>重庆市丰都县教育委员会（本级）</w:t>
      </w:r>
    </w:p>
    <w:p w:rsidR="00F530A1" w:rsidRDefault="00B77A9E">
      <w:pPr>
        <w:pStyle w:val="a7"/>
        <w:spacing w:before="0" w:beforeAutospacing="0"/>
        <w:jc w:val="center"/>
        <w:rPr>
          <w:rFonts w:ascii="方正小标宋_GBK" w:eastAsia="方正小标宋_GBK" w:hAnsi="方正小标宋_GBK" w:cs="方正小标宋_GBK" w:hint="default"/>
          <w:sz w:val="36"/>
          <w:szCs w:val="36"/>
          <w:shd w:val="clear" w:color="auto" w:fill="FFFFFF"/>
        </w:rPr>
      </w:pPr>
      <w:r>
        <w:rPr>
          <w:rFonts w:ascii="方正小标宋_GBK" w:eastAsia="方正小标宋_GBK" w:hAnsi="方正小标宋_GBK" w:cs="方正小标宋_GBK"/>
          <w:sz w:val="36"/>
          <w:szCs w:val="36"/>
          <w:shd w:val="clear" w:color="auto" w:fill="FFFFFF"/>
        </w:rPr>
        <w:t>2023</w:t>
      </w:r>
      <w:r>
        <w:rPr>
          <w:rFonts w:ascii="方正小标宋_GBK" w:eastAsia="方正小标宋_GBK" w:hAnsi="方正小标宋_GBK" w:cs="方正小标宋_GBK"/>
          <w:sz w:val="36"/>
          <w:szCs w:val="36"/>
          <w:shd w:val="clear" w:color="auto" w:fill="FFFFFF"/>
        </w:rPr>
        <w:t>年度决算公开说明</w:t>
      </w:r>
    </w:p>
    <w:p w:rsidR="00F530A1" w:rsidRDefault="00B77A9E">
      <w:pPr>
        <w:pStyle w:val="a7"/>
        <w:shd w:val="clear" w:color="auto" w:fill="FFFFFF"/>
        <w:rPr>
          <w:rFonts w:ascii="黑体" w:eastAsia="黑体" w:hAnsi="黑体" w:cs="黑体" w:hint="default"/>
          <w:sz w:val="32"/>
          <w:szCs w:val="32"/>
        </w:rPr>
      </w:pPr>
      <w:r>
        <w:rPr>
          <w:rStyle w:val="a9"/>
          <w:rFonts w:ascii="黑体" w:eastAsia="黑体" w:hAnsi="黑体" w:cs="黑体"/>
          <w:sz w:val="32"/>
          <w:szCs w:val="32"/>
          <w:shd w:val="clear" w:color="auto" w:fill="FFFFFF"/>
        </w:rPr>
        <w:t>一、单位基本情况</w:t>
      </w:r>
    </w:p>
    <w:p w:rsidR="00F530A1" w:rsidRDefault="00B77A9E">
      <w:pPr>
        <w:pStyle w:val="a7"/>
        <w:shd w:val="clear" w:color="auto" w:fill="FFFFFF"/>
        <w:ind w:firstLine="420"/>
        <w:rPr>
          <w:rFonts w:ascii="方正仿宋_GBK" w:eastAsia="方正仿宋_GBK" w:hAnsi="方正仿宋_GBK" w:cs="方正仿宋_GBK" w:hint="default"/>
          <w:sz w:val="32"/>
          <w:szCs w:val="32"/>
        </w:rPr>
      </w:pPr>
      <w:r>
        <w:rPr>
          <w:rStyle w:val="a9"/>
          <w:rFonts w:ascii="楷体" w:eastAsia="楷体" w:hAnsi="楷体" w:cs="楷体"/>
          <w:sz w:val="32"/>
          <w:szCs w:val="32"/>
          <w:shd w:val="clear" w:color="auto" w:fill="FFFFFF"/>
        </w:rPr>
        <w:t>（一）职能职责</w:t>
      </w:r>
    </w:p>
    <w:p w:rsidR="00F530A1" w:rsidRDefault="00B77A9E">
      <w:pPr>
        <w:snapToGrid w:val="0"/>
        <w:spacing w:line="520" w:lineRule="exact"/>
        <w:ind w:firstLineChars="200" w:firstLine="640"/>
        <w:rPr>
          <w:rFonts w:ascii="仿宋_GB2312" w:eastAsia="仿宋_GB2312" w:hAnsi="仿宋" w:hint="default"/>
          <w:sz w:val="32"/>
          <w:szCs w:val="32"/>
        </w:rPr>
      </w:pPr>
      <w:r>
        <w:rPr>
          <w:rFonts w:ascii="仿宋_GB2312" w:eastAsia="仿宋_GB2312" w:hAnsi="仿宋"/>
          <w:sz w:val="32"/>
          <w:szCs w:val="32"/>
        </w:rPr>
        <w:t>1</w:t>
      </w:r>
      <w:r>
        <w:rPr>
          <w:rFonts w:ascii="仿宋_GB2312" w:eastAsia="仿宋_GB2312" w:hAnsi="仿宋"/>
          <w:sz w:val="32"/>
          <w:szCs w:val="32"/>
        </w:rPr>
        <w:t>．主要职能。</w:t>
      </w:r>
    </w:p>
    <w:p w:rsidR="00F530A1" w:rsidRDefault="00B77A9E">
      <w:pPr>
        <w:pStyle w:val="a7"/>
        <w:spacing w:before="0" w:beforeAutospacing="0" w:after="0" w:afterAutospacing="0" w:line="500" w:lineRule="exact"/>
        <w:ind w:firstLineChars="200" w:firstLine="640"/>
        <w:rPr>
          <w:rFonts w:ascii="仿宋_GB2312" w:eastAsia="仿宋_GB2312" w:hAnsi="仿宋" w:hint="default"/>
          <w:kern w:val="2"/>
          <w:sz w:val="32"/>
          <w:szCs w:val="32"/>
        </w:rPr>
      </w:pPr>
      <w:r>
        <w:rPr>
          <w:rFonts w:ascii="仿宋_GB2312" w:eastAsia="仿宋_GB2312" w:hAnsi="仿宋"/>
          <w:kern w:val="2"/>
          <w:sz w:val="32"/>
          <w:szCs w:val="32"/>
        </w:rPr>
        <w:t>中共丰都县委教育工作领导小组秘书组承担中共丰都县委教育工作领导小组的具体工作，主要职责是：</w:t>
      </w:r>
    </w:p>
    <w:p w:rsidR="00F530A1" w:rsidRDefault="00B77A9E">
      <w:pPr>
        <w:pStyle w:val="a7"/>
        <w:spacing w:before="0" w:beforeAutospacing="0" w:after="0" w:afterAutospacing="0" w:line="500" w:lineRule="exact"/>
        <w:ind w:firstLineChars="200" w:firstLine="640"/>
        <w:rPr>
          <w:rFonts w:ascii="仿宋_GB2312" w:eastAsia="仿宋_GB2312" w:hAnsi="仿宋" w:hint="default"/>
          <w:kern w:val="2"/>
          <w:sz w:val="32"/>
          <w:szCs w:val="32"/>
        </w:rPr>
      </w:pPr>
      <w:r>
        <w:rPr>
          <w:rFonts w:ascii="仿宋_GB2312" w:eastAsia="仿宋_GB2312" w:hAnsi="仿宋"/>
          <w:kern w:val="2"/>
          <w:sz w:val="32"/>
          <w:szCs w:val="32"/>
        </w:rPr>
        <w:t xml:space="preserve">1. </w:t>
      </w:r>
      <w:r>
        <w:rPr>
          <w:rFonts w:ascii="仿宋_GB2312" w:eastAsia="仿宋_GB2312" w:hAnsi="仿宋"/>
          <w:kern w:val="2"/>
          <w:sz w:val="32"/>
          <w:szCs w:val="32"/>
        </w:rPr>
        <w:t>全面贯彻党的教育方针，牢牢把握社会主义办学方向，落实立德树人根本任务。</w:t>
      </w:r>
    </w:p>
    <w:p w:rsidR="00F530A1" w:rsidRDefault="00B77A9E">
      <w:pPr>
        <w:pStyle w:val="a7"/>
        <w:spacing w:before="0" w:beforeAutospacing="0" w:after="0" w:afterAutospacing="0" w:line="500" w:lineRule="exact"/>
        <w:ind w:firstLineChars="200" w:firstLine="640"/>
        <w:rPr>
          <w:rFonts w:ascii="仿宋_GB2312" w:eastAsia="仿宋_GB2312" w:hAnsi="仿宋" w:hint="default"/>
          <w:kern w:val="2"/>
          <w:sz w:val="32"/>
          <w:szCs w:val="32"/>
        </w:rPr>
      </w:pPr>
      <w:r>
        <w:rPr>
          <w:rFonts w:ascii="仿宋_GB2312" w:eastAsia="仿宋_GB2312" w:hAnsi="仿宋"/>
          <w:kern w:val="2"/>
          <w:sz w:val="32"/>
          <w:szCs w:val="32"/>
        </w:rPr>
        <w:t xml:space="preserve">2. </w:t>
      </w:r>
      <w:r>
        <w:rPr>
          <w:rFonts w:ascii="仿宋_GB2312" w:eastAsia="仿宋_GB2312" w:hAnsi="仿宋"/>
          <w:kern w:val="2"/>
          <w:sz w:val="32"/>
          <w:szCs w:val="32"/>
        </w:rPr>
        <w:t>负责在教育领域组织实施坚持党的领导、加强党的建设等政策措施，做好教育领域思想政治、意识形态等工作。</w:t>
      </w:r>
    </w:p>
    <w:p w:rsidR="00F530A1" w:rsidRDefault="00B77A9E">
      <w:pPr>
        <w:pStyle w:val="a7"/>
        <w:spacing w:before="0" w:beforeAutospacing="0" w:after="0" w:afterAutospacing="0" w:line="500" w:lineRule="exact"/>
        <w:ind w:firstLineChars="200" w:firstLine="640"/>
        <w:rPr>
          <w:rFonts w:ascii="仿宋_GB2312" w:eastAsia="仿宋_GB2312" w:hAnsi="仿宋" w:hint="default"/>
          <w:kern w:val="2"/>
          <w:sz w:val="32"/>
          <w:szCs w:val="32"/>
        </w:rPr>
      </w:pPr>
      <w:r>
        <w:rPr>
          <w:rFonts w:ascii="仿宋_GB2312" w:eastAsia="仿宋_GB2312" w:hAnsi="仿宋"/>
          <w:kern w:val="2"/>
          <w:sz w:val="32"/>
          <w:szCs w:val="32"/>
        </w:rPr>
        <w:t xml:space="preserve">3. </w:t>
      </w:r>
      <w:r>
        <w:rPr>
          <w:rFonts w:ascii="仿宋_GB2312" w:eastAsia="仿宋_GB2312" w:hAnsi="仿宋"/>
          <w:kern w:val="2"/>
          <w:sz w:val="32"/>
          <w:szCs w:val="32"/>
        </w:rPr>
        <w:t>负责拟订全县教育发展中长期规划、重大政策和体制改革方案。</w:t>
      </w:r>
    </w:p>
    <w:p w:rsidR="00F530A1" w:rsidRDefault="00B77A9E">
      <w:pPr>
        <w:pStyle w:val="a7"/>
        <w:shd w:val="clear" w:color="auto" w:fill="FFFFFF"/>
        <w:ind w:firstLine="420"/>
        <w:rPr>
          <w:rFonts w:ascii="仿宋_GB2312" w:eastAsia="仿宋_GB2312" w:hAnsi="仿宋" w:hint="default"/>
          <w:kern w:val="2"/>
          <w:sz w:val="32"/>
          <w:szCs w:val="32"/>
        </w:rPr>
      </w:pPr>
      <w:r>
        <w:rPr>
          <w:rFonts w:ascii="仿宋_GB2312" w:eastAsia="仿宋_GB2312" w:hAnsi="仿宋"/>
          <w:kern w:val="2"/>
          <w:sz w:val="32"/>
          <w:szCs w:val="32"/>
        </w:rPr>
        <w:t xml:space="preserve">4. </w:t>
      </w:r>
      <w:r>
        <w:rPr>
          <w:rFonts w:ascii="仿宋_GB2312" w:eastAsia="仿宋_GB2312" w:hAnsi="仿宋"/>
          <w:kern w:val="2"/>
          <w:sz w:val="32"/>
          <w:szCs w:val="32"/>
        </w:rPr>
        <w:t>贯彻落实县委教育工作领导小组决定决议，负责县委教育工作领导小组日常事务处理、综合协调等工作，重大事项定期向县委教育工作领导小组汇报。</w:t>
      </w:r>
    </w:p>
    <w:p w:rsidR="00F530A1" w:rsidRDefault="00B77A9E">
      <w:pPr>
        <w:pStyle w:val="a7"/>
        <w:shd w:val="clear" w:color="auto" w:fill="FFFFFF"/>
        <w:ind w:firstLine="420"/>
        <w:rPr>
          <w:rFonts w:ascii="楷体" w:eastAsia="楷体" w:hAnsi="楷体" w:cs="楷体" w:hint="default"/>
          <w:sz w:val="32"/>
          <w:szCs w:val="32"/>
        </w:rPr>
      </w:pPr>
      <w:r>
        <w:rPr>
          <w:rStyle w:val="a9"/>
          <w:rFonts w:ascii="楷体" w:eastAsia="楷体" w:hAnsi="楷体" w:cs="楷体"/>
          <w:sz w:val="32"/>
          <w:szCs w:val="32"/>
          <w:shd w:val="clear" w:color="auto" w:fill="FFFFFF"/>
        </w:rPr>
        <w:t>（二）机构设置</w:t>
      </w:r>
    </w:p>
    <w:p w:rsidR="00F530A1" w:rsidRDefault="00B77A9E">
      <w:pPr>
        <w:pStyle w:val="a7"/>
        <w:ind w:firstLineChars="200" w:firstLine="640"/>
        <w:rPr>
          <w:rFonts w:hint="default"/>
        </w:rPr>
      </w:pPr>
      <w:r>
        <w:rPr>
          <w:rFonts w:ascii="仿宋_GB2312" w:eastAsia="仿宋_GB2312" w:hAnsi="仿宋_GB2312" w:cs="仿宋_GB2312"/>
          <w:sz w:val="32"/>
        </w:rPr>
        <w:t>下设办公室（丰都县人民政府教育督导室）、秘书组秘书科（组织建设科）、人事科、教育科（行政审批服务科）、艺体卫科、规划建管科、财务勤管科、法规信访科、安全稳定办公室九个业务科室。</w:t>
      </w:r>
    </w:p>
    <w:p w:rsidR="00F530A1" w:rsidRDefault="00B77A9E">
      <w:pPr>
        <w:pStyle w:val="a7"/>
        <w:shd w:val="clear" w:color="auto" w:fill="FFFFFF"/>
        <w:rPr>
          <w:rStyle w:val="a9"/>
          <w:rFonts w:ascii="黑体" w:eastAsia="黑体" w:hAnsi="黑体" w:cs="黑体" w:hint="default"/>
          <w:sz w:val="32"/>
          <w:szCs w:val="32"/>
          <w:shd w:val="clear" w:color="auto" w:fill="FFFFFF"/>
        </w:rPr>
      </w:pPr>
      <w:r>
        <w:rPr>
          <w:rStyle w:val="a9"/>
          <w:rFonts w:ascii="黑体" w:eastAsia="黑体" w:hAnsi="黑体" w:cs="黑体"/>
          <w:sz w:val="32"/>
          <w:szCs w:val="32"/>
          <w:shd w:val="clear" w:color="auto" w:fill="FFFFFF"/>
        </w:rPr>
        <w:lastRenderedPageBreak/>
        <w:t>二、单位决算情</w:t>
      </w:r>
      <w:r>
        <w:rPr>
          <w:rStyle w:val="a9"/>
          <w:rFonts w:ascii="黑体" w:eastAsia="黑体" w:hAnsi="黑体" w:cs="黑体"/>
          <w:sz w:val="32"/>
          <w:szCs w:val="32"/>
          <w:shd w:val="clear" w:color="auto" w:fill="FFFFFF"/>
        </w:rPr>
        <w:t>况说明</w:t>
      </w:r>
    </w:p>
    <w:p w:rsidR="00F530A1" w:rsidRDefault="00B77A9E">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（一）收入支出决算总体情况说明。</w:t>
      </w:r>
    </w:p>
    <w:p w:rsidR="00F530A1" w:rsidRDefault="00B77A9E">
      <w:pPr>
        <w:pStyle w:val="a7"/>
        <w:shd w:val="clear" w:color="auto" w:fill="FFFFFF"/>
        <w:ind w:firstLineChars="200" w:firstLine="643"/>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1.</w:t>
      </w:r>
      <w:r>
        <w:rPr>
          <w:rStyle w:val="a9"/>
          <w:rFonts w:ascii="方正仿宋_GBK" w:eastAsia="方正仿宋_GBK" w:hAnsi="方正仿宋_GBK" w:cs="方正仿宋_GBK"/>
          <w:sz w:val="32"/>
          <w:szCs w:val="32"/>
          <w:shd w:val="clear" w:color="auto" w:fill="FFFFFF"/>
        </w:rPr>
        <w:t>总体情况。</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年度收入总计</w:t>
      </w:r>
      <w:r>
        <w:rPr>
          <w:rFonts w:ascii="方正仿宋_GBK" w:eastAsia="方正仿宋_GBK" w:hAnsi="方正仿宋_GBK" w:cs="方正仿宋_GBK"/>
          <w:sz w:val="32"/>
          <w:szCs w:val="32"/>
          <w:shd w:val="clear" w:color="auto" w:fill="FFFFFF"/>
        </w:rPr>
        <w:t>8104.31</w:t>
      </w:r>
      <w:r>
        <w:rPr>
          <w:rFonts w:ascii="方正仿宋_GBK" w:eastAsia="方正仿宋_GBK" w:hAnsi="方正仿宋_GBK" w:cs="方正仿宋_GBK"/>
          <w:sz w:val="32"/>
          <w:szCs w:val="32"/>
          <w:shd w:val="clear" w:color="auto" w:fill="FFFFFF"/>
        </w:rPr>
        <w:t>万元，支出总计</w:t>
      </w:r>
      <w:r>
        <w:rPr>
          <w:rFonts w:ascii="方正仿宋_GBK" w:eastAsia="方正仿宋_GBK" w:hAnsi="方正仿宋_GBK" w:cs="方正仿宋_GBK"/>
          <w:sz w:val="32"/>
          <w:szCs w:val="32"/>
        </w:rPr>
        <w:t>8104.31</w:t>
      </w:r>
      <w:r>
        <w:rPr>
          <w:rFonts w:ascii="方正仿宋_GBK" w:eastAsia="方正仿宋_GBK" w:hAnsi="方正仿宋_GBK" w:cs="方正仿宋_GBK"/>
          <w:sz w:val="32"/>
          <w:szCs w:val="32"/>
          <w:shd w:val="clear" w:color="auto" w:fill="FFFFFF"/>
        </w:rPr>
        <w:t>万元。收支较上年决算数减少</w:t>
      </w:r>
      <w:r>
        <w:rPr>
          <w:rFonts w:ascii="方正仿宋_GBK" w:eastAsia="方正仿宋_GBK" w:hAnsi="方正仿宋_GBK" w:cs="方正仿宋_GBK"/>
          <w:sz w:val="32"/>
          <w:szCs w:val="32"/>
          <w:shd w:val="clear" w:color="auto" w:fill="FFFFFF"/>
        </w:rPr>
        <w:t>426.88</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5.00%</w:t>
      </w:r>
      <w:r>
        <w:rPr>
          <w:rFonts w:ascii="方正仿宋_GBK" w:eastAsia="方正仿宋_GBK" w:hAnsi="方正仿宋_GBK" w:cs="方正仿宋_GBK"/>
          <w:sz w:val="32"/>
          <w:szCs w:val="32"/>
          <w:shd w:val="clear" w:color="auto" w:fill="FFFFFF"/>
        </w:rPr>
        <w:t>，主要原因是本年直属四个事业单位分开决算。</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shd w:val="clear" w:color="auto" w:fill="FFFFFF"/>
        </w:rPr>
      </w:pPr>
      <w:r>
        <w:rPr>
          <w:rStyle w:val="a9"/>
          <w:rFonts w:ascii="方正仿宋_GBK" w:eastAsia="方正仿宋_GBK" w:hAnsi="方正仿宋_GBK" w:cs="方正仿宋_GBK"/>
          <w:sz w:val="32"/>
          <w:szCs w:val="32"/>
          <w:shd w:val="clear" w:color="auto" w:fill="FFFFFF"/>
        </w:rPr>
        <w:t>2.</w:t>
      </w:r>
      <w:r>
        <w:rPr>
          <w:rStyle w:val="a9"/>
          <w:rFonts w:ascii="方正仿宋_GBK" w:eastAsia="方正仿宋_GBK" w:hAnsi="方正仿宋_GBK" w:cs="方正仿宋_GBK"/>
          <w:sz w:val="32"/>
          <w:szCs w:val="32"/>
          <w:shd w:val="clear" w:color="auto" w:fill="FFFFFF"/>
        </w:rPr>
        <w:t>收入情况。</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年度收入合计</w:t>
      </w:r>
      <w:r>
        <w:rPr>
          <w:rFonts w:ascii="方正仿宋_GBK" w:eastAsia="方正仿宋_GBK" w:hAnsi="方正仿宋_GBK" w:cs="方正仿宋_GBK"/>
          <w:sz w:val="32"/>
          <w:szCs w:val="32"/>
          <w:shd w:val="clear" w:color="auto" w:fill="FFFFFF"/>
        </w:rPr>
        <w:t>7359.76</w:t>
      </w:r>
      <w:r>
        <w:rPr>
          <w:rFonts w:ascii="方正仿宋_GBK" w:eastAsia="方正仿宋_GBK" w:hAnsi="方正仿宋_GBK" w:cs="方正仿宋_GBK"/>
          <w:sz w:val="32"/>
          <w:szCs w:val="32"/>
          <w:shd w:val="clear" w:color="auto" w:fill="FFFFFF"/>
        </w:rPr>
        <w:t>万元，较上年决算数减少</w:t>
      </w:r>
      <w:r>
        <w:rPr>
          <w:rFonts w:ascii="方正仿宋_GBK" w:eastAsia="方正仿宋_GBK" w:hAnsi="方正仿宋_GBK" w:cs="方正仿宋_GBK"/>
          <w:sz w:val="32"/>
          <w:szCs w:val="32"/>
          <w:shd w:val="clear" w:color="auto" w:fill="FFFFFF"/>
        </w:rPr>
        <w:t>1021.52</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12.19%</w:t>
      </w:r>
      <w:r>
        <w:rPr>
          <w:rFonts w:ascii="方正仿宋_GBK" w:eastAsia="方正仿宋_GBK" w:hAnsi="方正仿宋_GBK" w:cs="方正仿宋_GBK"/>
          <w:sz w:val="32"/>
          <w:szCs w:val="32"/>
          <w:shd w:val="clear" w:color="auto" w:fill="FFFFFF"/>
        </w:rPr>
        <w:t>，主要原因是本年直属四个事业单位分开决算。其中：财政拨款收入</w:t>
      </w:r>
      <w:r>
        <w:rPr>
          <w:rFonts w:ascii="方正仿宋_GBK" w:eastAsia="方正仿宋_GBK" w:hAnsi="方正仿宋_GBK" w:cs="方正仿宋_GBK"/>
          <w:sz w:val="32"/>
          <w:szCs w:val="32"/>
        </w:rPr>
        <w:t>7276.93</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rPr>
        <w:t>98.87</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；事业收入</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shd w:val="clear" w:color="auto" w:fill="FFFFFF"/>
        </w:rPr>
        <w:t>0.00%</w:t>
      </w:r>
      <w:r>
        <w:rPr>
          <w:rFonts w:ascii="方正仿宋_GBK" w:eastAsia="方正仿宋_GBK" w:hAnsi="方正仿宋_GBK" w:cs="方正仿宋_GBK"/>
          <w:sz w:val="32"/>
          <w:szCs w:val="32"/>
          <w:shd w:val="clear" w:color="auto" w:fill="FFFFFF"/>
        </w:rPr>
        <w:t>；经营收入</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shd w:val="clear" w:color="auto" w:fill="FFFFFF"/>
        </w:rPr>
        <w:t>0.00%</w:t>
      </w:r>
      <w:r>
        <w:rPr>
          <w:rFonts w:ascii="方正仿宋_GBK" w:eastAsia="方正仿宋_GBK" w:hAnsi="方正仿宋_GBK" w:cs="方正仿宋_GBK"/>
          <w:sz w:val="32"/>
          <w:szCs w:val="32"/>
          <w:shd w:val="clear" w:color="auto" w:fill="FFFFFF"/>
        </w:rPr>
        <w:t>；其他收入</w:t>
      </w:r>
      <w:r>
        <w:rPr>
          <w:rFonts w:ascii="方正仿宋_GBK" w:eastAsia="方正仿宋_GBK" w:hAnsi="方正仿宋_GBK" w:cs="方正仿宋_GBK"/>
          <w:sz w:val="32"/>
          <w:szCs w:val="32"/>
        </w:rPr>
        <w:t>82.82</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shd w:val="clear" w:color="auto" w:fill="FFFFFF"/>
        </w:rPr>
        <w:t>1.13%</w:t>
      </w:r>
      <w:r>
        <w:rPr>
          <w:rFonts w:ascii="方正仿宋_GBK" w:eastAsia="方正仿宋_GBK" w:hAnsi="方正仿宋_GBK" w:cs="方正仿宋_GBK"/>
          <w:sz w:val="32"/>
          <w:szCs w:val="32"/>
          <w:shd w:val="clear" w:color="auto" w:fill="FFFFFF"/>
        </w:rPr>
        <w:t>。此外，使用非财政拨款结余和专用结余</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万元，年初结转和结余</w:t>
      </w:r>
      <w:r>
        <w:rPr>
          <w:rFonts w:ascii="方正仿宋_GBK" w:eastAsia="方正仿宋_GBK" w:hAnsi="方正仿宋_GBK" w:cs="方正仿宋_GBK"/>
          <w:sz w:val="32"/>
          <w:szCs w:val="32"/>
        </w:rPr>
        <w:t>744.55</w:t>
      </w:r>
      <w:r>
        <w:rPr>
          <w:rFonts w:ascii="方正仿宋_GBK" w:eastAsia="方正仿宋_GBK" w:hAnsi="方正仿宋_GBK" w:cs="方正仿宋_GBK"/>
          <w:sz w:val="32"/>
          <w:szCs w:val="32"/>
          <w:shd w:val="clear" w:color="auto" w:fill="FFFFFF"/>
        </w:rPr>
        <w:t>万元。</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shd w:val="clear" w:color="auto" w:fill="FFFFFF"/>
        </w:rPr>
      </w:pPr>
      <w:r>
        <w:rPr>
          <w:rStyle w:val="a9"/>
          <w:rFonts w:ascii="方正仿宋_GBK" w:eastAsia="方正仿宋_GBK" w:hAnsi="方正仿宋_GBK" w:cs="方正仿宋_GBK"/>
          <w:sz w:val="32"/>
          <w:szCs w:val="32"/>
          <w:shd w:val="clear" w:color="auto" w:fill="FFFFFF"/>
        </w:rPr>
        <w:t>3.</w:t>
      </w:r>
      <w:r>
        <w:rPr>
          <w:rStyle w:val="a9"/>
          <w:rFonts w:ascii="方正仿宋_GBK" w:eastAsia="方正仿宋_GBK" w:hAnsi="方正仿宋_GBK" w:cs="方正仿宋_GBK"/>
          <w:sz w:val="32"/>
          <w:szCs w:val="32"/>
          <w:shd w:val="clear" w:color="auto" w:fill="FFFFFF"/>
        </w:rPr>
        <w:t>支出情况。</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年度支出合计</w:t>
      </w:r>
      <w:r>
        <w:rPr>
          <w:rFonts w:ascii="方正仿宋_GBK" w:eastAsia="方正仿宋_GBK" w:hAnsi="方正仿宋_GBK" w:cs="方正仿宋_GBK"/>
          <w:sz w:val="32"/>
          <w:szCs w:val="32"/>
        </w:rPr>
        <w:t>8067.47</w:t>
      </w:r>
      <w:r>
        <w:rPr>
          <w:rFonts w:ascii="方正仿宋_GBK" w:eastAsia="方正仿宋_GBK" w:hAnsi="方正仿宋_GBK" w:cs="方正仿宋_GBK"/>
          <w:sz w:val="32"/>
          <w:szCs w:val="32"/>
          <w:shd w:val="clear" w:color="auto" w:fill="FFFFFF"/>
        </w:rPr>
        <w:t>万元，较上年决算数减少</w:t>
      </w:r>
      <w:r>
        <w:rPr>
          <w:rFonts w:ascii="方正仿宋_GBK" w:eastAsia="方正仿宋_GBK" w:hAnsi="方正仿宋_GBK" w:cs="方正仿宋_GBK"/>
          <w:sz w:val="32"/>
          <w:szCs w:val="32"/>
          <w:shd w:val="clear" w:color="auto" w:fill="FFFFFF"/>
        </w:rPr>
        <w:t>412.17</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4.86%</w:t>
      </w:r>
      <w:r>
        <w:rPr>
          <w:rFonts w:ascii="方正仿宋_GBK" w:eastAsia="方正仿宋_GBK" w:hAnsi="方正仿宋_GBK" w:cs="方正仿宋_GBK"/>
          <w:sz w:val="32"/>
          <w:szCs w:val="32"/>
          <w:shd w:val="clear" w:color="auto" w:fill="FFFFFF"/>
        </w:rPr>
        <w:t>，主要原因是本年直属四个事业单位分开决算。其中：基本支出</w:t>
      </w:r>
      <w:r>
        <w:rPr>
          <w:rFonts w:ascii="方正仿宋_GBK" w:eastAsia="方正仿宋_GBK" w:hAnsi="方正仿宋_GBK" w:cs="方正仿宋_GBK"/>
          <w:sz w:val="32"/>
          <w:szCs w:val="32"/>
        </w:rPr>
        <w:t>956.81</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shd w:val="clear" w:color="auto" w:fill="FFFFFF"/>
        </w:rPr>
        <w:t>11.86%</w:t>
      </w:r>
      <w:r>
        <w:rPr>
          <w:rFonts w:ascii="方正仿宋_GBK" w:eastAsia="方正仿宋_GBK" w:hAnsi="方正仿宋_GBK" w:cs="方正仿宋_GBK"/>
          <w:sz w:val="32"/>
          <w:szCs w:val="32"/>
          <w:shd w:val="clear" w:color="auto" w:fill="FFFFFF"/>
        </w:rPr>
        <w:t>；项目支出</w:t>
      </w:r>
      <w:r>
        <w:rPr>
          <w:rFonts w:ascii="方正仿宋_GBK" w:eastAsia="方正仿宋_GBK" w:hAnsi="方正仿宋_GBK" w:cs="方正仿宋_GBK"/>
          <w:sz w:val="32"/>
          <w:szCs w:val="32"/>
        </w:rPr>
        <w:t>7110.66</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shd w:val="clear" w:color="auto" w:fill="FFFFFF"/>
        </w:rPr>
        <w:t>88.14%</w:t>
      </w:r>
      <w:r>
        <w:rPr>
          <w:rFonts w:ascii="方正仿宋_GBK" w:eastAsia="方正仿宋_GBK" w:hAnsi="方正仿宋_GBK" w:cs="方正仿宋_GBK"/>
          <w:sz w:val="32"/>
          <w:szCs w:val="32"/>
          <w:shd w:val="clear" w:color="auto" w:fill="FFFFFF"/>
        </w:rPr>
        <w:t>；经营支出</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shd w:val="clear" w:color="auto" w:fill="FFFFFF"/>
        </w:rPr>
        <w:t>0.00%</w:t>
      </w:r>
      <w:r>
        <w:rPr>
          <w:rFonts w:ascii="方正仿宋_GBK" w:eastAsia="方正仿宋_GBK" w:hAnsi="方正仿宋_GBK" w:cs="方正仿宋_GBK"/>
          <w:sz w:val="32"/>
          <w:szCs w:val="32"/>
          <w:shd w:val="clear" w:color="auto" w:fill="FFFFFF"/>
        </w:rPr>
        <w:t>。此外，结余分配</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4.</w:t>
      </w:r>
      <w:r>
        <w:rPr>
          <w:rStyle w:val="a9"/>
          <w:rFonts w:ascii="方正仿宋_GBK" w:eastAsia="方正仿宋_GBK" w:hAnsi="方正仿宋_GBK" w:cs="方正仿宋_GBK"/>
          <w:sz w:val="32"/>
          <w:szCs w:val="32"/>
          <w:shd w:val="clear" w:color="auto" w:fill="FFFFFF"/>
        </w:rPr>
        <w:t>结转结余情况。</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年度年末结转和结余</w:t>
      </w:r>
      <w:r>
        <w:rPr>
          <w:rFonts w:ascii="方正仿宋_GBK" w:eastAsia="方正仿宋_GBK" w:hAnsi="方正仿宋_GBK" w:cs="方正仿宋_GBK"/>
          <w:sz w:val="32"/>
          <w:szCs w:val="32"/>
        </w:rPr>
        <w:t>36.84</w:t>
      </w:r>
      <w:r>
        <w:rPr>
          <w:rFonts w:ascii="方正仿宋_GBK" w:eastAsia="方正仿宋_GBK" w:hAnsi="方正仿宋_GBK" w:cs="方正仿宋_GBK"/>
          <w:sz w:val="32"/>
          <w:szCs w:val="32"/>
          <w:shd w:val="clear" w:color="auto" w:fill="FFFFFF"/>
        </w:rPr>
        <w:t>万元，较上年决算数减少</w:t>
      </w:r>
      <w:r>
        <w:rPr>
          <w:rFonts w:ascii="方正仿宋_GBK" w:eastAsia="方正仿宋_GBK" w:hAnsi="方正仿宋_GBK" w:cs="方正仿宋_GBK"/>
          <w:sz w:val="32"/>
          <w:szCs w:val="32"/>
          <w:shd w:val="clear" w:color="auto" w:fill="FFFFFF"/>
        </w:rPr>
        <w:t>14.71</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28.54%</w:t>
      </w:r>
      <w:r>
        <w:rPr>
          <w:rFonts w:ascii="方正仿宋_GBK" w:eastAsia="方正仿宋_GBK" w:hAnsi="方正仿宋_GBK" w:cs="方正仿宋_GBK"/>
          <w:sz w:val="32"/>
          <w:szCs w:val="32"/>
          <w:shd w:val="clear" w:color="auto" w:fill="FFFFFF"/>
        </w:rPr>
        <w:t>，主要原因是本年直属四个事业单位分开决算。</w:t>
      </w:r>
    </w:p>
    <w:p w:rsidR="00F530A1" w:rsidRDefault="00B77A9E">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（二）财政拨款收入支出决算总体情况说明</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lastRenderedPageBreak/>
        <w:t>2023</w:t>
      </w:r>
      <w:r>
        <w:rPr>
          <w:rFonts w:ascii="方正仿宋_GBK" w:eastAsia="方正仿宋_GBK" w:hAnsi="方正仿宋_GBK" w:cs="方正仿宋_GBK"/>
          <w:sz w:val="32"/>
          <w:szCs w:val="32"/>
          <w:shd w:val="clear" w:color="auto" w:fill="FFFFFF"/>
        </w:rPr>
        <w:t>年度财政拨款收、支总计</w:t>
      </w:r>
      <w:r>
        <w:rPr>
          <w:rFonts w:ascii="方正仿宋_GBK" w:eastAsia="方正仿宋_GBK" w:hAnsi="方正仿宋_GBK" w:cs="方正仿宋_GBK"/>
          <w:sz w:val="32"/>
          <w:szCs w:val="32"/>
          <w:shd w:val="clear" w:color="auto" w:fill="FFFFFF"/>
        </w:rPr>
        <w:t>7969.93</w:t>
      </w:r>
      <w:r>
        <w:rPr>
          <w:rFonts w:ascii="方正仿宋_GBK" w:eastAsia="方正仿宋_GBK" w:hAnsi="方正仿宋_GBK" w:cs="方正仿宋_GBK"/>
          <w:sz w:val="32"/>
          <w:szCs w:val="32"/>
          <w:shd w:val="clear" w:color="auto" w:fill="FFFFFF"/>
        </w:rPr>
        <w:t>万元。与</w:t>
      </w:r>
      <w:r>
        <w:rPr>
          <w:rFonts w:ascii="方正仿宋_GBK" w:eastAsia="方正仿宋_GBK" w:hAnsi="方正仿宋_GBK" w:cs="方正仿宋_GBK"/>
          <w:sz w:val="32"/>
          <w:szCs w:val="32"/>
          <w:shd w:val="clear" w:color="auto" w:fill="FFFFFF"/>
        </w:rPr>
        <w:t>2022</w:t>
      </w:r>
      <w:r>
        <w:rPr>
          <w:rFonts w:ascii="方正仿宋_GBK" w:eastAsia="方正仿宋_GBK" w:hAnsi="方正仿宋_GBK" w:cs="方正仿宋_GBK"/>
          <w:sz w:val="32"/>
          <w:szCs w:val="32"/>
          <w:shd w:val="clear" w:color="auto" w:fill="FFFFFF"/>
        </w:rPr>
        <w:t>年相比，财政拨款收、支总计各减少</w:t>
      </w:r>
      <w:r>
        <w:rPr>
          <w:rFonts w:ascii="方正仿宋_GBK" w:eastAsia="方正仿宋_GBK" w:hAnsi="方正仿宋_GBK" w:cs="方正仿宋_GBK"/>
          <w:sz w:val="32"/>
          <w:szCs w:val="32"/>
          <w:shd w:val="clear" w:color="auto" w:fill="FFFFFF"/>
        </w:rPr>
        <w:t>464.87</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5.51%</w:t>
      </w:r>
      <w:r>
        <w:rPr>
          <w:rFonts w:ascii="方正仿宋_GBK" w:eastAsia="方正仿宋_GBK" w:hAnsi="方正仿宋_GBK" w:cs="方正仿宋_GBK"/>
          <w:sz w:val="32"/>
          <w:szCs w:val="32"/>
          <w:shd w:val="clear" w:color="auto" w:fill="FFFFFF"/>
        </w:rPr>
        <w:t>。主要原因是本年直属四个事业单位分开决算。</w:t>
      </w:r>
    </w:p>
    <w:p w:rsidR="00F530A1" w:rsidRDefault="00B77A9E">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（三）一般公共预算财政拨款收入支出决算情况说明</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1.</w:t>
      </w:r>
      <w:r>
        <w:rPr>
          <w:rStyle w:val="a9"/>
          <w:rFonts w:ascii="方正仿宋_GBK" w:eastAsia="方正仿宋_GBK" w:hAnsi="方正仿宋_GBK" w:cs="方正仿宋_GBK"/>
          <w:sz w:val="32"/>
          <w:szCs w:val="32"/>
          <w:shd w:val="clear" w:color="auto" w:fill="FFFFFF"/>
        </w:rPr>
        <w:t>收入情况。</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年度一般公共预算财政拨款收入</w:t>
      </w:r>
      <w:r>
        <w:rPr>
          <w:rFonts w:ascii="方正仿宋_GBK" w:eastAsia="方正仿宋_GBK" w:hAnsi="方正仿宋_GBK" w:cs="方正仿宋_GBK"/>
          <w:sz w:val="32"/>
          <w:szCs w:val="32"/>
        </w:rPr>
        <w:t>7276.93</w:t>
      </w:r>
      <w:r>
        <w:rPr>
          <w:rFonts w:ascii="方正仿宋_GBK" w:eastAsia="方正仿宋_GBK" w:hAnsi="方正仿宋_GBK" w:cs="方正仿宋_GBK"/>
          <w:sz w:val="32"/>
          <w:szCs w:val="32"/>
          <w:shd w:val="clear" w:color="auto" w:fill="FFFFFF"/>
        </w:rPr>
        <w:t>万元，较上年决算数减少</w:t>
      </w:r>
      <w:r>
        <w:rPr>
          <w:rFonts w:ascii="方正仿宋_GBK" w:eastAsia="方正仿宋_GBK" w:hAnsi="方正仿宋_GBK" w:cs="方正仿宋_GBK"/>
          <w:sz w:val="32"/>
          <w:szCs w:val="32"/>
          <w:shd w:val="clear" w:color="auto" w:fill="FFFFFF"/>
        </w:rPr>
        <w:t>1007.95</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12.17%</w:t>
      </w:r>
      <w:r>
        <w:rPr>
          <w:rFonts w:ascii="方正仿宋_GBK" w:eastAsia="方正仿宋_GBK" w:hAnsi="方正仿宋_GBK" w:cs="方正仿宋_GBK"/>
          <w:sz w:val="32"/>
          <w:szCs w:val="32"/>
          <w:shd w:val="clear" w:color="auto" w:fill="FFFFFF"/>
        </w:rPr>
        <w:t>。主要原因是本年直属四个事业单位分开决算。较年初预算数减少</w:t>
      </w:r>
      <w:r>
        <w:rPr>
          <w:rFonts w:ascii="方正仿宋_GBK" w:eastAsia="方正仿宋_GBK" w:hAnsi="方正仿宋_GBK" w:cs="方正仿宋_GBK"/>
          <w:sz w:val="32"/>
          <w:szCs w:val="32"/>
          <w:shd w:val="clear" w:color="auto" w:fill="FFFFFF"/>
        </w:rPr>
        <w:t>25697.00</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77.93%</w:t>
      </w:r>
      <w:r>
        <w:rPr>
          <w:rFonts w:ascii="方正仿宋_GBK" w:eastAsia="方正仿宋_GBK" w:hAnsi="方正仿宋_GBK" w:cs="方正仿宋_GBK"/>
          <w:sz w:val="32"/>
          <w:szCs w:val="32"/>
          <w:shd w:val="clear" w:color="auto" w:fill="FFFFFF"/>
        </w:rPr>
        <w:t>。主要原因是本年直属四个事业单位分开决算。此外，年初财政拨款结转和结余</w:t>
      </w:r>
      <w:r>
        <w:rPr>
          <w:rFonts w:ascii="方正仿宋_GBK" w:eastAsia="方正仿宋_GBK" w:hAnsi="方正仿宋_GBK" w:cs="方正仿宋_GBK"/>
          <w:sz w:val="32"/>
          <w:szCs w:val="32"/>
        </w:rPr>
        <w:t>693.00</w:t>
      </w:r>
      <w:r>
        <w:rPr>
          <w:rFonts w:ascii="方正仿宋_GBK" w:eastAsia="方正仿宋_GBK" w:hAnsi="方正仿宋_GBK" w:cs="方正仿宋_GBK"/>
          <w:sz w:val="32"/>
          <w:szCs w:val="32"/>
          <w:shd w:val="clear" w:color="auto" w:fill="FFFFFF"/>
        </w:rPr>
        <w:t>万元。</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2.</w:t>
      </w:r>
      <w:r>
        <w:rPr>
          <w:rStyle w:val="a9"/>
          <w:rFonts w:ascii="方正仿宋_GBK" w:eastAsia="方正仿宋_GBK" w:hAnsi="方正仿宋_GBK" w:cs="方正仿宋_GBK"/>
          <w:sz w:val="32"/>
          <w:szCs w:val="32"/>
          <w:shd w:val="clear" w:color="auto" w:fill="FFFFFF"/>
        </w:rPr>
        <w:t>支出情况。</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年度一般公共预算财政拨款支出</w:t>
      </w:r>
      <w:r>
        <w:rPr>
          <w:rFonts w:ascii="方正仿宋_GBK" w:eastAsia="方正仿宋_GBK" w:hAnsi="方正仿宋_GBK" w:cs="方正仿宋_GBK"/>
          <w:sz w:val="32"/>
          <w:szCs w:val="32"/>
        </w:rPr>
        <w:t>7969.93</w:t>
      </w:r>
      <w:r>
        <w:rPr>
          <w:rFonts w:ascii="方正仿宋_GBK" w:eastAsia="方正仿宋_GBK" w:hAnsi="方正仿宋_GBK" w:cs="方正仿宋_GBK"/>
          <w:sz w:val="32"/>
          <w:szCs w:val="32"/>
          <w:shd w:val="clear" w:color="auto" w:fill="FFFFFF"/>
        </w:rPr>
        <w:t>万元，较上年决算数减少</w:t>
      </w:r>
      <w:r>
        <w:rPr>
          <w:rFonts w:ascii="方正仿宋_GBK" w:eastAsia="方正仿宋_GBK" w:hAnsi="方正仿宋_GBK" w:cs="方正仿宋_GBK"/>
          <w:sz w:val="32"/>
          <w:szCs w:val="32"/>
          <w:shd w:val="clear" w:color="auto" w:fill="FFFFFF"/>
        </w:rPr>
        <w:t>464.87</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5.51%</w:t>
      </w:r>
      <w:r>
        <w:rPr>
          <w:rFonts w:ascii="方正仿宋_GBK" w:eastAsia="方正仿宋_GBK" w:hAnsi="方正仿宋_GBK" w:cs="方正仿宋_GBK"/>
          <w:sz w:val="32"/>
          <w:szCs w:val="32"/>
          <w:shd w:val="clear" w:color="auto" w:fill="FFFFFF"/>
        </w:rPr>
        <w:t>。主要原因是本年直属四个事业单位分开决算。较年初预算数减少</w:t>
      </w:r>
      <w:r>
        <w:rPr>
          <w:rFonts w:ascii="方正仿宋_GBK" w:eastAsia="方正仿宋_GBK" w:hAnsi="方正仿宋_GBK" w:cs="方正仿宋_GBK"/>
          <w:sz w:val="32"/>
          <w:szCs w:val="32"/>
          <w:shd w:val="clear" w:color="auto" w:fill="FFFFFF"/>
        </w:rPr>
        <w:t>25004.00</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75.83%</w:t>
      </w:r>
      <w:r>
        <w:rPr>
          <w:rFonts w:ascii="方正仿宋_GBK" w:eastAsia="方正仿宋_GBK" w:hAnsi="方正仿宋_GBK" w:cs="方正仿宋_GBK"/>
          <w:sz w:val="32"/>
          <w:szCs w:val="32"/>
          <w:shd w:val="clear" w:color="auto" w:fill="FFFFFF"/>
        </w:rPr>
        <w:t>。主要原因是本年直属四个事业单位分开决算。</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shd w:val="clear" w:color="auto" w:fill="FFFFFF"/>
        </w:rPr>
      </w:pPr>
      <w:r>
        <w:rPr>
          <w:rStyle w:val="a9"/>
          <w:rFonts w:ascii="方正仿宋_GBK" w:eastAsia="方正仿宋_GBK" w:hAnsi="方正仿宋_GBK" w:cs="方正仿宋_GBK"/>
          <w:sz w:val="32"/>
          <w:szCs w:val="32"/>
          <w:shd w:val="clear" w:color="auto" w:fill="FFFFFF"/>
        </w:rPr>
        <w:t>3.</w:t>
      </w:r>
      <w:r>
        <w:rPr>
          <w:rStyle w:val="a9"/>
          <w:rFonts w:ascii="方正仿宋_GBK" w:eastAsia="方正仿宋_GBK" w:hAnsi="方正仿宋_GBK" w:cs="方正仿宋_GBK"/>
          <w:sz w:val="32"/>
          <w:szCs w:val="32"/>
          <w:shd w:val="clear" w:color="auto" w:fill="FFFFFF"/>
        </w:rPr>
        <w:t>结转结</w:t>
      </w:r>
      <w:r>
        <w:rPr>
          <w:rStyle w:val="a9"/>
          <w:rFonts w:ascii="方正仿宋_GBK" w:eastAsia="方正仿宋_GBK" w:hAnsi="方正仿宋_GBK" w:cs="方正仿宋_GBK"/>
          <w:sz w:val="32"/>
          <w:szCs w:val="32"/>
          <w:shd w:val="clear" w:color="auto" w:fill="FFFFFF"/>
        </w:rPr>
        <w:t>余情况。</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年度年末一般公共预算财政拨款结转和结余</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万元，较上年决算数无增减。</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highlight w:val="cyan"/>
          <w:shd w:val="clear" w:color="auto" w:fill="FFFFFF"/>
        </w:rPr>
      </w:pPr>
      <w:r>
        <w:rPr>
          <w:rStyle w:val="a9"/>
          <w:rFonts w:ascii="方正仿宋_GBK" w:eastAsia="方正仿宋_GBK" w:hAnsi="方正仿宋_GBK" w:cs="方正仿宋_GBK"/>
          <w:sz w:val="32"/>
          <w:szCs w:val="32"/>
          <w:shd w:val="clear" w:color="auto" w:fill="FFFFFF"/>
        </w:rPr>
        <w:t xml:space="preserve"> 4.</w:t>
      </w:r>
      <w:r>
        <w:rPr>
          <w:rStyle w:val="a9"/>
          <w:rFonts w:ascii="方正仿宋_GBK" w:eastAsia="方正仿宋_GBK" w:hAnsi="方正仿宋_GBK" w:cs="方正仿宋_GBK"/>
          <w:sz w:val="32"/>
          <w:szCs w:val="32"/>
          <w:shd w:val="clear" w:color="auto" w:fill="FFFFFF"/>
        </w:rPr>
        <w:t>比较情况。</w:t>
      </w:r>
      <w:r>
        <w:rPr>
          <w:rFonts w:ascii="方正仿宋_GBK" w:eastAsia="方正仿宋_GBK" w:hAnsi="方正仿宋_GBK" w:cs="方正仿宋_GBK"/>
          <w:sz w:val="32"/>
          <w:szCs w:val="32"/>
          <w:shd w:val="clear" w:color="auto" w:fill="FFFFFF"/>
        </w:rPr>
        <w:t>本单位</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年度一般公共预算财政拨款支出主要用于以下几个方面：</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1</w:t>
      </w:r>
      <w:r>
        <w:rPr>
          <w:rFonts w:ascii="方正仿宋_GBK" w:eastAsia="方正仿宋_GBK" w:hAnsi="方正仿宋_GBK" w:cs="方正仿宋_GBK"/>
          <w:sz w:val="32"/>
          <w:szCs w:val="32"/>
          <w:shd w:val="clear" w:color="auto" w:fill="FFFFFF"/>
        </w:rPr>
        <w:t>）教育支出</w:t>
      </w:r>
      <w:r>
        <w:rPr>
          <w:rFonts w:ascii="方正仿宋_GBK" w:eastAsia="方正仿宋_GBK" w:hAnsi="方正仿宋_GBK" w:cs="方正仿宋_GBK"/>
          <w:sz w:val="32"/>
          <w:szCs w:val="32"/>
        </w:rPr>
        <w:t>6599.65</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rPr>
        <w:t>82.81</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，较年初预算数减少</w:t>
      </w:r>
      <w:r>
        <w:rPr>
          <w:rFonts w:ascii="方正仿宋_GBK" w:eastAsia="方正仿宋_GBK" w:hAnsi="方正仿宋_GBK" w:cs="方正仿宋_GBK"/>
          <w:sz w:val="32"/>
          <w:szCs w:val="32"/>
          <w:shd w:val="clear" w:color="auto" w:fill="FFFFFF"/>
        </w:rPr>
        <w:t>26199.66</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79.88%</w:t>
      </w:r>
      <w:r>
        <w:rPr>
          <w:rFonts w:ascii="方正仿宋_GBK" w:eastAsia="方正仿宋_GBK" w:hAnsi="方正仿宋_GBK" w:cs="方正仿宋_GBK"/>
          <w:sz w:val="32"/>
          <w:szCs w:val="32"/>
          <w:shd w:val="clear" w:color="auto" w:fill="FFFFFF"/>
        </w:rPr>
        <w:t>，主要原因是本年直属四个事业单位分开决算。</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lastRenderedPageBreak/>
        <w:t>（</w:t>
      </w:r>
      <w:r>
        <w:rPr>
          <w:rFonts w:ascii="方正仿宋_GBK" w:eastAsia="方正仿宋_GBK" w:hAnsi="方正仿宋_GBK" w:cs="方正仿宋_GBK"/>
          <w:sz w:val="32"/>
          <w:szCs w:val="32"/>
          <w:shd w:val="clear" w:color="auto" w:fill="FFFFFF"/>
        </w:rPr>
        <w:t>2</w:t>
      </w:r>
      <w:r>
        <w:rPr>
          <w:rFonts w:ascii="方正仿宋_GBK" w:eastAsia="方正仿宋_GBK" w:hAnsi="方正仿宋_GBK" w:cs="方正仿宋_GBK"/>
          <w:sz w:val="32"/>
          <w:szCs w:val="32"/>
          <w:shd w:val="clear" w:color="auto" w:fill="FFFFFF"/>
        </w:rPr>
        <w:t>）社会保障与就业支出</w:t>
      </w:r>
      <w:r>
        <w:rPr>
          <w:rFonts w:ascii="方正仿宋_GBK" w:eastAsia="方正仿宋_GBK" w:hAnsi="方正仿宋_GBK" w:cs="方正仿宋_GBK"/>
          <w:sz w:val="32"/>
          <w:szCs w:val="32"/>
        </w:rPr>
        <w:t>237.63</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rPr>
        <w:t>2.98</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，较年初预算数增加</w:t>
      </w:r>
      <w:r>
        <w:rPr>
          <w:rFonts w:ascii="方正仿宋_GBK" w:eastAsia="方正仿宋_GBK" w:hAnsi="方正仿宋_GBK" w:cs="方正仿宋_GBK"/>
          <w:sz w:val="32"/>
          <w:szCs w:val="32"/>
          <w:shd w:val="clear" w:color="auto" w:fill="FFFFFF"/>
        </w:rPr>
        <w:t>117.05</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97.07%</w:t>
      </w:r>
      <w:r>
        <w:rPr>
          <w:rFonts w:ascii="方正仿宋_GBK" w:eastAsia="方正仿宋_GBK" w:hAnsi="方正仿宋_GBK" w:cs="方正仿宋_GBK"/>
          <w:sz w:val="32"/>
          <w:szCs w:val="32"/>
          <w:shd w:val="clear" w:color="auto" w:fill="FFFFFF"/>
        </w:rPr>
        <w:t>，主要原因是公务员提高了社会保障基数标准。</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3</w:t>
      </w:r>
      <w:r>
        <w:rPr>
          <w:rFonts w:ascii="方正仿宋_GBK" w:eastAsia="方正仿宋_GBK" w:hAnsi="方正仿宋_GBK" w:cs="方正仿宋_GBK"/>
          <w:sz w:val="32"/>
          <w:szCs w:val="32"/>
          <w:shd w:val="clear" w:color="auto" w:fill="FFFFFF"/>
        </w:rPr>
        <w:t>）卫生健康支出</w:t>
      </w:r>
      <w:r>
        <w:rPr>
          <w:rFonts w:ascii="方正仿宋_GBK" w:eastAsia="方正仿宋_GBK" w:hAnsi="方正仿宋_GBK" w:cs="方正仿宋_GBK"/>
          <w:sz w:val="32"/>
          <w:szCs w:val="32"/>
        </w:rPr>
        <w:t>23.86</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rPr>
        <w:t>0.30</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，较年初预算数减少</w:t>
      </w:r>
      <w:r>
        <w:rPr>
          <w:rFonts w:ascii="方正仿宋_GBK" w:eastAsia="方正仿宋_GBK" w:hAnsi="方正仿宋_GBK" w:cs="方正仿宋_GBK"/>
          <w:sz w:val="32"/>
          <w:szCs w:val="32"/>
          <w:shd w:val="clear" w:color="auto" w:fill="FFFFFF"/>
        </w:rPr>
        <w:t>0.09</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0.38%</w:t>
      </w:r>
      <w:r>
        <w:rPr>
          <w:rFonts w:ascii="方正仿宋_GBK" w:eastAsia="方正仿宋_GBK" w:hAnsi="方正仿宋_GBK" w:cs="方正仿宋_GBK"/>
          <w:sz w:val="32"/>
          <w:szCs w:val="32"/>
          <w:shd w:val="clear" w:color="auto" w:fill="FFFFFF"/>
        </w:rPr>
        <w:t>，主要原因是人员增减更换导致年初预算减少。</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4</w:t>
      </w:r>
      <w:r>
        <w:rPr>
          <w:rFonts w:ascii="方正仿宋_GBK" w:eastAsia="方正仿宋_GBK" w:hAnsi="方正仿宋_GBK" w:cs="方正仿宋_GBK"/>
          <w:sz w:val="32"/>
          <w:szCs w:val="32"/>
          <w:shd w:val="clear" w:color="auto" w:fill="FFFFFF"/>
        </w:rPr>
        <w:t>）农林水支出</w:t>
      </w:r>
      <w:r>
        <w:rPr>
          <w:rFonts w:ascii="方正仿宋_GBK" w:eastAsia="方正仿宋_GBK" w:hAnsi="方正仿宋_GBK" w:cs="方正仿宋_GBK"/>
          <w:sz w:val="32"/>
          <w:szCs w:val="32"/>
        </w:rPr>
        <w:t>550.00</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rPr>
        <w:t>6.90</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，较年初预算数增加</w:t>
      </w:r>
      <w:r>
        <w:rPr>
          <w:rFonts w:ascii="方正仿宋_GBK" w:eastAsia="方正仿宋_GBK" w:hAnsi="方正仿宋_GBK" w:cs="方正仿宋_GBK"/>
          <w:sz w:val="32"/>
          <w:szCs w:val="32"/>
          <w:shd w:val="clear" w:color="auto" w:fill="FFFFFF"/>
        </w:rPr>
        <w:t>550.00</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100.00%</w:t>
      </w:r>
      <w:r>
        <w:rPr>
          <w:rFonts w:ascii="方正仿宋_GBK" w:eastAsia="方正仿宋_GBK" w:hAnsi="方正仿宋_GBK" w:cs="方正仿宋_GBK"/>
          <w:sz w:val="32"/>
          <w:szCs w:val="32"/>
          <w:shd w:val="clear" w:color="auto" w:fill="FFFFFF"/>
        </w:rPr>
        <w:t>，主要原因是本年度增加了农林水项目预算。</w:t>
      </w:r>
    </w:p>
    <w:p w:rsidR="00F530A1" w:rsidRDefault="00B77A9E">
      <w:pPr>
        <w:pStyle w:val="a7"/>
        <w:shd w:val="clear" w:color="auto" w:fill="FFFFFF"/>
        <w:ind w:firstLineChars="200" w:firstLine="640"/>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5</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rPr>
        <w:t>自然资源海洋气象等支出</w:t>
      </w:r>
      <w:r>
        <w:rPr>
          <w:rFonts w:ascii="方正仿宋_GBK" w:eastAsia="方正仿宋_GBK" w:hAnsi="方正仿宋_GBK" w:cs="方正仿宋_GBK"/>
          <w:sz w:val="32"/>
          <w:szCs w:val="32"/>
        </w:rPr>
        <w:t>538.08</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rPr>
        <w:t>6.75</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，较年初预算数增加</w:t>
      </w:r>
      <w:r>
        <w:rPr>
          <w:rFonts w:ascii="方正仿宋_GBK" w:eastAsia="方正仿宋_GBK" w:hAnsi="方正仿宋_GBK" w:cs="方正仿宋_GBK"/>
          <w:sz w:val="32"/>
          <w:szCs w:val="32"/>
          <w:shd w:val="clear" w:color="auto" w:fill="FFFFFF"/>
        </w:rPr>
        <w:t>538.08</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100.00%</w:t>
      </w:r>
      <w:r>
        <w:rPr>
          <w:rFonts w:ascii="方正仿宋_GBK" w:eastAsia="方正仿宋_GBK" w:hAnsi="方正仿宋_GBK" w:cs="方正仿宋_GBK"/>
          <w:sz w:val="32"/>
          <w:szCs w:val="32"/>
          <w:shd w:val="clear" w:color="auto" w:fill="FFFFFF"/>
        </w:rPr>
        <w:t>，主要原因是本年度增加了</w:t>
      </w:r>
      <w:r>
        <w:rPr>
          <w:rFonts w:ascii="方正仿宋_GBK" w:eastAsia="方正仿宋_GBK" w:hAnsi="方正仿宋_GBK" w:cs="方正仿宋_GBK"/>
          <w:sz w:val="32"/>
          <w:szCs w:val="32"/>
        </w:rPr>
        <w:t>自然资源海洋气象等</w:t>
      </w:r>
      <w:r>
        <w:rPr>
          <w:rFonts w:ascii="方正仿宋_GBK" w:eastAsia="方正仿宋_GBK" w:hAnsi="方正仿宋_GBK" w:cs="方正仿宋_GBK"/>
          <w:sz w:val="32"/>
          <w:szCs w:val="32"/>
          <w:shd w:val="clear" w:color="auto" w:fill="FFFFFF"/>
        </w:rPr>
        <w:t>项目预算。</w:t>
      </w:r>
    </w:p>
    <w:p w:rsidR="00F530A1" w:rsidRDefault="00B77A9E">
      <w:pPr>
        <w:pStyle w:val="a7"/>
        <w:shd w:val="clear" w:color="auto" w:fill="FFFFFF"/>
        <w:ind w:firstLineChars="200" w:firstLine="640"/>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6</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rPr>
        <w:t>住房保障支出</w:t>
      </w:r>
      <w:r>
        <w:rPr>
          <w:rFonts w:ascii="方正仿宋_GBK" w:eastAsia="方正仿宋_GBK" w:hAnsi="方正仿宋_GBK" w:cs="方正仿宋_GBK"/>
          <w:sz w:val="32"/>
          <w:szCs w:val="32"/>
        </w:rPr>
        <w:t>20.70</w:t>
      </w:r>
      <w:r>
        <w:rPr>
          <w:rFonts w:ascii="方正仿宋_GBK" w:eastAsia="方正仿宋_GBK" w:hAnsi="方正仿宋_GBK" w:cs="方正仿宋_GBK"/>
          <w:sz w:val="32"/>
          <w:szCs w:val="32"/>
          <w:shd w:val="clear" w:color="auto" w:fill="FFFFFF"/>
        </w:rPr>
        <w:t>万元，占</w:t>
      </w:r>
      <w:r>
        <w:rPr>
          <w:rFonts w:ascii="方正仿宋_GBK" w:eastAsia="方正仿宋_GBK" w:hAnsi="方正仿宋_GBK" w:cs="方正仿宋_GBK"/>
          <w:sz w:val="32"/>
          <w:szCs w:val="32"/>
        </w:rPr>
        <w:t>0.26</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，较年初预算数减少</w:t>
      </w:r>
      <w:r>
        <w:rPr>
          <w:rFonts w:ascii="方正仿宋_GBK" w:eastAsia="方正仿宋_GBK" w:hAnsi="方正仿宋_GBK" w:cs="方正仿宋_GBK"/>
          <w:sz w:val="32"/>
          <w:szCs w:val="32"/>
          <w:shd w:val="clear" w:color="auto" w:fill="FFFFFF"/>
        </w:rPr>
        <w:t>9.39</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31.21%</w:t>
      </w:r>
      <w:r>
        <w:rPr>
          <w:rFonts w:ascii="方正仿宋_GBK" w:eastAsia="方正仿宋_GBK" w:hAnsi="方正仿宋_GBK" w:cs="方正仿宋_GBK"/>
          <w:sz w:val="32"/>
          <w:szCs w:val="32"/>
          <w:shd w:val="clear" w:color="auto" w:fill="FFFFFF"/>
        </w:rPr>
        <w:t>，主要原因</w:t>
      </w:r>
      <w:r>
        <w:rPr>
          <w:rFonts w:ascii="方正仿宋_GBK" w:eastAsia="方正仿宋_GBK" w:hAnsi="方正仿宋_GBK" w:cs="方正仿宋_GBK"/>
          <w:sz w:val="32"/>
          <w:szCs w:val="32"/>
          <w:shd w:val="clear" w:color="auto" w:fill="FFFFFF"/>
        </w:rPr>
        <w:t>是上年度补交公务员公积金以前年度调标。</w:t>
      </w:r>
    </w:p>
    <w:p w:rsidR="00F530A1" w:rsidRDefault="00B77A9E">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（四）一般公共预算财政拨款基本支出决算情况说明</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 2023</w:t>
      </w:r>
      <w:r>
        <w:rPr>
          <w:rFonts w:ascii="方正仿宋_GBK" w:eastAsia="方正仿宋_GBK" w:hAnsi="方正仿宋_GBK" w:cs="方正仿宋_GBK"/>
          <w:sz w:val="32"/>
          <w:szCs w:val="32"/>
          <w:shd w:val="clear" w:color="auto" w:fill="FFFFFF"/>
        </w:rPr>
        <w:t>年度一般公共财政拨款基本支出</w:t>
      </w:r>
      <w:r>
        <w:rPr>
          <w:rFonts w:ascii="方正仿宋_GBK" w:eastAsia="方正仿宋_GBK" w:hAnsi="方正仿宋_GBK" w:cs="方正仿宋_GBK"/>
          <w:sz w:val="32"/>
          <w:szCs w:val="32"/>
        </w:rPr>
        <w:t>859.28</w:t>
      </w:r>
      <w:r>
        <w:rPr>
          <w:rFonts w:ascii="方正仿宋_GBK" w:eastAsia="方正仿宋_GBK" w:hAnsi="方正仿宋_GBK" w:cs="方正仿宋_GBK"/>
          <w:sz w:val="32"/>
          <w:szCs w:val="32"/>
          <w:shd w:val="clear" w:color="auto" w:fill="FFFFFF"/>
        </w:rPr>
        <w:t>万元。其中：人员经费</w:t>
      </w:r>
      <w:r>
        <w:rPr>
          <w:rFonts w:ascii="方正仿宋_GBK" w:eastAsia="方正仿宋_GBK" w:hAnsi="方正仿宋_GBK" w:cs="方正仿宋_GBK"/>
          <w:sz w:val="32"/>
          <w:szCs w:val="32"/>
        </w:rPr>
        <w:t>550.05</w:t>
      </w:r>
      <w:r>
        <w:rPr>
          <w:rFonts w:ascii="方正仿宋_GBK" w:eastAsia="方正仿宋_GBK" w:hAnsi="方正仿宋_GBK" w:cs="方正仿宋_GBK"/>
          <w:sz w:val="32"/>
          <w:szCs w:val="32"/>
          <w:shd w:val="clear" w:color="auto" w:fill="FFFFFF"/>
        </w:rPr>
        <w:t>万元，较上年决算数减少</w:t>
      </w:r>
      <w:r>
        <w:rPr>
          <w:rFonts w:ascii="方正仿宋_GBK" w:eastAsia="方正仿宋_GBK" w:hAnsi="方正仿宋_GBK" w:cs="方正仿宋_GBK"/>
          <w:sz w:val="32"/>
          <w:szCs w:val="32"/>
          <w:shd w:val="clear" w:color="auto" w:fill="FFFFFF"/>
        </w:rPr>
        <w:t>633.35</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53.52%</w:t>
      </w:r>
      <w:r>
        <w:rPr>
          <w:rFonts w:ascii="方正仿宋_GBK" w:eastAsia="方正仿宋_GBK" w:hAnsi="方正仿宋_GBK" w:cs="方正仿宋_GBK"/>
          <w:sz w:val="32"/>
          <w:szCs w:val="32"/>
          <w:shd w:val="clear" w:color="auto" w:fill="FFFFFF"/>
        </w:rPr>
        <w:t>，主要原因是本年直属四个事业单位分开决算。人员经费用途主要包括</w:t>
      </w:r>
      <w:r>
        <w:rPr>
          <w:rFonts w:ascii="仿宋_GB2312" w:eastAsia="仿宋_GB2312" w:hAnsi="仿宋"/>
          <w:sz w:val="32"/>
          <w:szCs w:val="32"/>
        </w:rPr>
        <w:t>保障人员工资及绩效、五险一金的发放</w:t>
      </w:r>
      <w:r>
        <w:rPr>
          <w:rFonts w:ascii="方正仿宋_GBK" w:eastAsia="方正仿宋_GBK" w:hAnsi="方正仿宋_GBK" w:cs="方正仿宋_GBK"/>
          <w:sz w:val="32"/>
          <w:szCs w:val="32"/>
          <w:shd w:val="clear" w:color="auto" w:fill="FFFFFF"/>
        </w:rPr>
        <w:t>。公用经费</w:t>
      </w:r>
      <w:r>
        <w:rPr>
          <w:rFonts w:ascii="方正仿宋_GBK" w:eastAsia="方正仿宋_GBK" w:hAnsi="方正仿宋_GBK" w:cs="方正仿宋_GBK"/>
          <w:sz w:val="32"/>
          <w:szCs w:val="32"/>
        </w:rPr>
        <w:t>309.23</w:t>
      </w:r>
      <w:r>
        <w:rPr>
          <w:rFonts w:ascii="方正仿宋_GBK" w:eastAsia="方正仿宋_GBK" w:hAnsi="方正仿宋_GBK" w:cs="方正仿宋_GBK"/>
          <w:sz w:val="32"/>
          <w:szCs w:val="32"/>
          <w:shd w:val="clear" w:color="auto" w:fill="FFFFFF"/>
        </w:rPr>
        <w:t>万元，较上年决算数减少</w:t>
      </w:r>
      <w:r>
        <w:rPr>
          <w:rFonts w:ascii="方正仿宋_GBK" w:eastAsia="方正仿宋_GBK" w:hAnsi="方正仿宋_GBK" w:cs="方正仿宋_GBK"/>
          <w:sz w:val="32"/>
          <w:szCs w:val="32"/>
          <w:shd w:val="clear" w:color="auto" w:fill="FFFFFF"/>
        </w:rPr>
        <w:t>82.74</w:t>
      </w:r>
      <w:r>
        <w:rPr>
          <w:rFonts w:ascii="方正仿宋_GBK" w:eastAsia="方正仿宋_GBK" w:hAnsi="方正仿宋_GBK" w:cs="方正仿宋_GBK"/>
          <w:sz w:val="32"/>
          <w:szCs w:val="32"/>
          <w:shd w:val="clear" w:color="auto" w:fill="FFFFFF"/>
        </w:rPr>
        <w:t>万元，</w:t>
      </w:r>
      <w:r>
        <w:rPr>
          <w:rFonts w:ascii="方正仿宋_GBK" w:eastAsia="方正仿宋_GBK" w:hAnsi="方正仿宋_GBK" w:cs="方正仿宋_GBK"/>
          <w:sz w:val="32"/>
          <w:szCs w:val="32"/>
          <w:shd w:val="clear" w:color="auto" w:fill="FFFFFF"/>
        </w:rPr>
        <w:lastRenderedPageBreak/>
        <w:t>下降</w:t>
      </w:r>
      <w:r>
        <w:rPr>
          <w:rFonts w:ascii="方正仿宋_GBK" w:eastAsia="方正仿宋_GBK" w:hAnsi="方正仿宋_GBK" w:cs="方正仿宋_GBK"/>
          <w:sz w:val="32"/>
          <w:szCs w:val="32"/>
          <w:shd w:val="clear" w:color="auto" w:fill="FFFFFF"/>
        </w:rPr>
        <w:t>21.11%</w:t>
      </w:r>
      <w:r>
        <w:rPr>
          <w:rFonts w:ascii="方正仿宋_GBK" w:eastAsia="方正仿宋_GBK" w:hAnsi="方正仿宋_GBK" w:cs="方正仿宋_GBK"/>
          <w:sz w:val="32"/>
          <w:szCs w:val="32"/>
          <w:shd w:val="clear" w:color="auto" w:fill="FFFFFF"/>
        </w:rPr>
        <w:t>，主要原因是本年直属四个事业单位分开决算。公用经费用途主要包括办公用品购置、办公业务活动费用、水、电、气、差旅、培</w:t>
      </w:r>
      <w:r>
        <w:rPr>
          <w:rFonts w:ascii="方正仿宋_GBK" w:eastAsia="方正仿宋_GBK" w:hAnsi="方正仿宋_GBK" w:cs="方正仿宋_GBK"/>
          <w:sz w:val="32"/>
          <w:szCs w:val="32"/>
          <w:shd w:val="clear" w:color="auto" w:fill="FFFFFF"/>
        </w:rPr>
        <w:t>训等。</w:t>
      </w:r>
    </w:p>
    <w:p w:rsidR="00F530A1" w:rsidRDefault="00B77A9E">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（五）政府性基金预算收支决算情况说明</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sz w:val="32"/>
          <w:szCs w:val="32"/>
          <w:shd w:val="clear" w:color="auto" w:fill="FFFFFF"/>
        </w:rPr>
        <w:t>本单位</w:t>
      </w:r>
      <w:r>
        <w:rPr>
          <w:rFonts w:ascii="方正仿宋_GBK" w:eastAsia="方正仿宋_GBK"/>
          <w:sz w:val="32"/>
          <w:szCs w:val="32"/>
          <w:shd w:val="clear" w:color="auto" w:fill="FFFFFF"/>
        </w:rPr>
        <w:t>2023</w:t>
      </w:r>
      <w:r>
        <w:rPr>
          <w:rFonts w:ascii="方正仿宋_GBK" w:eastAsia="方正仿宋_GBK"/>
          <w:sz w:val="32"/>
          <w:szCs w:val="32"/>
          <w:shd w:val="clear" w:color="auto" w:fill="FFFFFF"/>
        </w:rPr>
        <w:t>年度无政府性基金预算财政拨款收支。</w:t>
      </w:r>
    </w:p>
    <w:p w:rsidR="00F530A1" w:rsidRDefault="00B77A9E">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（六）国有资本经营预算财政拨款支出决算情况说明</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sz w:val="32"/>
          <w:szCs w:val="32"/>
          <w:shd w:val="clear" w:color="auto" w:fill="FFFFFF"/>
        </w:rPr>
        <w:t>本单位</w:t>
      </w:r>
      <w:r>
        <w:rPr>
          <w:rFonts w:ascii="方正仿宋_GBK" w:eastAsia="方正仿宋_GBK"/>
          <w:sz w:val="32"/>
          <w:szCs w:val="32"/>
          <w:shd w:val="clear" w:color="auto" w:fill="FFFFFF"/>
        </w:rPr>
        <w:t>2023</w:t>
      </w:r>
      <w:r>
        <w:rPr>
          <w:rFonts w:ascii="方正仿宋_GBK" w:eastAsia="方正仿宋_GBK"/>
          <w:sz w:val="32"/>
          <w:szCs w:val="32"/>
          <w:shd w:val="clear" w:color="auto" w:fill="FFFFFF"/>
        </w:rPr>
        <w:t>年度无国有资本经营预算财政拨款支出。</w:t>
      </w:r>
    </w:p>
    <w:p w:rsidR="00F530A1" w:rsidRDefault="00B77A9E">
      <w:pPr>
        <w:pStyle w:val="a7"/>
        <w:shd w:val="clear" w:color="auto" w:fill="FFFFFF"/>
        <w:rPr>
          <w:rStyle w:val="a9"/>
          <w:rFonts w:ascii="黑体" w:eastAsia="黑体" w:hAnsi="黑体" w:cs="黑体" w:hint="default"/>
          <w:sz w:val="32"/>
          <w:szCs w:val="32"/>
          <w:shd w:val="clear" w:color="auto" w:fill="FFFFFF"/>
        </w:rPr>
      </w:pPr>
      <w:r>
        <w:rPr>
          <w:rStyle w:val="a9"/>
          <w:rFonts w:ascii="黑体" w:eastAsia="黑体" w:hAnsi="黑体" w:cs="黑体"/>
          <w:sz w:val="32"/>
          <w:szCs w:val="32"/>
          <w:shd w:val="clear" w:color="auto" w:fill="FFFFFF"/>
        </w:rPr>
        <w:t>三、“三公”经费情况说明</w:t>
      </w:r>
    </w:p>
    <w:p w:rsidR="00F530A1" w:rsidRDefault="00B77A9E">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（一）“三公”经费支出总体情况说明</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年度“三公”经费支出共计</w:t>
      </w:r>
      <w:r>
        <w:rPr>
          <w:rFonts w:ascii="方正仿宋_GBK" w:eastAsia="方正仿宋_GBK" w:hAnsi="方正仿宋_GBK" w:cs="方正仿宋_GBK"/>
          <w:sz w:val="32"/>
          <w:szCs w:val="32"/>
        </w:rPr>
        <w:t>3.89</w:t>
      </w:r>
      <w:r>
        <w:rPr>
          <w:rFonts w:ascii="方正仿宋_GBK" w:eastAsia="方正仿宋_GBK" w:hAnsi="方正仿宋_GBK" w:cs="方正仿宋_GBK"/>
          <w:sz w:val="32"/>
          <w:szCs w:val="32"/>
          <w:shd w:val="clear" w:color="auto" w:fill="FFFFFF"/>
        </w:rPr>
        <w:t>万元，较年初预算数增加</w:t>
      </w:r>
      <w:r>
        <w:rPr>
          <w:rFonts w:ascii="方正仿宋_GBK" w:eastAsia="方正仿宋_GBK" w:hAnsi="方正仿宋_GBK" w:cs="方正仿宋_GBK"/>
          <w:sz w:val="32"/>
          <w:szCs w:val="32"/>
          <w:shd w:val="clear" w:color="auto" w:fill="FFFFFF"/>
        </w:rPr>
        <w:t>1.89</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94.50%</w:t>
      </w:r>
      <w:r>
        <w:rPr>
          <w:rFonts w:ascii="方正仿宋_GBK" w:eastAsia="方正仿宋_GBK" w:hAnsi="方正仿宋_GBK" w:cs="方正仿宋_GBK"/>
          <w:sz w:val="32"/>
          <w:szCs w:val="32"/>
          <w:shd w:val="clear" w:color="auto" w:fill="FFFFFF"/>
        </w:rPr>
        <w:t>，主要原因是公务车运行维护费未纳入本单位预算（预算在教育督导评估中心），但由于资产在本单位核算，支出也纳入本单位核算。较上年支出数减少</w:t>
      </w:r>
      <w:r>
        <w:rPr>
          <w:rFonts w:ascii="方正仿宋_GBK" w:eastAsia="方正仿宋_GBK" w:hAnsi="方正仿宋_GBK" w:cs="方正仿宋_GBK"/>
          <w:sz w:val="32"/>
          <w:szCs w:val="32"/>
          <w:shd w:val="clear" w:color="auto" w:fill="FFFFFF"/>
        </w:rPr>
        <w:t>4.20</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51.92%</w:t>
      </w:r>
      <w:r>
        <w:rPr>
          <w:rFonts w:ascii="方正仿宋_GBK" w:eastAsia="方正仿宋_GBK" w:hAnsi="方正仿宋_GBK" w:cs="方正仿宋_GBK"/>
          <w:sz w:val="32"/>
          <w:szCs w:val="32"/>
          <w:shd w:val="clear" w:color="auto" w:fill="FFFFFF"/>
        </w:rPr>
        <w:t>，主要原因是本年直属四个事业单位分开决算。</w:t>
      </w:r>
    </w:p>
    <w:p w:rsidR="00F530A1" w:rsidRDefault="00B77A9E">
      <w:pPr>
        <w:pStyle w:val="a7"/>
        <w:snapToGrid w:val="0"/>
        <w:spacing w:before="0" w:beforeAutospacing="0" w:after="0" w:afterAutospacing="0" w:line="600" w:lineRule="exact"/>
        <w:ind w:firstLineChars="200" w:firstLine="643"/>
        <w:jc w:val="both"/>
        <w:rPr>
          <w:rFonts w:ascii="楷体" w:eastAsia="楷体" w:hAnsi="楷体" w:cs="楷体" w:hint="default"/>
          <w:b/>
          <w:bCs/>
          <w:sz w:val="32"/>
          <w:szCs w:val="32"/>
          <w:shd w:val="clear" w:color="auto" w:fill="FFFFFF"/>
        </w:rPr>
      </w:pPr>
      <w:r>
        <w:rPr>
          <w:rFonts w:ascii="楷体" w:eastAsia="楷体" w:hAnsi="楷体" w:cs="楷体"/>
          <w:b/>
          <w:bCs/>
          <w:sz w:val="32"/>
          <w:szCs w:val="32"/>
          <w:shd w:val="clear" w:color="auto" w:fill="FFFFFF"/>
        </w:rPr>
        <w:t>（二）“三公”经费分项支出情况</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年度本单位因公出国（境）费用</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万元，费用支出较年初预算数无增减，主要原因是本单位无因公出国（境）。较上年支出数无增减，主要原因是本单位无因公出国（境）预算。</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lastRenderedPageBreak/>
        <w:t> </w:t>
      </w:r>
      <w:r>
        <w:rPr>
          <w:rFonts w:ascii="方正仿宋_GBK" w:eastAsia="方正仿宋_GBK" w:hAnsi="方正仿宋_GBK" w:cs="方正仿宋_GBK"/>
          <w:sz w:val="32"/>
          <w:szCs w:val="32"/>
          <w:shd w:val="clear" w:color="auto" w:fill="FFFFFF"/>
        </w:rPr>
        <w:t>公务车购置费</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万元，费用支出较年初预算数无增减，主要原因是本单位无新增公务用车购置。较上年支出数无增减，主要原因是本单位无新增公务用车购置预算。</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 </w:t>
      </w:r>
      <w:r>
        <w:rPr>
          <w:rFonts w:ascii="方正仿宋_GBK" w:eastAsia="方正仿宋_GBK" w:hAnsi="方正仿宋_GBK" w:cs="方正仿宋_GBK"/>
          <w:sz w:val="32"/>
          <w:szCs w:val="32"/>
          <w:shd w:val="clear" w:color="auto" w:fill="FFFFFF"/>
        </w:rPr>
        <w:t>公务车运行维护费</w:t>
      </w:r>
      <w:r>
        <w:rPr>
          <w:rFonts w:ascii="方正仿宋_GBK" w:eastAsia="方正仿宋_GBK" w:hAnsi="方正仿宋_GBK" w:cs="方正仿宋_GBK"/>
          <w:sz w:val="32"/>
          <w:szCs w:val="32"/>
        </w:rPr>
        <w:t>2.90</w:t>
      </w:r>
      <w:r>
        <w:rPr>
          <w:rFonts w:ascii="方正仿宋_GBK" w:eastAsia="方正仿宋_GBK" w:hAnsi="方正仿宋_GBK" w:cs="方正仿宋_GBK"/>
          <w:sz w:val="32"/>
          <w:szCs w:val="32"/>
          <w:shd w:val="clear" w:color="auto" w:fill="FFFFFF"/>
        </w:rPr>
        <w:t>万元，主要用于办学水平督导和政务事务办理。费用支出较年初预算数增加</w:t>
      </w:r>
      <w:r>
        <w:rPr>
          <w:rFonts w:ascii="方正仿宋_GBK" w:eastAsia="方正仿宋_GBK" w:hAnsi="方正仿宋_GBK" w:cs="方正仿宋_GBK"/>
          <w:sz w:val="32"/>
          <w:szCs w:val="32"/>
          <w:shd w:val="clear" w:color="auto" w:fill="FFFFFF"/>
        </w:rPr>
        <w:t>2.90</w:t>
      </w:r>
      <w:r>
        <w:rPr>
          <w:rFonts w:ascii="方正仿宋_GBK" w:eastAsia="方正仿宋_GBK" w:hAnsi="方正仿宋_GBK" w:cs="方正仿宋_GBK"/>
          <w:sz w:val="32"/>
          <w:szCs w:val="32"/>
          <w:shd w:val="clear" w:color="auto" w:fill="FFFFFF"/>
        </w:rPr>
        <w:t>万元，增长</w:t>
      </w:r>
      <w:r>
        <w:rPr>
          <w:rFonts w:ascii="方正仿宋_GBK" w:eastAsia="方正仿宋_GBK" w:hAnsi="方正仿宋_GBK" w:cs="方正仿宋_GBK"/>
          <w:sz w:val="32"/>
          <w:szCs w:val="32"/>
          <w:shd w:val="clear" w:color="auto" w:fill="FFFFFF"/>
        </w:rPr>
        <w:t>100.00%</w:t>
      </w:r>
      <w:r>
        <w:rPr>
          <w:rFonts w:ascii="方正仿宋_GBK" w:eastAsia="方正仿宋_GBK" w:hAnsi="方正仿宋_GBK" w:cs="方正仿宋_GBK"/>
          <w:sz w:val="32"/>
          <w:szCs w:val="32"/>
          <w:shd w:val="clear" w:color="auto" w:fill="FFFFFF"/>
        </w:rPr>
        <w:t>，主要原因是公务车运行维护费未纳入本单位预算（预算在教育督导评估中心），但由于资产在本单位核算，支出也纳入本单位核算。较上年支出数减少</w:t>
      </w:r>
      <w:r>
        <w:rPr>
          <w:rFonts w:ascii="方正仿宋_GBK" w:eastAsia="方正仿宋_GBK" w:hAnsi="方正仿宋_GBK" w:cs="方正仿宋_GBK"/>
          <w:sz w:val="32"/>
          <w:szCs w:val="32"/>
          <w:shd w:val="clear" w:color="auto" w:fill="FFFFFF"/>
        </w:rPr>
        <w:t>0.36</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11.04%</w:t>
      </w:r>
      <w:r>
        <w:rPr>
          <w:rFonts w:ascii="方正仿宋_GBK" w:eastAsia="方正仿宋_GBK" w:hAnsi="方正仿宋_GBK" w:cs="方正仿宋_GBK"/>
          <w:sz w:val="32"/>
          <w:szCs w:val="32"/>
          <w:shd w:val="clear" w:color="auto" w:fill="FFFFFF"/>
        </w:rPr>
        <w:t>，主要原因是本单位控制“三公”经费预算。</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 </w:t>
      </w:r>
      <w:r>
        <w:rPr>
          <w:rFonts w:ascii="方正仿宋_GBK" w:eastAsia="方正仿宋_GBK" w:hAnsi="方正仿宋_GBK" w:cs="方正仿宋_GBK"/>
          <w:sz w:val="32"/>
          <w:szCs w:val="32"/>
          <w:shd w:val="clear" w:color="auto" w:fill="FFFFFF"/>
        </w:rPr>
        <w:t>公务接待费</w:t>
      </w:r>
      <w:r>
        <w:rPr>
          <w:rFonts w:ascii="方正仿宋_GBK" w:eastAsia="方正仿宋_GBK" w:hAnsi="方正仿宋_GBK" w:cs="方正仿宋_GBK"/>
          <w:sz w:val="32"/>
          <w:szCs w:val="32"/>
        </w:rPr>
        <w:t>0.99</w:t>
      </w:r>
      <w:r>
        <w:rPr>
          <w:rFonts w:ascii="方正仿宋_GBK" w:eastAsia="方正仿宋_GBK" w:hAnsi="方正仿宋_GBK" w:cs="方正仿宋_GBK"/>
          <w:sz w:val="32"/>
          <w:szCs w:val="32"/>
          <w:shd w:val="clear" w:color="auto" w:fill="FFFFFF"/>
        </w:rPr>
        <w:t>万元，主要用于接待上级检查、督</w:t>
      </w:r>
      <w:r>
        <w:rPr>
          <w:rFonts w:ascii="方正仿宋_GBK" w:eastAsia="方正仿宋_GBK" w:hAnsi="方正仿宋_GBK" w:cs="方正仿宋_GBK"/>
          <w:sz w:val="32"/>
          <w:szCs w:val="32"/>
          <w:shd w:val="clear" w:color="auto" w:fill="FFFFFF"/>
        </w:rPr>
        <w:t>导及经验交流。费用支出较年初预算数减少</w:t>
      </w:r>
      <w:r>
        <w:rPr>
          <w:rFonts w:ascii="方正仿宋_GBK" w:eastAsia="方正仿宋_GBK" w:hAnsi="方正仿宋_GBK" w:cs="方正仿宋_GBK"/>
          <w:sz w:val="32"/>
          <w:szCs w:val="32"/>
          <w:shd w:val="clear" w:color="auto" w:fill="FFFFFF"/>
        </w:rPr>
        <w:t>1.01</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50.50%</w:t>
      </w:r>
      <w:r>
        <w:rPr>
          <w:rFonts w:ascii="方正仿宋_GBK" w:eastAsia="方正仿宋_GBK" w:hAnsi="方正仿宋_GBK" w:cs="方正仿宋_GBK"/>
          <w:sz w:val="32"/>
          <w:szCs w:val="32"/>
          <w:shd w:val="clear" w:color="auto" w:fill="FFFFFF"/>
        </w:rPr>
        <w:t>，主要原因是本单位控制“三公”经费预算。较上年支出数减少</w:t>
      </w:r>
      <w:r>
        <w:rPr>
          <w:rFonts w:ascii="方正仿宋_GBK" w:eastAsia="方正仿宋_GBK" w:hAnsi="方正仿宋_GBK" w:cs="方正仿宋_GBK"/>
          <w:sz w:val="32"/>
          <w:szCs w:val="32"/>
          <w:shd w:val="clear" w:color="auto" w:fill="FFFFFF"/>
        </w:rPr>
        <w:t>3.84</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79.50%</w:t>
      </w:r>
      <w:r>
        <w:rPr>
          <w:rFonts w:ascii="方正仿宋_GBK" w:eastAsia="方正仿宋_GBK" w:hAnsi="方正仿宋_GBK" w:cs="方正仿宋_GBK"/>
          <w:sz w:val="32"/>
          <w:szCs w:val="32"/>
          <w:shd w:val="clear" w:color="auto" w:fill="FFFFFF"/>
        </w:rPr>
        <w:t>，主要原因是本单位控制“三公”经费预算。</w:t>
      </w:r>
      <w:r>
        <w:rPr>
          <w:rFonts w:ascii="方正仿宋_GBK" w:eastAsia="方正仿宋_GBK" w:hAnsi="方正仿宋_GBK" w:cs="方正仿宋_GBK" w:hint="default"/>
          <w:sz w:val="32"/>
          <w:szCs w:val="32"/>
        </w:rPr>
        <w:t xml:space="preserve"> </w:t>
      </w:r>
    </w:p>
    <w:p w:rsidR="00F530A1" w:rsidRDefault="00B77A9E">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（三）“三公”经费实物量情况</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  2023</w:t>
      </w:r>
      <w:r>
        <w:rPr>
          <w:rFonts w:ascii="方正仿宋_GBK" w:eastAsia="方正仿宋_GBK" w:hAnsi="方正仿宋_GBK" w:cs="方正仿宋_GBK"/>
          <w:sz w:val="32"/>
          <w:szCs w:val="32"/>
          <w:shd w:val="clear" w:color="auto" w:fill="FFFFFF"/>
        </w:rPr>
        <w:t>年度本单位因公出国（境）共计</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个团组，</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人；公务用车购置</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辆，公务车保有量为</w:t>
      </w:r>
      <w:r>
        <w:rPr>
          <w:rFonts w:ascii="方正仿宋_GBK" w:eastAsia="方正仿宋_GBK" w:hAnsi="方正仿宋_GBK" w:cs="方正仿宋_GBK"/>
          <w:sz w:val="32"/>
          <w:szCs w:val="32"/>
        </w:rPr>
        <w:t>1</w:t>
      </w:r>
      <w:r>
        <w:rPr>
          <w:rFonts w:ascii="方正仿宋_GBK" w:eastAsia="方正仿宋_GBK" w:hAnsi="方正仿宋_GBK" w:cs="方正仿宋_GBK"/>
          <w:sz w:val="32"/>
          <w:szCs w:val="32"/>
          <w:shd w:val="clear" w:color="auto" w:fill="FFFFFF"/>
        </w:rPr>
        <w:t>辆；国内公务接待</w:t>
      </w:r>
      <w:r>
        <w:rPr>
          <w:rFonts w:ascii="方正仿宋_GBK" w:eastAsia="方正仿宋_GBK" w:hAnsi="方正仿宋_GBK" w:cs="方正仿宋_GBK"/>
          <w:sz w:val="32"/>
          <w:szCs w:val="32"/>
        </w:rPr>
        <w:t>16</w:t>
      </w:r>
      <w:r>
        <w:rPr>
          <w:rFonts w:ascii="方正仿宋_GBK" w:eastAsia="方正仿宋_GBK" w:hAnsi="方正仿宋_GBK" w:cs="方正仿宋_GBK"/>
          <w:sz w:val="32"/>
          <w:szCs w:val="32"/>
          <w:shd w:val="clear" w:color="auto" w:fill="FFFFFF"/>
        </w:rPr>
        <w:t>批次</w:t>
      </w:r>
      <w:r>
        <w:rPr>
          <w:rFonts w:ascii="方正仿宋_GBK" w:eastAsia="方正仿宋_GBK" w:hAnsi="方正仿宋_GBK" w:cs="方正仿宋_GBK"/>
          <w:sz w:val="32"/>
          <w:szCs w:val="32"/>
        </w:rPr>
        <w:t>103</w:t>
      </w:r>
      <w:r>
        <w:rPr>
          <w:rFonts w:ascii="方正仿宋_GBK" w:eastAsia="方正仿宋_GBK" w:hAnsi="方正仿宋_GBK" w:cs="方正仿宋_GBK"/>
          <w:sz w:val="32"/>
          <w:szCs w:val="32"/>
          <w:shd w:val="clear" w:color="auto" w:fill="FFFFFF"/>
        </w:rPr>
        <w:t>人，其中：国内外事接待</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批次，</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人；国（境）外公务接待</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批次，</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人。</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年本单位人均接待费</w:t>
      </w:r>
      <w:r>
        <w:rPr>
          <w:rFonts w:ascii="方正仿宋_GBK" w:eastAsia="方正仿宋_GBK" w:hAnsi="方正仿宋_GBK" w:cs="方正仿宋_GBK"/>
          <w:sz w:val="32"/>
          <w:szCs w:val="32"/>
        </w:rPr>
        <w:t>96.05</w:t>
      </w:r>
      <w:r>
        <w:rPr>
          <w:rFonts w:ascii="方正仿宋_GBK" w:eastAsia="方正仿宋_GBK" w:hAnsi="方正仿宋_GBK" w:cs="方正仿宋_GBK"/>
          <w:sz w:val="32"/>
          <w:szCs w:val="32"/>
          <w:shd w:val="clear" w:color="auto" w:fill="FFFFFF"/>
        </w:rPr>
        <w:t>元，车均购置费</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万元，车均维护费</w:t>
      </w:r>
      <w:r>
        <w:rPr>
          <w:rFonts w:ascii="方正仿宋_GBK" w:eastAsia="方正仿宋_GBK" w:hAnsi="方正仿宋_GBK" w:cs="方正仿宋_GBK"/>
          <w:sz w:val="32"/>
          <w:szCs w:val="32"/>
        </w:rPr>
        <w:t>2.90</w:t>
      </w:r>
      <w:r>
        <w:rPr>
          <w:rFonts w:ascii="方正仿宋_GBK" w:eastAsia="方正仿宋_GBK" w:hAnsi="方正仿宋_GBK" w:cs="方正仿宋_GBK"/>
          <w:sz w:val="32"/>
          <w:szCs w:val="32"/>
          <w:shd w:val="clear" w:color="auto" w:fill="FFFFFF"/>
        </w:rPr>
        <w:t>万元。</w:t>
      </w:r>
    </w:p>
    <w:p w:rsidR="00F530A1" w:rsidRDefault="00B77A9E">
      <w:pPr>
        <w:pStyle w:val="a7"/>
        <w:shd w:val="clear" w:color="auto" w:fill="FFFFFF"/>
        <w:rPr>
          <w:rStyle w:val="a9"/>
          <w:rFonts w:ascii="方正仿宋_GBK" w:eastAsia="方正仿宋_GBK" w:hAnsi="方正仿宋_GBK" w:cs="方正仿宋_GBK" w:hint="default"/>
          <w:sz w:val="32"/>
          <w:szCs w:val="32"/>
          <w:shd w:val="clear" w:color="auto" w:fill="FFFFFF"/>
        </w:rPr>
      </w:pPr>
      <w:r>
        <w:rPr>
          <w:rStyle w:val="a9"/>
          <w:rFonts w:ascii="黑体" w:eastAsia="黑体" w:hAnsi="黑体" w:cs="黑体"/>
          <w:sz w:val="32"/>
          <w:szCs w:val="32"/>
          <w:shd w:val="clear" w:color="auto" w:fill="FFFFFF"/>
        </w:rPr>
        <w:t>四、其他需要说明的事项</w:t>
      </w:r>
    </w:p>
    <w:p w:rsidR="00F530A1" w:rsidRDefault="00B77A9E">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（一）财政拨款会议费和培训费情况说明</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bookmarkStart w:id="0" w:name="_GoBack"/>
      <w:bookmarkEnd w:id="0"/>
      <w:r>
        <w:rPr>
          <w:rFonts w:ascii="方正仿宋_GBK" w:eastAsia="方正仿宋_GBK" w:hAnsi="方正仿宋_GBK" w:cs="方正仿宋_GBK"/>
          <w:sz w:val="32"/>
          <w:szCs w:val="32"/>
          <w:shd w:val="clear" w:color="auto" w:fill="FFFFFF"/>
        </w:rPr>
        <w:lastRenderedPageBreak/>
        <w:t>本年度会议费支出</w:t>
      </w:r>
      <w:r>
        <w:rPr>
          <w:rFonts w:ascii="方正仿宋_GBK" w:eastAsia="方正仿宋_GBK" w:hAnsi="方正仿宋_GBK" w:cs="方正仿宋_GBK"/>
          <w:sz w:val="32"/>
          <w:szCs w:val="32"/>
        </w:rPr>
        <w:t>1.79</w:t>
      </w:r>
      <w:r>
        <w:rPr>
          <w:rFonts w:ascii="方正仿宋_GBK" w:eastAsia="方正仿宋_GBK" w:hAnsi="方正仿宋_GBK" w:cs="方正仿宋_GBK"/>
          <w:sz w:val="32"/>
          <w:szCs w:val="32"/>
          <w:shd w:val="clear" w:color="auto" w:fill="FFFFFF"/>
        </w:rPr>
        <w:t>万元，较上年决算数减少</w:t>
      </w:r>
      <w:r>
        <w:rPr>
          <w:rFonts w:ascii="方正仿宋_GBK" w:eastAsia="方正仿宋_GBK" w:hAnsi="方正仿宋_GBK" w:cs="方正仿宋_GBK"/>
          <w:sz w:val="32"/>
          <w:szCs w:val="32"/>
          <w:shd w:val="clear" w:color="auto" w:fill="FFFFFF"/>
        </w:rPr>
        <w:t>1.33</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42.63%</w:t>
      </w:r>
      <w:r>
        <w:rPr>
          <w:rFonts w:ascii="方正仿宋_GBK" w:eastAsia="方正仿宋_GBK" w:hAnsi="方正仿宋_GBK" w:cs="方正仿宋_GBK"/>
          <w:sz w:val="32"/>
          <w:szCs w:val="32"/>
          <w:shd w:val="clear" w:color="auto" w:fill="FFFFFF"/>
        </w:rPr>
        <w:t>，主要原因是本单位控制“三公”经费预算，压减会议次数。本年度培训费支出</w:t>
      </w:r>
      <w:r>
        <w:rPr>
          <w:rFonts w:ascii="方正仿宋_GBK" w:eastAsia="方正仿宋_GBK" w:hAnsi="方正仿宋_GBK" w:cs="方正仿宋_GBK"/>
          <w:sz w:val="32"/>
          <w:szCs w:val="32"/>
        </w:rPr>
        <w:t>1.60</w:t>
      </w:r>
      <w:r>
        <w:rPr>
          <w:rFonts w:ascii="方正仿宋_GBK" w:eastAsia="方正仿宋_GBK" w:hAnsi="方正仿宋_GBK" w:cs="方正仿宋_GBK"/>
          <w:sz w:val="32"/>
          <w:szCs w:val="32"/>
          <w:shd w:val="clear" w:color="auto" w:fill="FFFFFF"/>
        </w:rPr>
        <w:t>万元，较上年决算数减少</w:t>
      </w:r>
      <w:r>
        <w:rPr>
          <w:rFonts w:ascii="方正仿宋_GBK" w:eastAsia="方正仿宋_GBK" w:hAnsi="方正仿宋_GBK" w:cs="方正仿宋_GBK"/>
          <w:sz w:val="32"/>
          <w:szCs w:val="32"/>
          <w:shd w:val="clear" w:color="auto" w:fill="FFFFFF"/>
        </w:rPr>
        <w:t>0.17</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9.60%</w:t>
      </w:r>
      <w:r>
        <w:rPr>
          <w:rFonts w:ascii="方正仿宋_GBK" w:eastAsia="方正仿宋_GBK" w:hAnsi="方正仿宋_GBK" w:cs="方正仿宋_GBK"/>
          <w:sz w:val="32"/>
          <w:szCs w:val="32"/>
          <w:shd w:val="clear" w:color="auto" w:fill="FFFFFF"/>
        </w:rPr>
        <w:t>，主要原因是严格控制经费支出，减少了培训次数。</w:t>
      </w:r>
    </w:p>
    <w:p w:rsidR="00F530A1" w:rsidRDefault="00B77A9E">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（二）机关运行经费情况说明</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年度本单位机关运行经费支出</w:t>
      </w:r>
      <w:r>
        <w:rPr>
          <w:rFonts w:ascii="方正仿宋_GBK" w:eastAsia="方正仿宋_GBK" w:hAnsi="方正仿宋_GBK" w:cs="方正仿宋_GBK"/>
          <w:sz w:val="32"/>
          <w:szCs w:val="32"/>
        </w:rPr>
        <w:t>309.23</w:t>
      </w:r>
      <w:r>
        <w:rPr>
          <w:rFonts w:ascii="方正仿宋_GBK" w:eastAsia="方正仿宋_GBK" w:hAnsi="方正仿宋_GBK" w:cs="方正仿宋_GBK"/>
          <w:sz w:val="32"/>
          <w:szCs w:val="32"/>
          <w:shd w:val="clear" w:color="auto" w:fill="FFFFFF"/>
        </w:rPr>
        <w:t>万元，机关运行经费主要用于开支办公用品购置、办公业务活动费用、水、电、气、差旅、培训等。机关运行经费较上年支出数减少</w:t>
      </w:r>
      <w:r>
        <w:rPr>
          <w:rFonts w:ascii="方正仿宋_GBK" w:eastAsia="方正仿宋_GBK" w:hAnsi="方正仿宋_GBK" w:cs="方正仿宋_GBK"/>
          <w:sz w:val="32"/>
          <w:szCs w:val="32"/>
          <w:shd w:val="clear" w:color="auto" w:fill="FFFFFF"/>
        </w:rPr>
        <w:t>82.74</w:t>
      </w:r>
      <w:r>
        <w:rPr>
          <w:rFonts w:ascii="方正仿宋_GBK" w:eastAsia="方正仿宋_GBK" w:hAnsi="方正仿宋_GBK" w:cs="方正仿宋_GBK"/>
          <w:sz w:val="32"/>
          <w:szCs w:val="32"/>
          <w:shd w:val="clear" w:color="auto" w:fill="FFFFFF"/>
        </w:rPr>
        <w:t>万元，下降</w:t>
      </w:r>
      <w:r>
        <w:rPr>
          <w:rFonts w:ascii="方正仿宋_GBK" w:eastAsia="方正仿宋_GBK" w:hAnsi="方正仿宋_GBK" w:cs="方正仿宋_GBK"/>
          <w:sz w:val="32"/>
          <w:szCs w:val="32"/>
          <w:shd w:val="clear" w:color="auto" w:fill="FFFFFF"/>
        </w:rPr>
        <w:t>21.11%</w:t>
      </w:r>
      <w:r>
        <w:rPr>
          <w:rFonts w:ascii="方正仿宋_GBK" w:eastAsia="方正仿宋_GBK" w:hAnsi="方正仿宋_GBK" w:cs="方正仿宋_GBK"/>
          <w:sz w:val="32"/>
          <w:szCs w:val="32"/>
          <w:shd w:val="clear" w:color="auto" w:fill="FFFFFF"/>
        </w:rPr>
        <w:t>，主要原因是本年直属四个事业单位分开决算。</w:t>
      </w:r>
    </w:p>
    <w:p w:rsidR="00F530A1" w:rsidRDefault="00B77A9E">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（三）国有资产占用情况说明</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 xml:space="preserve">  </w:t>
      </w:r>
      <w:r>
        <w:rPr>
          <w:rFonts w:ascii="方正仿宋_GBK" w:eastAsia="方正仿宋_GBK" w:hAnsi="方正仿宋_GBK" w:cs="方正仿宋_GBK"/>
          <w:sz w:val="32"/>
          <w:szCs w:val="32"/>
          <w:shd w:val="clear" w:color="auto" w:fill="FFFFFF"/>
        </w:rPr>
        <w:t>截至</w:t>
      </w:r>
      <w:r>
        <w:rPr>
          <w:rFonts w:ascii="方正仿宋_GBK" w:eastAsia="方正仿宋_GBK" w:hAnsi="方正仿宋_GBK" w:cs="方正仿宋_GBK"/>
          <w:sz w:val="32"/>
          <w:szCs w:val="32"/>
          <w:shd w:val="clear" w:color="auto" w:fill="FFFFFF"/>
        </w:rPr>
        <w:t>2023</w:t>
      </w:r>
      <w:r>
        <w:rPr>
          <w:rFonts w:ascii="方正仿宋_GBK" w:eastAsia="方正仿宋_GBK" w:hAnsi="方正仿宋_GBK" w:cs="方正仿宋_GBK"/>
          <w:sz w:val="32"/>
          <w:szCs w:val="32"/>
          <w:shd w:val="clear" w:color="auto" w:fill="FFFFFF"/>
        </w:rPr>
        <w:t>年</w:t>
      </w:r>
      <w:r>
        <w:rPr>
          <w:rFonts w:ascii="方正仿宋_GBK" w:eastAsia="方正仿宋_GBK" w:hAnsi="方正仿宋_GBK" w:cs="方正仿宋_GBK"/>
          <w:sz w:val="32"/>
          <w:szCs w:val="32"/>
          <w:shd w:val="clear" w:color="auto" w:fill="FFFFFF"/>
        </w:rPr>
        <w:t>12</w:t>
      </w:r>
      <w:r>
        <w:rPr>
          <w:rFonts w:ascii="方正仿宋_GBK" w:eastAsia="方正仿宋_GBK" w:hAnsi="方正仿宋_GBK" w:cs="方正仿宋_GBK"/>
          <w:sz w:val="32"/>
          <w:szCs w:val="32"/>
          <w:shd w:val="clear" w:color="auto" w:fill="FFFFFF"/>
        </w:rPr>
        <w:t>月</w:t>
      </w:r>
      <w:r>
        <w:rPr>
          <w:rFonts w:ascii="方正仿宋_GBK" w:eastAsia="方正仿宋_GBK" w:hAnsi="方正仿宋_GBK" w:cs="方正仿宋_GBK"/>
          <w:sz w:val="32"/>
          <w:szCs w:val="32"/>
          <w:shd w:val="clear" w:color="auto" w:fill="FFFFFF"/>
        </w:rPr>
        <w:t>31</w:t>
      </w:r>
      <w:r>
        <w:rPr>
          <w:rFonts w:ascii="方正仿宋_GBK" w:eastAsia="方正仿宋_GBK" w:hAnsi="方正仿宋_GBK" w:cs="方正仿宋_GBK"/>
          <w:sz w:val="32"/>
          <w:szCs w:val="32"/>
          <w:shd w:val="clear" w:color="auto" w:fill="FFFFFF"/>
        </w:rPr>
        <w:t>日，本单位共有车辆</w:t>
      </w:r>
      <w:r>
        <w:rPr>
          <w:rFonts w:ascii="方正仿宋_GBK" w:eastAsia="方正仿宋_GBK" w:hAnsi="方正仿宋_GBK" w:cs="方正仿宋_GBK"/>
          <w:sz w:val="32"/>
          <w:szCs w:val="32"/>
        </w:rPr>
        <w:t>1</w:t>
      </w:r>
      <w:r>
        <w:rPr>
          <w:rFonts w:ascii="方正仿宋_GBK" w:eastAsia="方正仿宋_GBK" w:hAnsi="方正仿宋_GBK" w:cs="方正仿宋_GBK"/>
          <w:sz w:val="32"/>
          <w:szCs w:val="32"/>
          <w:shd w:val="clear" w:color="auto" w:fill="FFFFFF"/>
        </w:rPr>
        <w:t>辆，其中，副部（省）级及以上领导用车</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辆、主要负责人用车</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辆、机要通信用车</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辆、应急保障用车</w:t>
      </w:r>
      <w:r>
        <w:rPr>
          <w:rFonts w:ascii="方正仿宋_GBK" w:eastAsia="方正仿宋_GBK" w:hAnsi="方正仿宋_GBK" w:cs="方正仿宋_GBK"/>
          <w:sz w:val="32"/>
          <w:szCs w:val="32"/>
        </w:rPr>
        <w:t>1</w:t>
      </w:r>
      <w:r>
        <w:rPr>
          <w:rFonts w:ascii="方正仿宋_GBK" w:eastAsia="方正仿宋_GBK" w:hAnsi="方正仿宋_GBK" w:cs="方正仿宋_GBK"/>
          <w:sz w:val="32"/>
          <w:szCs w:val="32"/>
          <w:shd w:val="clear" w:color="auto" w:fill="FFFFFF"/>
        </w:rPr>
        <w:t>辆、执法执勤用车</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辆，特种专业技术用车</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辆，离退休干部用车</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辆。单价</w:t>
      </w:r>
      <w:r>
        <w:rPr>
          <w:rFonts w:ascii="方正仿宋_GBK" w:eastAsia="方正仿宋_GBK" w:hAnsi="方正仿宋_GBK" w:cs="方正仿宋_GBK"/>
          <w:sz w:val="32"/>
          <w:szCs w:val="32"/>
          <w:shd w:val="clear" w:color="auto" w:fill="FFFFFF"/>
        </w:rPr>
        <w:t>100</w:t>
      </w:r>
      <w:r>
        <w:rPr>
          <w:rFonts w:ascii="方正仿宋_GBK" w:eastAsia="方正仿宋_GBK" w:hAnsi="方正仿宋_GBK" w:cs="方正仿宋_GBK"/>
          <w:sz w:val="32"/>
          <w:szCs w:val="32"/>
          <w:shd w:val="clear" w:color="auto" w:fill="FFFFFF"/>
        </w:rPr>
        <w:t>万元（含）以上专用设备</w:t>
      </w:r>
      <w:r>
        <w:rPr>
          <w:rFonts w:ascii="方正仿宋_GBK" w:eastAsia="方正仿宋_GBK" w:hAnsi="方正仿宋_GBK" w:cs="方正仿宋_GBK"/>
          <w:sz w:val="32"/>
          <w:szCs w:val="32"/>
        </w:rPr>
        <w:t>0</w:t>
      </w:r>
      <w:r>
        <w:rPr>
          <w:rFonts w:ascii="方正仿宋_GBK" w:eastAsia="方正仿宋_GBK" w:hAnsi="方正仿宋_GBK" w:cs="方正仿宋_GBK"/>
          <w:sz w:val="32"/>
          <w:szCs w:val="32"/>
          <w:shd w:val="clear" w:color="auto" w:fill="FFFFFF"/>
        </w:rPr>
        <w:t>台（套）。</w:t>
      </w:r>
    </w:p>
    <w:p w:rsidR="00F530A1" w:rsidRDefault="00B77A9E">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（四）政府采购支出情况说明</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shd w:val="clear" w:color="auto" w:fill="FFFFFF"/>
        </w:rPr>
      </w:pPr>
      <w:r>
        <w:rPr>
          <w:rFonts w:ascii="方正仿宋_GBK" w:eastAsia="方正仿宋_GBK" w:hAnsi="方正仿宋_GBK" w:cs="方正仿宋_GBK"/>
          <w:sz w:val="32"/>
          <w:szCs w:val="32"/>
          <w:shd w:val="clear" w:color="auto" w:fill="FFFFFF"/>
        </w:rPr>
        <w:t>  2023</w:t>
      </w:r>
      <w:r>
        <w:rPr>
          <w:rFonts w:ascii="方正仿宋_GBK" w:eastAsia="方正仿宋_GBK" w:hAnsi="方正仿宋_GBK" w:cs="方正仿宋_GBK"/>
          <w:sz w:val="32"/>
          <w:szCs w:val="32"/>
          <w:shd w:val="clear" w:color="auto" w:fill="FFFFFF"/>
        </w:rPr>
        <w:t>年度本单位政府采购支出总额</w:t>
      </w:r>
      <w:r>
        <w:rPr>
          <w:rFonts w:ascii="方正仿宋_GBK" w:eastAsia="方正仿宋_GBK" w:hAnsi="方正仿宋_GBK" w:cs="方正仿宋_GBK"/>
          <w:sz w:val="32"/>
          <w:szCs w:val="32"/>
        </w:rPr>
        <w:t>318.98</w:t>
      </w:r>
      <w:r>
        <w:rPr>
          <w:rFonts w:ascii="方正仿宋_GBK" w:eastAsia="方正仿宋_GBK" w:hAnsi="方正仿宋_GBK" w:cs="方正仿宋_GBK"/>
          <w:sz w:val="32"/>
          <w:szCs w:val="32"/>
          <w:shd w:val="clear" w:color="auto" w:fill="FFFFFF"/>
        </w:rPr>
        <w:t>万元，其中：政府采购货物支出</w:t>
      </w:r>
      <w:r>
        <w:rPr>
          <w:rFonts w:ascii="方正仿宋_GBK" w:eastAsia="方正仿宋_GBK" w:hAnsi="方正仿宋_GBK" w:cs="方正仿宋_GBK"/>
          <w:sz w:val="32"/>
          <w:szCs w:val="32"/>
        </w:rPr>
        <w:t>318.98</w:t>
      </w:r>
      <w:r>
        <w:rPr>
          <w:rFonts w:ascii="方正仿宋_GBK" w:eastAsia="方正仿宋_GBK" w:hAnsi="方正仿宋_GBK" w:cs="方正仿宋_GBK"/>
          <w:sz w:val="32"/>
          <w:szCs w:val="32"/>
          <w:shd w:val="clear" w:color="auto" w:fill="FFFFFF"/>
        </w:rPr>
        <w:t>万元、政府采购工程支出</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万元、政府采购服务支出</w:t>
      </w:r>
      <w:r>
        <w:rPr>
          <w:rFonts w:ascii="方正仿宋_GBK" w:eastAsia="方正仿宋_GBK" w:hAnsi="方正仿宋_GBK" w:cs="方正仿宋_GBK"/>
          <w:sz w:val="32"/>
          <w:szCs w:val="32"/>
        </w:rPr>
        <w:t>0.00</w:t>
      </w:r>
      <w:r>
        <w:rPr>
          <w:rFonts w:ascii="方正仿宋_GBK" w:eastAsia="方正仿宋_GBK" w:hAnsi="方正仿宋_GBK" w:cs="方正仿宋_GBK"/>
          <w:sz w:val="32"/>
          <w:szCs w:val="32"/>
          <w:shd w:val="clear" w:color="auto" w:fill="FFFFFF"/>
        </w:rPr>
        <w:t>万元。授予中小企业合同金额</w:t>
      </w:r>
      <w:r>
        <w:rPr>
          <w:rFonts w:ascii="方正仿宋_GBK" w:eastAsia="方正仿宋_GBK" w:hAnsi="方正仿宋_GBK" w:cs="方正仿宋_GBK"/>
          <w:sz w:val="32"/>
          <w:szCs w:val="32"/>
        </w:rPr>
        <w:t>318.98</w:t>
      </w:r>
      <w:r>
        <w:rPr>
          <w:rFonts w:ascii="方正仿宋_GBK" w:eastAsia="方正仿宋_GBK" w:hAnsi="方正仿宋_GBK" w:cs="方正仿宋_GBK"/>
          <w:sz w:val="32"/>
          <w:szCs w:val="32"/>
        </w:rPr>
        <w:t>万</w:t>
      </w:r>
      <w:r>
        <w:rPr>
          <w:rFonts w:ascii="方正仿宋_GBK" w:eastAsia="方正仿宋_GBK" w:hAnsi="方正仿宋_GBK" w:cs="方正仿宋_GBK"/>
          <w:sz w:val="32"/>
          <w:szCs w:val="32"/>
          <w:shd w:val="clear" w:color="auto" w:fill="FFFFFF"/>
        </w:rPr>
        <w:t>元，占政府采购支出总额的</w:t>
      </w:r>
      <w:r>
        <w:rPr>
          <w:rFonts w:ascii="方正仿宋_GBK" w:eastAsia="方正仿宋_GBK" w:hAnsi="方正仿宋_GBK" w:cs="方正仿宋_GBK"/>
          <w:sz w:val="32"/>
          <w:szCs w:val="32"/>
        </w:rPr>
        <w:t>100.00</w:t>
      </w:r>
      <w:r>
        <w:rPr>
          <w:rFonts w:ascii="方正仿宋_GBK" w:eastAsia="方正仿宋_GBK" w:hAnsi="方正仿宋_GBK" w:cs="方正仿宋_GBK"/>
          <w:sz w:val="32"/>
          <w:szCs w:val="32"/>
          <w:shd w:val="clear" w:color="auto" w:fill="FFFFFF"/>
        </w:rPr>
        <w:t>%</w:t>
      </w:r>
      <w:r>
        <w:rPr>
          <w:rFonts w:ascii="方正仿宋_GBK" w:eastAsia="方正仿宋_GBK" w:hAnsi="方正仿宋_GBK" w:cs="方正仿宋_GBK"/>
          <w:sz w:val="32"/>
          <w:szCs w:val="32"/>
          <w:shd w:val="clear" w:color="auto" w:fill="FFFFFF"/>
        </w:rPr>
        <w:t>，其中：授予小微企</w:t>
      </w:r>
      <w:r>
        <w:rPr>
          <w:rFonts w:ascii="方正仿宋_GBK" w:eastAsia="方正仿宋_GBK" w:hAnsi="方正仿宋_GBK" w:cs="方正仿宋_GBK"/>
          <w:sz w:val="32"/>
          <w:szCs w:val="32"/>
          <w:shd w:val="clear" w:color="auto" w:fill="FFFFFF"/>
        </w:rPr>
        <w:lastRenderedPageBreak/>
        <w:t>业合同金额</w:t>
      </w:r>
      <w:r>
        <w:rPr>
          <w:rFonts w:ascii="方正仿宋_GBK" w:eastAsia="方正仿宋_GBK" w:hAnsi="方正仿宋_GBK" w:cs="方正仿宋_GBK"/>
          <w:sz w:val="32"/>
          <w:szCs w:val="32"/>
        </w:rPr>
        <w:t>318.98</w:t>
      </w:r>
      <w:r>
        <w:rPr>
          <w:rFonts w:ascii="方正仿宋_GBK" w:eastAsia="方正仿宋_GBK" w:hAnsi="方正仿宋_GBK" w:cs="方正仿宋_GBK"/>
          <w:sz w:val="32"/>
          <w:szCs w:val="32"/>
          <w:shd w:val="clear" w:color="auto" w:fill="FFFFFF"/>
        </w:rPr>
        <w:t>万元，占政府采购支出总额的</w:t>
      </w:r>
      <w:r>
        <w:rPr>
          <w:rFonts w:ascii="方正仿宋_GBK" w:eastAsia="方正仿宋_GBK" w:hAnsi="方正仿宋_GBK" w:cs="方正仿宋_GBK"/>
          <w:sz w:val="32"/>
          <w:szCs w:val="32"/>
        </w:rPr>
        <w:t>100.00</w:t>
      </w:r>
      <w:r>
        <w:rPr>
          <w:rFonts w:ascii="方正仿宋_GBK" w:eastAsia="方正仿宋_GBK" w:hAnsi="方正仿宋_GBK" w:cs="方正仿宋_GBK"/>
          <w:sz w:val="32"/>
          <w:szCs w:val="32"/>
          <w:shd w:val="clear" w:color="auto" w:fill="FFFFFF"/>
        </w:rPr>
        <w:t xml:space="preserve"> %</w:t>
      </w:r>
      <w:r>
        <w:rPr>
          <w:rFonts w:ascii="方正仿宋_GBK" w:eastAsia="方正仿宋_GBK" w:hAnsi="方正仿宋_GBK" w:cs="方正仿宋_GBK"/>
          <w:sz w:val="32"/>
          <w:szCs w:val="32"/>
          <w:shd w:val="clear" w:color="auto" w:fill="FFFFFF"/>
        </w:rPr>
        <w:t>。主要用于采购货物支出。</w:t>
      </w:r>
    </w:p>
    <w:p w:rsidR="00F530A1" w:rsidRDefault="00B77A9E">
      <w:pPr>
        <w:pStyle w:val="a7"/>
        <w:numPr>
          <w:ilvl w:val="0"/>
          <w:numId w:val="1"/>
        </w:numPr>
        <w:shd w:val="clear" w:color="auto" w:fill="FFFFFF"/>
        <w:rPr>
          <w:rStyle w:val="a9"/>
          <w:rFonts w:ascii="黑体" w:eastAsia="黑体" w:hAnsi="黑体" w:cs="黑体" w:hint="default"/>
          <w:sz w:val="32"/>
          <w:szCs w:val="32"/>
          <w:shd w:val="clear" w:color="auto" w:fill="FFFFFF"/>
        </w:rPr>
      </w:pPr>
      <w:r>
        <w:rPr>
          <w:rStyle w:val="a9"/>
          <w:rFonts w:ascii="黑体" w:eastAsia="黑体" w:hAnsi="黑体" w:cs="黑体"/>
          <w:sz w:val="32"/>
          <w:szCs w:val="32"/>
          <w:shd w:val="clear" w:color="auto" w:fill="FFFFFF"/>
        </w:rPr>
        <w:t>预算绩效管理情况说明</w:t>
      </w:r>
    </w:p>
    <w:p w:rsidR="00F530A1" w:rsidRDefault="00B77A9E">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（一）单位自评情况</w:t>
      </w:r>
    </w:p>
    <w:p w:rsidR="00F530A1" w:rsidRDefault="00B77A9E">
      <w:pPr>
        <w:pStyle w:val="Char"/>
        <w:autoSpaceDE w:val="0"/>
        <w:spacing w:before="0" w:beforeAutospacing="0" w:line="600" w:lineRule="exact"/>
        <w:ind w:firstLineChars="200" w:firstLine="640"/>
        <w:rPr>
          <w:rFonts w:ascii="方正仿宋_GBK" w:eastAsia="方正仿宋_GBK" w:hAnsi="方正仿宋_GBK" w:cs="方正仿宋_GBK"/>
          <w:sz w:val="32"/>
          <w:szCs w:val="32"/>
          <w:shd w:val="clear" w:color="auto" w:fill="FFFFFF"/>
        </w:rPr>
      </w:pPr>
      <w:r>
        <w:rPr>
          <w:rFonts w:ascii="方正仿宋_GBK" w:eastAsia="方正仿宋_GBK" w:hAnsi="方正仿宋_GBK" w:cs="方正仿宋_GBK" w:hint="eastAsia"/>
          <w:sz w:val="32"/>
          <w:szCs w:val="32"/>
          <w:shd w:val="clear" w:color="auto" w:fill="FFFFFF"/>
        </w:rPr>
        <w:t>根据预算绩效管理要求，我单位对</w:t>
      </w:r>
      <w:r>
        <w:rPr>
          <w:rFonts w:ascii="方正仿宋_GBK" w:eastAsia="方正仿宋_GBK" w:hAnsi="方正仿宋_GBK" w:cs="方正仿宋_GBK" w:hint="eastAsia"/>
          <w:sz w:val="32"/>
          <w:szCs w:val="32"/>
          <w:shd w:val="clear" w:color="auto" w:fill="FFFFFF"/>
        </w:rPr>
        <w:t>3</w:t>
      </w:r>
      <w:r>
        <w:rPr>
          <w:rFonts w:ascii="方正仿宋_GBK" w:eastAsia="方正仿宋_GBK" w:hAnsi="方正仿宋_GBK" w:cs="方正仿宋_GBK" w:hint="eastAsia"/>
          <w:sz w:val="32"/>
          <w:szCs w:val="32"/>
          <w:shd w:val="clear" w:color="auto" w:fill="FFFFFF"/>
        </w:rPr>
        <w:t>4</w:t>
      </w:r>
      <w:r>
        <w:rPr>
          <w:rFonts w:ascii="方正仿宋_GBK" w:eastAsia="方正仿宋_GBK" w:hAnsi="方正仿宋_GBK" w:cs="方正仿宋_GBK" w:hint="eastAsia"/>
          <w:sz w:val="32"/>
          <w:szCs w:val="32"/>
          <w:shd w:val="clear" w:color="auto" w:fill="FFFFFF"/>
        </w:rPr>
        <w:t>个二级项目开展了绩效自评，涉及财政拨款项目支出资金</w:t>
      </w:r>
      <w:r>
        <w:rPr>
          <w:rFonts w:ascii="方正仿宋_GBK" w:eastAsia="方正仿宋_GBK" w:hAnsi="方正仿宋_GBK" w:cs="方正仿宋_GBK" w:hint="eastAsia"/>
          <w:sz w:val="32"/>
          <w:szCs w:val="32"/>
          <w:shd w:val="clear" w:color="auto" w:fill="FFFFFF"/>
        </w:rPr>
        <w:t>74</w:t>
      </w:r>
      <w:r>
        <w:rPr>
          <w:rFonts w:ascii="方正仿宋_GBK" w:eastAsia="方正仿宋_GBK" w:hAnsi="方正仿宋_GBK" w:cs="方正仿宋_GBK" w:hint="eastAsia"/>
          <w:sz w:val="32"/>
          <w:szCs w:val="32"/>
          <w:shd w:val="clear" w:color="auto" w:fill="FFFFFF"/>
        </w:rPr>
        <w:t>18.82</w:t>
      </w:r>
      <w:r>
        <w:rPr>
          <w:rFonts w:ascii="方正仿宋_GBK" w:eastAsia="方正仿宋_GBK" w:hAnsi="方正仿宋_GBK" w:cs="方正仿宋_GBK" w:hint="eastAsia"/>
          <w:sz w:val="32"/>
          <w:szCs w:val="32"/>
          <w:shd w:val="clear" w:color="auto" w:fill="FFFFFF"/>
        </w:rPr>
        <w:t>万元。</w:t>
      </w:r>
    </w:p>
    <w:p w:rsidR="00F530A1" w:rsidRDefault="00B77A9E">
      <w:pPr>
        <w:pStyle w:val="Char"/>
        <w:autoSpaceDE w:val="0"/>
        <w:spacing w:before="0" w:beforeAutospacing="0" w:line="600" w:lineRule="exact"/>
        <w:ind w:firstLineChars="200" w:firstLine="640"/>
        <w:rPr>
          <w:rFonts w:ascii="方正仿宋_GBK" w:eastAsia="方正仿宋_GBK" w:hAnsi="方正仿宋_GBK" w:cs="方正仿宋_GBK"/>
          <w:sz w:val="32"/>
          <w:szCs w:val="32"/>
          <w:shd w:val="clear" w:color="auto" w:fill="FFFFFF"/>
        </w:rPr>
      </w:pPr>
      <w:r>
        <w:rPr>
          <w:rFonts w:ascii="方正仿宋_GBK" w:eastAsia="方正仿宋_GBK" w:hAnsi="方正仿宋_GBK" w:cs="方正仿宋_GBK" w:hint="eastAsia"/>
          <w:sz w:val="32"/>
          <w:szCs w:val="32"/>
          <w:shd w:val="clear" w:color="auto" w:fill="FFFFFF"/>
        </w:rPr>
        <w:t>见附件</w:t>
      </w:r>
    </w:p>
    <w:p w:rsidR="00F530A1" w:rsidRDefault="00B77A9E">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（二）单位绩效评价情况</w:t>
      </w:r>
    </w:p>
    <w:p w:rsidR="00F530A1" w:rsidRDefault="00B77A9E">
      <w:pPr>
        <w:pStyle w:val="1"/>
        <w:autoSpaceDE w:val="0"/>
        <w:ind w:firstLine="640"/>
        <w:rPr>
          <w:rFonts w:ascii="方正仿宋_GBK" w:eastAsia="方正仿宋_GBK" w:hAnsi="方正仿宋_GBK" w:cs="方正仿宋_GBK"/>
          <w:sz w:val="32"/>
          <w:szCs w:val="32"/>
          <w:shd w:val="clear" w:color="auto" w:fill="FFFFFF"/>
        </w:rPr>
      </w:pPr>
      <w:r>
        <w:rPr>
          <w:rFonts w:ascii="方正仿宋_GBK" w:eastAsia="方正仿宋_GBK" w:hAnsi="方正仿宋_GBK" w:cs="方正仿宋_GBK" w:hint="eastAsia"/>
          <w:sz w:val="32"/>
          <w:szCs w:val="32"/>
          <w:shd w:val="clear" w:color="auto" w:fill="FFFFFF"/>
        </w:rPr>
        <w:t>我单位未组织开展绩效评价。</w:t>
      </w:r>
    </w:p>
    <w:p w:rsidR="00F530A1" w:rsidRDefault="00B77A9E">
      <w:pPr>
        <w:pStyle w:val="1"/>
        <w:autoSpaceDE w:val="0"/>
        <w:ind w:firstLine="643"/>
        <w:rPr>
          <w:rFonts w:ascii="楷体" w:eastAsia="楷体" w:hAnsi="楷体" w:cs="楷体"/>
          <w:b/>
          <w:bCs/>
          <w:sz w:val="32"/>
          <w:szCs w:val="32"/>
          <w:shd w:val="clear" w:color="auto" w:fill="FFFFFF"/>
        </w:rPr>
      </w:pPr>
      <w:r>
        <w:rPr>
          <w:rFonts w:ascii="楷体" w:eastAsia="楷体" w:hAnsi="楷体" w:cs="楷体" w:hint="eastAsia"/>
          <w:b/>
          <w:bCs/>
          <w:sz w:val="32"/>
          <w:szCs w:val="32"/>
          <w:shd w:val="clear" w:color="auto" w:fill="FFFFFF"/>
        </w:rPr>
        <w:t>（三）财政绩效评价情况</w:t>
      </w:r>
    </w:p>
    <w:p w:rsidR="00F530A1" w:rsidRDefault="00B77A9E">
      <w:pPr>
        <w:pStyle w:val="1"/>
        <w:autoSpaceDE w:val="0"/>
        <w:ind w:firstLine="640"/>
        <w:rPr>
          <w:rFonts w:ascii="方正仿宋_GBK" w:eastAsia="方正仿宋_GBK" w:hAnsi="方正仿宋_GBK" w:cs="方正仿宋_GBK"/>
          <w:sz w:val="32"/>
          <w:szCs w:val="32"/>
          <w:shd w:val="clear" w:color="auto" w:fill="FFFFFF"/>
        </w:rPr>
      </w:pPr>
      <w:r>
        <w:rPr>
          <w:rFonts w:ascii="方正仿宋_GBK" w:eastAsia="方正仿宋_GBK" w:hAnsi="方正仿宋_GBK" w:cs="方正仿宋_GBK" w:hint="eastAsia"/>
          <w:sz w:val="32"/>
          <w:szCs w:val="32"/>
          <w:shd w:val="clear" w:color="auto" w:fill="FFFFFF"/>
        </w:rPr>
        <w:t>市财政局未委托第三方对我单位开展绩效评价。</w:t>
      </w:r>
    </w:p>
    <w:p w:rsidR="00F530A1" w:rsidRDefault="00B77A9E">
      <w:pPr>
        <w:pStyle w:val="a7"/>
        <w:shd w:val="clear" w:color="auto" w:fill="FFFFFF"/>
        <w:rPr>
          <w:rStyle w:val="a9"/>
          <w:rFonts w:ascii="方正仿宋_GBK" w:eastAsia="方正仿宋_GBK" w:hAnsi="方正仿宋_GBK" w:cs="方正仿宋_GBK" w:hint="default"/>
          <w:sz w:val="32"/>
          <w:szCs w:val="32"/>
          <w:shd w:val="clear" w:color="auto" w:fill="FFFFFF"/>
        </w:rPr>
      </w:pPr>
      <w:r>
        <w:rPr>
          <w:rStyle w:val="a9"/>
          <w:rFonts w:ascii="方正仿宋_GBK" w:eastAsia="方正仿宋_GBK" w:hAnsi="方正仿宋_GBK" w:cs="方正仿宋_GBK"/>
          <w:sz w:val="32"/>
          <w:szCs w:val="32"/>
          <w:shd w:val="clear" w:color="auto" w:fill="FFFFFF"/>
        </w:rPr>
        <w:t xml:space="preserve">  </w:t>
      </w:r>
      <w:r>
        <w:rPr>
          <w:rStyle w:val="a9"/>
          <w:rFonts w:ascii="黑体" w:eastAsia="黑体" w:hAnsi="黑体" w:cs="黑体"/>
          <w:sz w:val="32"/>
          <w:szCs w:val="32"/>
          <w:shd w:val="clear" w:color="auto" w:fill="FFFFFF"/>
        </w:rPr>
        <w:t>六、专业名词解释</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Fonts w:ascii="方正仿宋_GBK" w:eastAsia="方正仿宋_GBK" w:hAnsi="方正仿宋_GBK" w:cs="方正仿宋_GBK"/>
          <w:b/>
          <w:bCs/>
          <w:sz w:val="32"/>
          <w:szCs w:val="32"/>
          <w:shd w:val="clear" w:color="auto" w:fill="FFFFFF"/>
        </w:rPr>
        <w:t> </w:t>
      </w:r>
      <w:r>
        <w:rPr>
          <w:rFonts w:ascii="楷体" w:eastAsia="楷体" w:hAnsi="楷体" w:cs="楷体"/>
          <w:b/>
          <w:bCs/>
          <w:sz w:val="32"/>
          <w:szCs w:val="32"/>
          <w:shd w:val="clear" w:color="auto" w:fill="FFFFFF"/>
        </w:rPr>
        <w:t>（一）财政拨款收入：</w:t>
      </w:r>
      <w:r>
        <w:rPr>
          <w:rFonts w:ascii="方正仿宋_GBK" w:eastAsia="方正仿宋_GBK" w:hAnsi="方正仿宋_GBK" w:cs="方正仿宋_GBK"/>
          <w:sz w:val="32"/>
          <w:szCs w:val="32"/>
          <w:shd w:val="clear" w:color="auto" w:fill="FFFFFF"/>
        </w:rPr>
        <w:t>指本年度从本级财政部门取得的财政拨款，包括一般公共预算财政拨款和政府性基金预算财政拨款。</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（二）事业收入</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指事业单位开展专业业务活动及其辅助活动取得的现金流入；事业单位收到的财政专户实际核拨的教育收费等资金在此反映。</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（三）经营收入</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指事业单位在专业业务活动及其辅助活动之外开展非独立核算经营活动取得的现金流入。</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lastRenderedPageBreak/>
        <w:t> </w:t>
      </w:r>
      <w:r>
        <w:rPr>
          <w:rStyle w:val="a9"/>
          <w:rFonts w:ascii="楷体" w:eastAsia="楷体" w:hAnsi="楷体" w:cs="楷体"/>
          <w:sz w:val="32"/>
          <w:szCs w:val="32"/>
          <w:shd w:val="clear" w:color="auto" w:fill="FFFFFF"/>
        </w:rPr>
        <w:t>（四）其他收入</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单位取得的除“财政拨款收入”、“事业收入”、“经营收入”等以外的收入，包括未纳入财政预算或财政专户管理的投资收益、银行存款利息收入、租金收入、捐赠收入，现金盘盈收入、存货盘盈收入、收回已核销的应收及预付款项、无法偿付的应付及预收款项等。各单位从本级财政部门以外的同级单位取得的经费、从非本级财政部门取得的经费，以及行政单位收到的财政专户管理资金反映在本项内。</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楷体" w:eastAsia="楷体" w:hAnsi="楷体" w:cs="楷体"/>
          <w:sz w:val="32"/>
          <w:szCs w:val="32"/>
          <w:shd w:val="clear" w:color="auto" w:fill="FFFFFF"/>
        </w:rPr>
        <w:t>（五）使用非财政拨款结余</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指单位在当年的“财政拨款收入”、“事业收入”、“经营收入”、“其他收入”等不足以安排当年支出的情况下，使用以前年度积累的非财</w:t>
      </w:r>
      <w:r>
        <w:rPr>
          <w:rFonts w:ascii="方正仿宋_GBK" w:eastAsia="方正仿宋_GBK" w:hAnsi="方正仿宋_GBK" w:cs="方正仿宋_GBK"/>
          <w:sz w:val="32"/>
          <w:szCs w:val="32"/>
          <w:shd w:val="clear" w:color="auto" w:fill="FFFFFF"/>
        </w:rPr>
        <w:t>政拨款结余弥补本年度收支缺口的资金。</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（六）年初结转和结余</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指单位上年结转本年使用的基本支出结转、项目支出结转和结余、经营结余。</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（七）结余分配</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指单位按照国家有关规定，缴纳所得税、提取专用基金、转入非财政拨款结余等当年结余的分配情况。</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（八）年末结转和结余</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指单位结转下年的基本支出结转、项目支出结转和结余、经营结余。</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（九）基本支出</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指为保障机构正常运转、完成日常工作任务而发生的人员经费和公用经费。其中：人员经费指政府收支分类经济科目中的“工资福利支出”和“对个人和家</w:t>
      </w:r>
      <w:r>
        <w:rPr>
          <w:rFonts w:ascii="方正仿宋_GBK" w:eastAsia="方正仿宋_GBK" w:hAnsi="方正仿宋_GBK" w:cs="方正仿宋_GBK"/>
          <w:sz w:val="32"/>
          <w:szCs w:val="32"/>
          <w:shd w:val="clear" w:color="auto" w:fill="FFFFFF"/>
        </w:rPr>
        <w:lastRenderedPageBreak/>
        <w:t>庭的补助”；公用经费指政府收支</w:t>
      </w:r>
      <w:r>
        <w:rPr>
          <w:rFonts w:ascii="方正仿宋_GBK" w:eastAsia="方正仿宋_GBK" w:hAnsi="方正仿宋_GBK" w:cs="方正仿宋_GBK"/>
          <w:sz w:val="32"/>
          <w:szCs w:val="32"/>
          <w:shd w:val="clear" w:color="auto" w:fill="FFFFFF"/>
        </w:rPr>
        <w:t>分类经济科目中除“工资福利支出”和“对个人和家庭的补助”外的其他支出。</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（十）项目支出</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指在基本支出之外为完成特定行政任务和事业发展目标所发生的支出。</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（十一）经营支出</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指事业单位在专业业务活动及其辅助活动之外开展非独立核算经营活动发生的支出。</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（十二）“三公”经费</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指用一般公共预算财政拨款安排的因公出国（境）费、公务用车购置及运行维护费、公务接待费。其中，因公出国（境）费反映单位公务出国（境）的国际旅费、国外城市间交通费、住宿费、伙食费、培训费、公杂费等支出；公务用车购置费反映单位公务用车购置支出（含车辆购置税）；公务用车运行维护费反映单位按规定保留的公务用车燃料费、维修费、过路过桥费、保险费、安全奖励费用等支出；公务接待费反映单位按规定开支的各类公务接待（含外宾接待）支出。</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（十三）机关运行经费</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为保障行政单位（含参照公务员法管理的事业单位）运行用于购买货物和服务</w:t>
      </w:r>
      <w:r>
        <w:rPr>
          <w:rFonts w:ascii="方正仿宋_GBK" w:eastAsia="方正仿宋_GBK" w:hAnsi="方正仿宋_GBK" w:cs="方正仿宋_GBK"/>
          <w:sz w:val="32"/>
          <w:szCs w:val="32"/>
          <w:shd w:val="clear" w:color="auto" w:fill="FFFFFF"/>
        </w:rPr>
        <w:t>等的各项公用经费，包括办公及印刷费、邮电费、差旅费、会议费、福利费、日常维护费、专用材料及一般设备购置费、办公用房水电费、办公用房取暖费、办公用房物业管理费、公务用车运行维护费以及其他费用。</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lastRenderedPageBreak/>
        <w:t> </w:t>
      </w:r>
      <w:r>
        <w:rPr>
          <w:rStyle w:val="a9"/>
          <w:rFonts w:ascii="楷体" w:eastAsia="楷体" w:hAnsi="楷体" w:cs="楷体"/>
          <w:sz w:val="32"/>
          <w:szCs w:val="32"/>
          <w:shd w:val="clear" w:color="auto" w:fill="FFFFFF"/>
        </w:rPr>
        <w:t>（十四）工资福利支出（支出经济分类科目类级）</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反映单位开支的在职职工和编制外长期聘用人员的各类劳动报酬，以及为上述人员缴纳的各项社会保险费等。</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（十五）商品和服务支出（支出经济分类科目类级）</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反映单位购买商品和服务的支出（不包括用于购置固定资产的支出、战略性和应急储备支出）。</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楷体" w:eastAsia="楷体" w:hAnsi="楷体" w:cs="楷体"/>
          <w:sz w:val="32"/>
          <w:szCs w:val="32"/>
          <w:shd w:val="clear" w:color="auto" w:fill="FFFFFF"/>
        </w:rPr>
        <w:t> </w:t>
      </w:r>
      <w:r>
        <w:rPr>
          <w:rStyle w:val="a9"/>
          <w:rFonts w:ascii="楷体" w:eastAsia="楷体" w:hAnsi="楷体" w:cs="楷体"/>
          <w:sz w:val="32"/>
          <w:szCs w:val="32"/>
          <w:shd w:val="clear" w:color="auto" w:fill="FFFFFF"/>
        </w:rPr>
        <w:t>（十六）对个人和家庭的补助（支出经济</w:t>
      </w:r>
      <w:r>
        <w:rPr>
          <w:rStyle w:val="a9"/>
          <w:rFonts w:ascii="楷体" w:eastAsia="楷体" w:hAnsi="楷体" w:cs="楷体"/>
          <w:sz w:val="32"/>
          <w:szCs w:val="32"/>
          <w:shd w:val="clear" w:color="auto" w:fill="FFFFFF"/>
        </w:rPr>
        <w:t>分类科目类级）</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反映用于对个人和家庭的补助支出。</w:t>
      </w:r>
    </w:p>
    <w:p w:rsidR="00F530A1" w:rsidRDefault="00B77A9E">
      <w:pPr>
        <w:pStyle w:val="a7"/>
        <w:snapToGrid w:val="0"/>
        <w:spacing w:before="0" w:beforeAutospacing="0" w:after="0" w:afterAutospacing="0" w:line="600" w:lineRule="exact"/>
        <w:ind w:firstLineChars="200" w:firstLine="643"/>
        <w:jc w:val="both"/>
        <w:rPr>
          <w:rFonts w:ascii="方正仿宋_GBK" w:eastAsia="方正仿宋_GBK" w:hAnsi="方正仿宋_GBK" w:cs="方正仿宋_GBK" w:hint="default"/>
          <w:sz w:val="32"/>
          <w:szCs w:val="32"/>
        </w:rPr>
      </w:pPr>
      <w:r>
        <w:rPr>
          <w:rStyle w:val="a9"/>
          <w:rFonts w:ascii="方正仿宋_GBK" w:eastAsia="方正仿宋_GBK" w:hAnsi="方正仿宋_GBK" w:cs="方正仿宋_GBK"/>
          <w:sz w:val="32"/>
          <w:szCs w:val="32"/>
          <w:shd w:val="clear" w:color="auto" w:fill="FFFFFF"/>
        </w:rPr>
        <w:t> </w:t>
      </w:r>
      <w:r>
        <w:rPr>
          <w:rStyle w:val="a9"/>
          <w:rFonts w:ascii="楷体" w:eastAsia="楷体" w:hAnsi="楷体" w:cs="楷体"/>
          <w:sz w:val="32"/>
          <w:szCs w:val="32"/>
          <w:shd w:val="clear" w:color="auto" w:fill="FFFFFF"/>
        </w:rPr>
        <w:t>（十七）其他资本性支出（支出经济分类科目类级）</w:t>
      </w:r>
      <w:r>
        <w:rPr>
          <w:rFonts w:ascii="楷体" w:eastAsia="楷体" w:hAnsi="楷体" w:cs="楷体"/>
          <w:sz w:val="32"/>
          <w:szCs w:val="32"/>
          <w:shd w:val="clear" w:color="auto" w:fill="FFFFFF"/>
        </w:rPr>
        <w:t>：</w:t>
      </w:r>
      <w:r>
        <w:rPr>
          <w:rFonts w:ascii="方正仿宋_GBK" w:eastAsia="方正仿宋_GBK" w:hAnsi="方正仿宋_GBK" w:cs="方正仿宋_GBK"/>
          <w:sz w:val="32"/>
          <w:szCs w:val="32"/>
          <w:shd w:val="clear" w:color="auto" w:fill="FFFFFF"/>
        </w:rPr>
        <w:t>反映非各级发展与改革部门集中安排的用于购置固定资产、战略性和应急性储备、土地和无形资产，以及构建基础设施、大型修缮和财政支持企业更新改造所发生的支出。</w:t>
      </w:r>
    </w:p>
    <w:p w:rsidR="00F530A1" w:rsidRDefault="00B77A9E">
      <w:pPr>
        <w:pStyle w:val="a7"/>
        <w:shd w:val="clear" w:color="auto" w:fill="FFFFFF"/>
        <w:rPr>
          <w:rStyle w:val="a9"/>
          <w:rFonts w:ascii="方正仿宋_GBK" w:eastAsia="方正仿宋_GBK" w:hAnsi="方正仿宋_GBK" w:cs="方正仿宋_GBK" w:hint="default"/>
          <w:sz w:val="32"/>
          <w:szCs w:val="32"/>
          <w:shd w:val="clear" w:color="auto" w:fill="FFFFFF"/>
        </w:rPr>
      </w:pPr>
      <w:r>
        <w:rPr>
          <w:rStyle w:val="a9"/>
          <w:rFonts w:ascii="方正仿宋_GBK" w:eastAsia="方正仿宋_GBK" w:hAnsi="方正仿宋_GBK" w:cs="方正仿宋_GBK"/>
          <w:sz w:val="32"/>
          <w:szCs w:val="32"/>
          <w:shd w:val="clear" w:color="auto" w:fill="FFFFFF"/>
        </w:rPr>
        <w:t xml:space="preserve">  </w:t>
      </w:r>
      <w:r>
        <w:rPr>
          <w:rStyle w:val="a9"/>
          <w:rFonts w:ascii="黑体" w:eastAsia="黑体" w:hAnsi="黑体" w:cs="黑体"/>
          <w:sz w:val="32"/>
          <w:szCs w:val="32"/>
          <w:shd w:val="clear" w:color="auto" w:fill="FFFFFF"/>
        </w:rPr>
        <w:t>七、决算公开联系方式及信息反馈渠道</w:t>
      </w:r>
    </w:p>
    <w:p w:rsidR="00F530A1" w:rsidRDefault="00B77A9E">
      <w:pPr>
        <w:pStyle w:val="a7"/>
        <w:snapToGrid w:val="0"/>
        <w:spacing w:before="0" w:beforeAutospacing="0" w:after="0" w:afterAutospacing="0" w:line="600" w:lineRule="exact"/>
        <w:ind w:firstLineChars="200" w:firstLine="640"/>
        <w:jc w:val="both"/>
        <w:rPr>
          <w:rFonts w:ascii="方正仿宋_GBK" w:eastAsia="方正仿宋_GBK" w:hAnsi="方正仿宋_GBK" w:cs="方正仿宋_GBK" w:hint="default"/>
          <w:sz w:val="32"/>
          <w:szCs w:val="32"/>
        </w:rPr>
      </w:pPr>
      <w:r>
        <w:rPr>
          <w:rFonts w:ascii="方正仿宋_GBK" w:eastAsia="方正仿宋_GBK" w:hAnsi="方正仿宋_GBK" w:cs="方正仿宋_GBK"/>
          <w:sz w:val="32"/>
          <w:szCs w:val="32"/>
          <w:shd w:val="clear" w:color="auto" w:fill="FFFFFF"/>
        </w:rPr>
        <w:t>本单位决算公开信息反馈和联系方式：</w:t>
      </w:r>
      <w:r>
        <w:rPr>
          <w:rFonts w:ascii="方正仿宋_GBK" w:eastAsia="方正仿宋_GBK" w:hAnsi="方正仿宋_GBK" w:cs="方正仿宋_GBK"/>
          <w:sz w:val="32"/>
          <w:szCs w:val="32"/>
          <w:shd w:val="clear" w:color="auto" w:fill="FFFFFF"/>
        </w:rPr>
        <w:t xml:space="preserve"> 023-70714808</w:t>
      </w:r>
      <w:r>
        <w:rPr>
          <w:rFonts w:ascii="方正仿宋_GBK" w:eastAsia="方正仿宋_GBK" w:hAnsi="方正仿宋_GBK" w:cs="方正仿宋_GBK"/>
          <w:sz w:val="32"/>
          <w:szCs w:val="32"/>
          <w:shd w:val="clear" w:color="auto" w:fill="FFFFFF"/>
        </w:rPr>
        <w:t>。</w:t>
      </w:r>
    </w:p>
    <w:p w:rsidR="00F530A1" w:rsidRDefault="00F530A1">
      <w:pPr>
        <w:pStyle w:val="1"/>
        <w:autoSpaceDE w:val="0"/>
        <w:ind w:firstLineChars="0" w:firstLine="0"/>
        <w:rPr>
          <w:rStyle w:val="a9"/>
          <w:rFonts w:ascii="方正仿宋_GBK" w:eastAsia="方正仿宋_GBK" w:hAnsi="方正仿宋_GBK" w:cs="方正仿宋_GBK"/>
          <w:sz w:val="32"/>
          <w:szCs w:val="32"/>
          <w:shd w:val="clear" w:color="auto" w:fill="FFFF00"/>
        </w:rPr>
        <w:sectPr w:rsidR="00F530A1">
          <w:footerReference w:type="default" r:id="rId8"/>
          <w:pgSz w:w="11915" w:h="16840"/>
          <w:pgMar w:top="1440" w:right="1800" w:bottom="1440" w:left="1800" w:header="851" w:footer="992" w:gutter="0"/>
          <w:pgNumType w:fmt="numberInDash"/>
          <w:cols w:space="720"/>
          <w:docGrid w:type="lines" w:linePitch="312"/>
        </w:sectPr>
      </w:pPr>
    </w:p>
    <w:p w:rsidR="00F530A1" w:rsidRDefault="00F530A1">
      <w:pPr>
        <w:rPr>
          <w:rFonts w:cs="宋体" w:hint="default"/>
          <w:sz w:val="21"/>
          <w:szCs w:val="21"/>
        </w:rPr>
      </w:pPr>
    </w:p>
    <w:tbl>
      <w:tblPr>
        <w:tblW w:w="15393" w:type="dxa"/>
        <w:tblLayout w:type="fixed"/>
        <w:tblCellMar>
          <w:left w:w="0" w:type="dxa"/>
          <w:right w:w="0" w:type="dxa"/>
        </w:tblCellMar>
        <w:tblLook w:val="04A0" w:firstRow="1" w:lastRow="0" w:firstColumn="1" w:lastColumn="0" w:noHBand="0" w:noVBand="1"/>
      </w:tblPr>
      <w:tblGrid>
        <w:gridCol w:w="5122"/>
        <w:gridCol w:w="2020"/>
        <w:gridCol w:w="4809"/>
        <w:gridCol w:w="3442"/>
      </w:tblGrid>
      <w:tr w:rsidR="00F530A1">
        <w:trPr>
          <w:trHeight w:val="232"/>
        </w:trPr>
        <w:tc>
          <w:tcPr>
            <w:tcW w:w="15393" w:type="dxa"/>
            <w:gridSpan w:val="4"/>
            <w:tcBorders>
              <w:top w:val="nil"/>
              <w:left w:val="nil"/>
              <w:bottom w:val="nil"/>
              <w:right w:val="nil"/>
            </w:tcBorders>
            <w:shd w:val="clear" w:color="auto" w:fill="auto"/>
            <w:noWrap/>
            <w:tcMar>
              <w:top w:w="15" w:type="dxa"/>
              <w:left w:w="15" w:type="dxa"/>
              <w:right w:w="15" w:type="dxa"/>
            </w:tcMar>
            <w:vAlign w:val="bottom"/>
          </w:tcPr>
          <w:p w:rsidR="00F530A1" w:rsidRDefault="00B77A9E">
            <w:pPr>
              <w:spacing w:line="400" w:lineRule="exact"/>
              <w:jc w:val="center"/>
              <w:textAlignment w:val="bottom"/>
              <w:rPr>
                <w:rFonts w:cs="宋体" w:hint="default"/>
                <w:b/>
                <w:sz w:val="32"/>
                <w:szCs w:val="32"/>
              </w:rPr>
            </w:pPr>
            <w:r>
              <w:rPr>
                <w:rFonts w:cs="宋体"/>
                <w:b/>
                <w:sz w:val="32"/>
                <w:szCs w:val="32"/>
              </w:rPr>
              <w:t>收入支出决算总表</w:t>
            </w:r>
          </w:p>
        </w:tc>
      </w:tr>
      <w:tr w:rsidR="00F530A1">
        <w:trPr>
          <w:trHeight w:val="232"/>
        </w:trPr>
        <w:tc>
          <w:tcPr>
            <w:tcW w:w="5122"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ascii="Arial" w:hAnsi="Arial" w:cs="Arial" w:hint="default"/>
                <w:sz w:val="20"/>
                <w:szCs w:val="20"/>
              </w:rPr>
            </w:pPr>
          </w:p>
        </w:tc>
        <w:tc>
          <w:tcPr>
            <w:tcW w:w="2020"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jc w:val="right"/>
              <w:rPr>
                <w:rFonts w:ascii="Arial" w:hAnsi="Arial" w:cs="Arial" w:hint="default"/>
                <w:sz w:val="20"/>
                <w:szCs w:val="20"/>
              </w:rPr>
            </w:pPr>
          </w:p>
        </w:tc>
        <w:tc>
          <w:tcPr>
            <w:tcW w:w="4809"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ascii="Arial" w:hAnsi="Arial" w:cs="Arial" w:hint="default"/>
                <w:sz w:val="20"/>
                <w:szCs w:val="20"/>
              </w:rPr>
            </w:pPr>
          </w:p>
        </w:tc>
        <w:tc>
          <w:tcPr>
            <w:tcW w:w="3442" w:type="dxa"/>
            <w:tcBorders>
              <w:top w:val="nil"/>
              <w:left w:val="nil"/>
              <w:bottom w:val="nil"/>
              <w:right w:val="nil"/>
            </w:tcBorders>
            <w:shd w:val="clear" w:color="auto" w:fill="auto"/>
            <w:noWrap/>
            <w:tcMar>
              <w:top w:w="15" w:type="dxa"/>
              <w:left w:w="15" w:type="dxa"/>
              <w:right w:w="15" w:type="dxa"/>
            </w:tcMar>
            <w:vAlign w:val="bottom"/>
          </w:tcPr>
          <w:p w:rsidR="00F530A1" w:rsidRDefault="00B77A9E">
            <w:pPr>
              <w:spacing w:line="280" w:lineRule="exact"/>
              <w:jc w:val="right"/>
              <w:textAlignment w:val="bottom"/>
              <w:rPr>
                <w:rFonts w:cs="宋体" w:hint="default"/>
                <w:sz w:val="20"/>
                <w:szCs w:val="20"/>
              </w:rPr>
            </w:pPr>
            <w:r>
              <w:rPr>
                <w:rFonts w:cs="宋体"/>
                <w:sz w:val="20"/>
                <w:szCs w:val="20"/>
              </w:rPr>
              <w:t>公开</w:t>
            </w:r>
            <w:r>
              <w:rPr>
                <w:rFonts w:cs="宋体"/>
                <w:sz w:val="20"/>
                <w:szCs w:val="20"/>
              </w:rPr>
              <w:t>01</w:t>
            </w:r>
            <w:r>
              <w:rPr>
                <w:rFonts w:cs="宋体"/>
                <w:sz w:val="20"/>
                <w:szCs w:val="20"/>
              </w:rPr>
              <w:t>表</w:t>
            </w:r>
          </w:p>
        </w:tc>
      </w:tr>
      <w:tr w:rsidR="00F530A1">
        <w:trPr>
          <w:trHeight w:val="232"/>
        </w:trPr>
        <w:tc>
          <w:tcPr>
            <w:tcW w:w="7142" w:type="dxa"/>
            <w:gridSpan w:val="2"/>
            <w:tcBorders>
              <w:top w:val="nil"/>
              <w:left w:val="nil"/>
              <w:bottom w:val="nil"/>
              <w:right w:val="nil"/>
            </w:tcBorders>
            <w:shd w:val="clear" w:color="auto" w:fill="auto"/>
            <w:noWrap/>
            <w:tcMar>
              <w:top w:w="15" w:type="dxa"/>
              <w:left w:w="15" w:type="dxa"/>
              <w:right w:w="15" w:type="dxa"/>
            </w:tcMar>
            <w:vAlign w:val="bottom"/>
          </w:tcPr>
          <w:p w:rsidR="00F530A1" w:rsidRDefault="00B77A9E">
            <w:pPr>
              <w:spacing w:line="200" w:lineRule="exact"/>
              <w:rPr>
                <w:rFonts w:ascii="Arial" w:hAnsi="Arial" w:cs="Arial" w:hint="default"/>
                <w:sz w:val="22"/>
                <w:szCs w:val="22"/>
              </w:rPr>
            </w:pPr>
            <w:r>
              <w:rPr>
                <w:rFonts w:cs="宋体"/>
                <w:sz w:val="20"/>
                <w:szCs w:val="20"/>
              </w:rPr>
              <w:t>公开单位：</w:t>
            </w:r>
            <w:r>
              <w:rPr>
                <w:sz w:val="20"/>
              </w:rPr>
              <w:t>重庆市丰都县教育委员会（本级）</w:t>
            </w:r>
          </w:p>
        </w:tc>
        <w:tc>
          <w:tcPr>
            <w:tcW w:w="4809"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ascii="Arial" w:hAnsi="Arial" w:cs="Arial" w:hint="default"/>
                <w:sz w:val="22"/>
                <w:szCs w:val="22"/>
              </w:rPr>
            </w:pPr>
          </w:p>
        </w:tc>
        <w:tc>
          <w:tcPr>
            <w:tcW w:w="3442" w:type="dxa"/>
            <w:tcBorders>
              <w:top w:val="nil"/>
              <w:left w:val="nil"/>
              <w:bottom w:val="nil"/>
              <w:right w:val="nil"/>
            </w:tcBorders>
            <w:shd w:val="clear" w:color="auto" w:fill="auto"/>
            <w:noWrap/>
            <w:tcMar>
              <w:top w:w="15" w:type="dxa"/>
              <w:left w:w="15" w:type="dxa"/>
              <w:right w:w="15" w:type="dxa"/>
            </w:tcMar>
            <w:vAlign w:val="bottom"/>
          </w:tcPr>
          <w:p w:rsidR="00F530A1" w:rsidRDefault="00B77A9E">
            <w:pPr>
              <w:spacing w:line="280" w:lineRule="exact"/>
              <w:jc w:val="right"/>
              <w:textAlignment w:val="bottom"/>
              <w:rPr>
                <w:rFonts w:cs="宋体" w:hint="default"/>
                <w:sz w:val="20"/>
                <w:szCs w:val="20"/>
              </w:rPr>
            </w:pPr>
            <w:r>
              <w:rPr>
                <w:rFonts w:cs="宋体"/>
                <w:sz w:val="20"/>
                <w:szCs w:val="20"/>
              </w:rPr>
              <w:t>单位：万元</w:t>
            </w:r>
          </w:p>
        </w:tc>
      </w:tr>
      <w:tr w:rsidR="00F530A1">
        <w:trPr>
          <w:trHeight w:val="243"/>
        </w:trPr>
        <w:tc>
          <w:tcPr>
            <w:tcW w:w="7142" w:type="dxa"/>
            <w:gridSpan w:val="2"/>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jc w:val="center"/>
              <w:textAlignment w:val="center"/>
              <w:rPr>
                <w:rFonts w:cs="宋体" w:hint="default"/>
                <w:b/>
                <w:sz w:val="20"/>
                <w:szCs w:val="20"/>
              </w:rPr>
            </w:pPr>
            <w:r>
              <w:rPr>
                <w:rFonts w:cs="宋体"/>
                <w:b/>
                <w:sz w:val="20"/>
                <w:szCs w:val="20"/>
              </w:rPr>
              <w:t>收入</w:t>
            </w:r>
          </w:p>
        </w:tc>
        <w:tc>
          <w:tcPr>
            <w:tcW w:w="8251" w:type="dxa"/>
            <w:gridSpan w:val="2"/>
            <w:tcBorders>
              <w:top w:val="single" w:sz="4" w:space="0" w:color="000000"/>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jc w:val="center"/>
              <w:textAlignment w:val="center"/>
              <w:rPr>
                <w:rFonts w:cs="宋体" w:hint="default"/>
                <w:b/>
                <w:sz w:val="20"/>
                <w:szCs w:val="20"/>
              </w:rPr>
            </w:pPr>
            <w:r>
              <w:rPr>
                <w:rFonts w:cs="宋体"/>
                <w:b/>
                <w:sz w:val="20"/>
                <w:szCs w:val="20"/>
              </w:rPr>
              <w:t>支出</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jc w:val="center"/>
              <w:textAlignment w:val="center"/>
              <w:rPr>
                <w:rFonts w:cs="宋体" w:hint="default"/>
                <w:b/>
                <w:sz w:val="20"/>
                <w:szCs w:val="20"/>
              </w:rPr>
            </w:pPr>
            <w:r>
              <w:rPr>
                <w:rFonts w:cs="宋体"/>
                <w:b/>
                <w:sz w:val="20"/>
                <w:szCs w:val="20"/>
              </w:rPr>
              <w:t>项目</w:t>
            </w:r>
          </w:p>
        </w:tc>
        <w:tc>
          <w:tcPr>
            <w:tcW w:w="2020"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jc w:val="center"/>
              <w:textAlignment w:val="center"/>
              <w:rPr>
                <w:rFonts w:cs="宋体" w:hint="default"/>
                <w:b/>
                <w:sz w:val="20"/>
                <w:szCs w:val="20"/>
              </w:rPr>
            </w:pPr>
            <w:r>
              <w:rPr>
                <w:rFonts w:cs="宋体"/>
                <w:b/>
                <w:sz w:val="20"/>
                <w:szCs w:val="20"/>
              </w:rPr>
              <w:t>决算数</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jc w:val="center"/>
              <w:textAlignment w:val="center"/>
              <w:rPr>
                <w:rFonts w:cs="宋体" w:hint="default"/>
                <w:b/>
                <w:sz w:val="20"/>
                <w:szCs w:val="20"/>
              </w:rPr>
            </w:pPr>
            <w:r>
              <w:rPr>
                <w:rFonts w:cs="宋体"/>
                <w:b/>
                <w:sz w:val="20"/>
                <w:szCs w:val="20"/>
              </w:rPr>
              <w:t>功能分类科目</w:t>
            </w:r>
          </w:p>
        </w:tc>
        <w:tc>
          <w:tcPr>
            <w:tcW w:w="3442"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jc w:val="center"/>
              <w:textAlignment w:val="center"/>
              <w:rPr>
                <w:rFonts w:cs="宋体" w:hint="default"/>
                <w:b/>
                <w:sz w:val="20"/>
                <w:szCs w:val="20"/>
              </w:rPr>
            </w:pPr>
            <w:r>
              <w:rPr>
                <w:rFonts w:cs="宋体"/>
                <w:b/>
                <w:sz w:val="20"/>
                <w:szCs w:val="20"/>
              </w:rPr>
              <w:t>决算数</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一、一般公共预算财政拨款收入</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rFonts w:cs="宋体"/>
                <w:sz w:val="20"/>
                <w:szCs w:val="20"/>
              </w:rPr>
              <w:t>7,276.93</w:t>
            </w:r>
            <w:r>
              <w:rPr>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一、一般公共服务支出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二、政府性基金预算财政拨款收入</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二、外交支出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三、国有资本经营预算财政拨款收入</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三、国防支出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四、上级补助收入</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四、公共安全支出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五、事业收入</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五、教育支出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rFonts w:cs="宋体"/>
                <w:sz w:val="20"/>
                <w:szCs w:val="20"/>
              </w:rPr>
              <w:t>6,697.19</w:t>
            </w: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六、经营收入</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六、科学技术支出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七、附属单位上缴收入</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七、文化旅游体育与传媒支出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八、其他收入</w:t>
            </w:r>
          </w:p>
        </w:tc>
        <w:tc>
          <w:tcPr>
            <w:tcW w:w="2020" w:type="dxa"/>
            <w:tcBorders>
              <w:top w:val="nil"/>
              <w:left w:val="nil"/>
              <w:bottom w:val="nil"/>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rFonts w:cs="宋体"/>
                <w:sz w:val="20"/>
                <w:szCs w:val="20"/>
              </w:rPr>
              <w:t>82.82</w:t>
            </w:r>
            <w:r>
              <w:rPr>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八、社会保障和就业支出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rFonts w:cs="宋体"/>
                <w:sz w:val="20"/>
                <w:szCs w:val="20"/>
              </w:rPr>
              <w:t>237.63</w:t>
            </w: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40" w:lineRule="exact"/>
              <w:jc w:val="right"/>
              <w:rPr>
                <w:rFonts w:ascii="Arial" w:hAnsi="Arial" w:cs="Arial"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九、卫生健康支出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rFonts w:cs="宋体"/>
                <w:sz w:val="20"/>
                <w:szCs w:val="20"/>
              </w:rPr>
              <w:t>23.86</w:t>
            </w: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40" w:lineRule="exact"/>
              <w:jc w:val="right"/>
              <w:rPr>
                <w:rFonts w:ascii="Arial" w:hAnsi="Arial" w:cs="Arial"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十、节能环保支出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40" w:lineRule="exact"/>
              <w:jc w:val="right"/>
              <w:rPr>
                <w:rFonts w:ascii="Arial" w:hAnsi="Arial" w:cs="Arial"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十一、城乡社区支出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40" w:lineRule="exact"/>
              <w:jc w:val="right"/>
              <w:rPr>
                <w:rFonts w:ascii="Arial" w:hAnsi="Arial" w:cs="Arial"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十二、农林水支出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rFonts w:cs="宋体"/>
                <w:sz w:val="20"/>
                <w:szCs w:val="20"/>
              </w:rPr>
              <w:t>550.00</w:t>
            </w: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40" w:lineRule="exact"/>
              <w:jc w:val="right"/>
              <w:rPr>
                <w:rFonts w:cs="宋体"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十三、交通运输支出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40" w:lineRule="exact"/>
              <w:jc w:val="right"/>
              <w:rPr>
                <w:rFonts w:cs="宋体"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十四、资源勘探工业信息等支出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40" w:lineRule="exact"/>
              <w:jc w:val="right"/>
              <w:rPr>
                <w:rFonts w:cs="宋体"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十五、商业服务业等支出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40" w:lineRule="exact"/>
              <w:jc w:val="right"/>
              <w:rPr>
                <w:rFonts w:cs="宋体"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十六、金融支出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40" w:lineRule="exact"/>
              <w:jc w:val="right"/>
              <w:rPr>
                <w:rFonts w:cs="宋体"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十七、援助其他地区支出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40" w:lineRule="exact"/>
              <w:jc w:val="right"/>
              <w:rPr>
                <w:rFonts w:cs="宋体"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十八、自然资源海洋气象等支出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rFonts w:cs="宋体"/>
                <w:sz w:val="20"/>
                <w:szCs w:val="20"/>
              </w:rPr>
              <w:t>538.08</w:t>
            </w: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40" w:lineRule="exact"/>
              <w:jc w:val="right"/>
              <w:rPr>
                <w:rFonts w:cs="宋体"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十九、住房保障支出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rFonts w:cs="宋体"/>
                <w:sz w:val="20"/>
                <w:szCs w:val="20"/>
              </w:rPr>
              <w:t>20.70</w:t>
            </w: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40" w:lineRule="exact"/>
              <w:jc w:val="right"/>
              <w:rPr>
                <w:rFonts w:cs="宋体"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二十、粮油物资储备支出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40" w:lineRule="exact"/>
              <w:jc w:val="right"/>
              <w:rPr>
                <w:rFonts w:cs="宋体"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二十一、国有资本经营预算支出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40" w:lineRule="exact"/>
              <w:jc w:val="right"/>
              <w:rPr>
                <w:rFonts w:cs="宋体"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二十二、灾害防治及应急管理支出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40" w:lineRule="exact"/>
              <w:jc w:val="right"/>
              <w:rPr>
                <w:rFonts w:cs="宋体"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二十三、其他支出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jc w:val="center"/>
              <w:rPr>
                <w:rFonts w:cs="宋体" w:hint="default"/>
                <w:b/>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40" w:lineRule="exact"/>
              <w:jc w:val="right"/>
              <w:rPr>
                <w:rFonts w:cs="宋体"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二十四、债务还本支出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40" w:lineRule="exact"/>
              <w:jc w:val="right"/>
              <w:rPr>
                <w:rFonts w:cs="宋体"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二十五、债务付息支出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40" w:lineRule="exact"/>
              <w:rPr>
                <w:rFonts w:cs="宋体" w:hint="default"/>
                <w:sz w:val="20"/>
                <w:szCs w:val="20"/>
              </w:rPr>
            </w:pP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40" w:lineRule="exact"/>
              <w:jc w:val="right"/>
              <w:rPr>
                <w:rFonts w:cs="宋体" w:hint="default"/>
                <w:sz w:val="20"/>
                <w:szCs w:val="20"/>
              </w:rPr>
            </w:pP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二十六、抗疫特别国债安排的支出</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jc w:val="center"/>
              <w:textAlignment w:val="center"/>
              <w:rPr>
                <w:rFonts w:cs="宋体" w:hint="default"/>
                <w:b/>
                <w:sz w:val="20"/>
                <w:szCs w:val="20"/>
              </w:rPr>
            </w:pPr>
            <w:r>
              <w:rPr>
                <w:rFonts w:cs="宋体"/>
                <w:b/>
                <w:sz w:val="20"/>
                <w:szCs w:val="20"/>
              </w:rPr>
              <w:t>本年收入合计</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rFonts w:cs="宋体"/>
                <w:sz w:val="20"/>
                <w:szCs w:val="20"/>
              </w:rPr>
              <w:t>7,359.76</w:t>
            </w:r>
            <w:r>
              <w:rPr>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jc w:val="center"/>
              <w:textAlignment w:val="center"/>
              <w:rPr>
                <w:rFonts w:cs="宋体" w:hint="default"/>
                <w:b/>
                <w:sz w:val="20"/>
                <w:szCs w:val="20"/>
              </w:rPr>
            </w:pPr>
            <w:r>
              <w:rPr>
                <w:rFonts w:cs="宋体"/>
                <w:b/>
                <w:sz w:val="20"/>
                <w:szCs w:val="20"/>
              </w:rPr>
              <w:t>本年支出合计</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rFonts w:cs="宋体"/>
                <w:sz w:val="20"/>
                <w:szCs w:val="20"/>
              </w:rPr>
              <w:t>8,067.47</w:t>
            </w: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使用非财政拨款结余和专用结余</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结余分配</w:t>
            </w:r>
          </w:p>
        </w:tc>
        <w:tc>
          <w:tcPr>
            <w:tcW w:w="344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sz w:val="20"/>
              </w:rPr>
              <w:t xml:space="preserve"> </w:t>
            </w:r>
          </w:p>
        </w:tc>
      </w:tr>
      <w:tr w:rsidR="00F530A1">
        <w:trPr>
          <w:trHeight w:val="24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年初结转和结余</w:t>
            </w:r>
          </w:p>
        </w:tc>
        <w:tc>
          <w:tcPr>
            <w:tcW w:w="202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rFonts w:cs="宋体"/>
                <w:sz w:val="20"/>
                <w:szCs w:val="20"/>
              </w:rPr>
              <w:t>744.55</w:t>
            </w:r>
            <w:r>
              <w:rPr>
                <w:sz w:val="20"/>
              </w:rPr>
              <w:t xml:space="preserve"> </w:t>
            </w:r>
          </w:p>
        </w:tc>
        <w:tc>
          <w:tcPr>
            <w:tcW w:w="4809" w:type="dxa"/>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textAlignment w:val="center"/>
              <w:rPr>
                <w:rFonts w:cs="宋体" w:hint="default"/>
                <w:sz w:val="20"/>
                <w:szCs w:val="20"/>
              </w:rPr>
            </w:pPr>
            <w:r>
              <w:rPr>
                <w:rFonts w:cs="宋体"/>
                <w:sz w:val="20"/>
                <w:szCs w:val="20"/>
              </w:rPr>
              <w:t>年末结转和结余</w:t>
            </w:r>
          </w:p>
        </w:tc>
        <w:tc>
          <w:tcPr>
            <w:tcW w:w="3442"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rFonts w:cs="宋体"/>
                <w:sz w:val="20"/>
                <w:szCs w:val="20"/>
              </w:rPr>
              <w:t>36.84</w:t>
            </w:r>
            <w:r>
              <w:rPr>
                <w:sz w:val="20"/>
              </w:rPr>
              <w:t xml:space="preserve"> </w:t>
            </w:r>
          </w:p>
        </w:tc>
      </w:tr>
      <w:tr w:rsidR="00F530A1">
        <w:trPr>
          <w:trHeight w:val="253"/>
        </w:trPr>
        <w:tc>
          <w:tcPr>
            <w:tcW w:w="5122" w:type="dxa"/>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40" w:lineRule="exact"/>
              <w:jc w:val="center"/>
              <w:textAlignment w:val="center"/>
              <w:rPr>
                <w:rFonts w:cs="宋体" w:hint="default"/>
                <w:b/>
                <w:sz w:val="20"/>
                <w:szCs w:val="20"/>
              </w:rPr>
            </w:pPr>
            <w:r>
              <w:rPr>
                <w:rFonts w:cs="宋体"/>
                <w:b/>
                <w:sz w:val="20"/>
                <w:szCs w:val="20"/>
              </w:rPr>
              <w:t>总计</w:t>
            </w:r>
          </w:p>
        </w:tc>
        <w:tc>
          <w:tcPr>
            <w:tcW w:w="2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rFonts w:cs="宋体"/>
                <w:sz w:val="20"/>
                <w:szCs w:val="20"/>
              </w:rPr>
              <w:t>8,104.31</w:t>
            </w:r>
            <w:r>
              <w:rPr>
                <w:sz w:val="20"/>
              </w:rPr>
              <w:t xml:space="preserve"> </w:t>
            </w:r>
          </w:p>
        </w:tc>
        <w:tc>
          <w:tcPr>
            <w:tcW w:w="4809" w:type="dxa"/>
            <w:tcBorders>
              <w:top w:val="nil"/>
              <w:left w:val="nil"/>
              <w:bottom w:val="single" w:sz="4" w:space="0" w:color="000000"/>
              <w:right w:val="single" w:sz="4" w:space="0" w:color="auto"/>
            </w:tcBorders>
            <w:shd w:val="clear" w:color="FFFFFF" w:fill="C0C0C0"/>
            <w:noWrap/>
            <w:tcMar>
              <w:top w:w="15" w:type="dxa"/>
              <w:left w:w="15" w:type="dxa"/>
              <w:right w:w="15" w:type="dxa"/>
            </w:tcMar>
            <w:vAlign w:val="center"/>
          </w:tcPr>
          <w:p w:rsidR="00F530A1" w:rsidRDefault="00B77A9E">
            <w:pPr>
              <w:spacing w:line="240" w:lineRule="exact"/>
              <w:jc w:val="center"/>
              <w:textAlignment w:val="center"/>
              <w:rPr>
                <w:rFonts w:cs="宋体" w:hint="default"/>
                <w:b/>
                <w:sz w:val="20"/>
                <w:szCs w:val="20"/>
              </w:rPr>
            </w:pPr>
            <w:r>
              <w:rPr>
                <w:rFonts w:cs="宋体"/>
                <w:b/>
                <w:sz w:val="20"/>
                <w:szCs w:val="20"/>
              </w:rPr>
              <w:t>总计</w:t>
            </w:r>
          </w:p>
        </w:tc>
        <w:tc>
          <w:tcPr>
            <w:tcW w:w="3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40" w:lineRule="exact"/>
              <w:jc w:val="right"/>
              <w:textAlignment w:val="center"/>
              <w:rPr>
                <w:rFonts w:cs="宋体" w:hint="default"/>
                <w:sz w:val="20"/>
                <w:szCs w:val="20"/>
              </w:rPr>
            </w:pPr>
            <w:r>
              <w:rPr>
                <w:rFonts w:cs="宋体"/>
                <w:sz w:val="20"/>
                <w:szCs w:val="20"/>
              </w:rPr>
              <w:t>8,104.31</w:t>
            </w:r>
            <w:r>
              <w:rPr>
                <w:sz w:val="20"/>
              </w:rPr>
              <w:t xml:space="preserve"> </w:t>
            </w:r>
          </w:p>
        </w:tc>
      </w:tr>
    </w:tbl>
    <w:p w:rsidR="00F530A1" w:rsidRDefault="00B77A9E">
      <w:pPr>
        <w:spacing w:line="240" w:lineRule="exact"/>
        <w:rPr>
          <w:rFonts w:cs="宋体" w:hint="default"/>
          <w:sz w:val="20"/>
          <w:szCs w:val="20"/>
        </w:rPr>
      </w:pPr>
      <w:r>
        <w:rPr>
          <w:rFonts w:cs="宋体"/>
          <w:sz w:val="20"/>
          <w:szCs w:val="20"/>
        </w:rPr>
        <w:t>备注：</w:t>
      </w:r>
      <w:r>
        <w:rPr>
          <w:rFonts w:cs="宋体"/>
          <w:sz w:val="20"/>
          <w:szCs w:val="20"/>
        </w:rPr>
        <w:t>1.</w:t>
      </w:r>
      <w:r>
        <w:rPr>
          <w:rFonts w:cs="宋体"/>
          <w:sz w:val="20"/>
          <w:szCs w:val="20"/>
        </w:rPr>
        <w:t>本表反映单位本年度的总收支和年末结转结余情况。</w:t>
      </w:r>
      <w:r>
        <w:rPr>
          <w:rFonts w:cs="宋体"/>
          <w:sz w:val="20"/>
          <w:szCs w:val="20"/>
        </w:rPr>
        <w:br/>
      </w:r>
      <w:r>
        <w:rPr>
          <w:rFonts w:cs="宋体"/>
          <w:sz w:val="20"/>
          <w:szCs w:val="20"/>
        </w:rPr>
        <w:t xml:space="preserve">      2.</w:t>
      </w:r>
      <w:r>
        <w:rPr>
          <w:rFonts w:cs="宋体"/>
          <w:sz w:val="20"/>
          <w:szCs w:val="20"/>
        </w:rPr>
        <w:t>本套报表金额单位转换时可能存在尾数误差。</w:t>
      </w:r>
      <w:r>
        <w:rPr>
          <w:rFonts w:cs="宋体"/>
          <w:sz w:val="20"/>
          <w:szCs w:val="20"/>
        </w:rPr>
        <w:br/>
      </w:r>
      <w:r>
        <w:rPr>
          <w:rFonts w:cs="宋体"/>
          <w:sz w:val="20"/>
          <w:szCs w:val="20"/>
        </w:rPr>
        <w:br/>
      </w:r>
    </w:p>
    <w:tbl>
      <w:tblPr>
        <w:tblW w:w="15378" w:type="dxa"/>
        <w:tblLayout w:type="fixed"/>
        <w:tblCellMar>
          <w:left w:w="0" w:type="dxa"/>
          <w:right w:w="0" w:type="dxa"/>
        </w:tblCellMar>
        <w:tblLook w:val="04A0" w:firstRow="1" w:lastRow="0" w:firstColumn="1" w:lastColumn="0" w:noHBand="0" w:noVBand="1"/>
      </w:tblPr>
      <w:tblGrid>
        <w:gridCol w:w="1702"/>
        <w:gridCol w:w="3171"/>
        <w:gridCol w:w="1233"/>
        <w:gridCol w:w="1233"/>
        <w:gridCol w:w="1233"/>
        <w:gridCol w:w="1233"/>
        <w:gridCol w:w="1366"/>
        <w:gridCol w:w="1307"/>
        <w:gridCol w:w="1439"/>
        <w:gridCol w:w="1461"/>
      </w:tblGrid>
      <w:tr w:rsidR="00F530A1">
        <w:trPr>
          <w:trHeight w:val="641"/>
        </w:trPr>
        <w:tc>
          <w:tcPr>
            <w:tcW w:w="15378" w:type="dxa"/>
            <w:gridSpan w:val="10"/>
            <w:tcBorders>
              <w:top w:val="nil"/>
              <w:left w:val="nil"/>
              <w:bottom w:val="nil"/>
              <w:right w:val="nil"/>
            </w:tcBorders>
            <w:shd w:val="clear" w:color="auto" w:fill="auto"/>
            <w:noWrap/>
            <w:tcMar>
              <w:top w:w="15" w:type="dxa"/>
              <w:left w:w="15" w:type="dxa"/>
              <w:right w:w="15" w:type="dxa"/>
            </w:tcMar>
            <w:vAlign w:val="bottom"/>
          </w:tcPr>
          <w:p w:rsidR="00F530A1" w:rsidRDefault="00B77A9E">
            <w:pPr>
              <w:jc w:val="center"/>
              <w:textAlignment w:val="bottom"/>
              <w:rPr>
                <w:rFonts w:cs="宋体" w:hint="default"/>
                <w:b/>
                <w:sz w:val="32"/>
                <w:szCs w:val="32"/>
              </w:rPr>
            </w:pPr>
            <w:r>
              <w:rPr>
                <w:rFonts w:cs="宋体"/>
                <w:b/>
                <w:sz w:val="32"/>
                <w:szCs w:val="32"/>
              </w:rPr>
              <w:lastRenderedPageBreak/>
              <w:t>收入决算表</w:t>
            </w:r>
          </w:p>
        </w:tc>
      </w:tr>
      <w:tr w:rsidR="00F530A1">
        <w:trPr>
          <w:trHeight w:val="328"/>
        </w:trPr>
        <w:tc>
          <w:tcPr>
            <w:tcW w:w="6106" w:type="dxa"/>
            <w:gridSpan w:val="3"/>
            <w:vMerge w:val="restart"/>
            <w:tcBorders>
              <w:top w:val="nil"/>
              <w:left w:val="nil"/>
              <w:right w:val="nil"/>
            </w:tcBorders>
            <w:shd w:val="clear" w:color="auto" w:fill="auto"/>
            <w:noWrap/>
            <w:tcMar>
              <w:top w:w="15" w:type="dxa"/>
              <w:left w:w="15" w:type="dxa"/>
              <w:right w:w="15" w:type="dxa"/>
            </w:tcMar>
            <w:vAlign w:val="bottom"/>
          </w:tcPr>
          <w:p w:rsidR="00F530A1" w:rsidRDefault="00B77A9E">
            <w:pPr>
              <w:rPr>
                <w:rFonts w:cs="宋体" w:hint="default"/>
                <w:sz w:val="20"/>
                <w:szCs w:val="20"/>
              </w:rPr>
            </w:pPr>
            <w:r>
              <w:rPr>
                <w:rFonts w:cs="宋体"/>
                <w:sz w:val="20"/>
                <w:szCs w:val="20"/>
              </w:rPr>
              <w:t>公开单位：</w:t>
            </w:r>
            <w:r>
              <w:rPr>
                <w:sz w:val="20"/>
              </w:rPr>
              <w:t>重庆市丰都县教育委员会（本级）</w:t>
            </w:r>
          </w:p>
        </w:tc>
        <w:tc>
          <w:tcPr>
            <w:tcW w:w="1233"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233"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233"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366"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307"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439"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461" w:type="dxa"/>
            <w:tcBorders>
              <w:top w:val="nil"/>
              <w:left w:val="nil"/>
              <w:bottom w:val="nil"/>
              <w:right w:val="nil"/>
            </w:tcBorders>
            <w:shd w:val="clear" w:color="auto" w:fill="auto"/>
            <w:noWrap/>
            <w:tcMar>
              <w:top w:w="15" w:type="dxa"/>
              <w:left w:w="15" w:type="dxa"/>
              <w:right w:w="15" w:type="dxa"/>
            </w:tcMar>
            <w:vAlign w:val="bottom"/>
          </w:tcPr>
          <w:p w:rsidR="00F530A1" w:rsidRDefault="00B77A9E">
            <w:pPr>
              <w:jc w:val="right"/>
              <w:textAlignment w:val="bottom"/>
              <w:rPr>
                <w:rFonts w:cs="宋体" w:hint="default"/>
                <w:sz w:val="20"/>
                <w:szCs w:val="20"/>
              </w:rPr>
            </w:pPr>
            <w:r>
              <w:rPr>
                <w:rFonts w:cs="宋体"/>
                <w:sz w:val="20"/>
                <w:szCs w:val="20"/>
              </w:rPr>
              <w:t>公开</w:t>
            </w:r>
            <w:r>
              <w:rPr>
                <w:rFonts w:cs="宋体"/>
                <w:sz w:val="20"/>
                <w:szCs w:val="20"/>
              </w:rPr>
              <w:t>02</w:t>
            </w:r>
            <w:r>
              <w:rPr>
                <w:rFonts w:cs="宋体"/>
                <w:sz w:val="20"/>
                <w:szCs w:val="20"/>
              </w:rPr>
              <w:t>表</w:t>
            </w:r>
          </w:p>
        </w:tc>
      </w:tr>
      <w:tr w:rsidR="00F530A1">
        <w:trPr>
          <w:trHeight w:val="328"/>
        </w:trPr>
        <w:tc>
          <w:tcPr>
            <w:tcW w:w="6106" w:type="dxa"/>
            <w:gridSpan w:val="3"/>
            <w:vMerge/>
            <w:tcBorders>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233"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233"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233"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366"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307"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439"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461" w:type="dxa"/>
            <w:tcBorders>
              <w:top w:val="nil"/>
              <w:left w:val="nil"/>
              <w:bottom w:val="nil"/>
              <w:right w:val="nil"/>
            </w:tcBorders>
            <w:shd w:val="clear" w:color="auto" w:fill="auto"/>
            <w:noWrap/>
            <w:tcMar>
              <w:top w:w="15" w:type="dxa"/>
              <w:left w:w="15" w:type="dxa"/>
              <w:right w:w="15" w:type="dxa"/>
            </w:tcMar>
            <w:vAlign w:val="bottom"/>
          </w:tcPr>
          <w:p w:rsidR="00F530A1" w:rsidRDefault="00B77A9E">
            <w:pPr>
              <w:jc w:val="right"/>
              <w:textAlignment w:val="bottom"/>
              <w:rPr>
                <w:rFonts w:cs="宋体" w:hint="default"/>
                <w:sz w:val="20"/>
                <w:szCs w:val="20"/>
              </w:rPr>
            </w:pPr>
            <w:r>
              <w:rPr>
                <w:rFonts w:cs="宋体"/>
                <w:sz w:val="20"/>
                <w:szCs w:val="20"/>
              </w:rPr>
              <w:t>单位：万元</w:t>
            </w:r>
          </w:p>
        </w:tc>
      </w:tr>
      <w:tr w:rsidR="00F530A1">
        <w:trPr>
          <w:trHeight w:val="431"/>
        </w:trPr>
        <w:tc>
          <w:tcPr>
            <w:tcW w:w="4873" w:type="dxa"/>
            <w:gridSpan w:val="2"/>
            <w:tcBorders>
              <w:top w:val="single" w:sz="4" w:space="0" w:color="000000"/>
              <w:left w:val="single" w:sz="4" w:space="0" w:color="000000"/>
              <w:bottom w:val="single" w:sz="4" w:space="0" w:color="000000"/>
              <w:right w:val="nil"/>
            </w:tcBorders>
            <w:shd w:val="clear" w:color="auto" w:fill="D0CECE"/>
            <w:noWrap/>
            <w:tcMar>
              <w:top w:w="15" w:type="dxa"/>
              <w:left w:w="15" w:type="dxa"/>
              <w:right w:w="15" w:type="dxa"/>
            </w:tcMar>
            <w:vAlign w:val="bottom"/>
          </w:tcPr>
          <w:p w:rsidR="00F530A1" w:rsidRDefault="00B77A9E">
            <w:pPr>
              <w:jc w:val="center"/>
              <w:textAlignment w:val="bottom"/>
              <w:rPr>
                <w:rFonts w:cs="宋体" w:hint="default"/>
                <w:b/>
                <w:sz w:val="20"/>
                <w:szCs w:val="20"/>
              </w:rPr>
            </w:pPr>
            <w:r>
              <w:rPr>
                <w:rFonts w:cs="宋体"/>
                <w:b/>
                <w:sz w:val="20"/>
                <w:szCs w:val="20"/>
              </w:rPr>
              <w:t>项目</w:t>
            </w:r>
          </w:p>
        </w:tc>
        <w:tc>
          <w:tcPr>
            <w:tcW w:w="1233"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本年收入合计</w:t>
            </w:r>
          </w:p>
        </w:tc>
        <w:tc>
          <w:tcPr>
            <w:tcW w:w="1233"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财政拨款收入</w:t>
            </w:r>
          </w:p>
        </w:tc>
        <w:tc>
          <w:tcPr>
            <w:tcW w:w="1233"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上级补助收入</w:t>
            </w:r>
          </w:p>
        </w:tc>
        <w:tc>
          <w:tcPr>
            <w:tcW w:w="2599" w:type="dxa"/>
            <w:gridSpan w:val="2"/>
            <w:tcBorders>
              <w:top w:val="single" w:sz="4" w:space="0" w:color="000000"/>
              <w:left w:val="single" w:sz="4" w:space="0" w:color="000000"/>
              <w:bottom w:val="single" w:sz="4" w:space="0" w:color="000000"/>
              <w:right w:val="single" w:sz="4" w:space="0" w:color="000000"/>
            </w:tcBorders>
            <w:shd w:val="clear" w:color="auto" w:fill="C0C0C0"/>
            <w:noWrap/>
            <w:tcMar>
              <w:top w:w="15" w:type="dxa"/>
              <w:left w:w="15" w:type="dxa"/>
              <w:right w:w="15" w:type="dxa"/>
            </w:tcMar>
            <w:vAlign w:val="bottom"/>
          </w:tcPr>
          <w:p w:rsidR="00F530A1" w:rsidRDefault="00B77A9E">
            <w:pPr>
              <w:jc w:val="center"/>
              <w:textAlignment w:val="bottom"/>
              <w:rPr>
                <w:rFonts w:cs="宋体" w:hint="default"/>
                <w:b/>
                <w:sz w:val="20"/>
                <w:szCs w:val="20"/>
              </w:rPr>
            </w:pPr>
            <w:r>
              <w:rPr>
                <w:rFonts w:cs="宋体"/>
                <w:b/>
                <w:sz w:val="20"/>
                <w:szCs w:val="20"/>
              </w:rPr>
              <w:t>事业收入</w:t>
            </w:r>
          </w:p>
        </w:tc>
        <w:tc>
          <w:tcPr>
            <w:tcW w:w="1307"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经营收入</w:t>
            </w:r>
          </w:p>
        </w:tc>
        <w:tc>
          <w:tcPr>
            <w:tcW w:w="1439"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附属单位上缴收入</w:t>
            </w:r>
          </w:p>
        </w:tc>
        <w:tc>
          <w:tcPr>
            <w:tcW w:w="1461"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其他收入</w:t>
            </w:r>
          </w:p>
        </w:tc>
      </w:tr>
      <w:tr w:rsidR="00F530A1">
        <w:trPr>
          <w:trHeight w:val="334"/>
        </w:trPr>
        <w:tc>
          <w:tcPr>
            <w:tcW w:w="1702" w:type="dxa"/>
            <w:vMerge w:val="restart"/>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功能分类科目编码</w:t>
            </w:r>
          </w:p>
        </w:tc>
        <w:tc>
          <w:tcPr>
            <w:tcW w:w="3171" w:type="dxa"/>
            <w:vMerge w:val="restart"/>
            <w:tcBorders>
              <w:top w:val="nil"/>
              <w:left w:val="nil"/>
              <w:bottom w:val="single" w:sz="4" w:space="0" w:color="000000"/>
              <w:right w:val="nil"/>
            </w:tcBorders>
            <w:shd w:val="clear" w:color="FFFFFF" w:fill="C0C0C0"/>
            <w:noWrap/>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项目（按“项”级功能分类科目）</w:t>
            </w:r>
          </w:p>
        </w:tc>
        <w:tc>
          <w:tcPr>
            <w:tcW w:w="123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23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23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233"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小计</w:t>
            </w:r>
          </w:p>
        </w:tc>
        <w:tc>
          <w:tcPr>
            <w:tcW w:w="1366"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其中：教育收费</w:t>
            </w:r>
          </w:p>
        </w:tc>
        <w:tc>
          <w:tcPr>
            <w:tcW w:w="130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439"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461"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r>
      <w:tr w:rsidR="00F530A1">
        <w:trPr>
          <w:trHeight w:val="334"/>
        </w:trPr>
        <w:tc>
          <w:tcPr>
            <w:tcW w:w="1702" w:type="dxa"/>
            <w:vMerge/>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jc w:val="center"/>
              <w:rPr>
                <w:rFonts w:cs="宋体" w:hint="default"/>
                <w:b/>
                <w:sz w:val="20"/>
                <w:szCs w:val="20"/>
              </w:rPr>
            </w:pPr>
          </w:p>
        </w:tc>
        <w:tc>
          <w:tcPr>
            <w:tcW w:w="3171" w:type="dxa"/>
            <w:vMerge/>
            <w:tcBorders>
              <w:top w:val="nil"/>
              <w:left w:val="nil"/>
              <w:bottom w:val="single" w:sz="4" w:space="0" w:color="000000"/>
              <w:right w:val="nil"/>
            </w:tcBorders>
            <w:shd w:val="clear" w:color="FFFFFF" w:fill="C0C0C0"/>
            <w:noWrap/>
            <w:tcMar>
              <w:top w:w="15" w:type="dxa"/>
              <w:left w:w="15" w:type="dxa"/>
              <w:right w:w="15" w:type="dxa"/>
            </w:tcMar>
            <w:vAlign w:val="center"/>
          </w:tcPr>
          <w:p w:rsidR="00F530A1" w:rsidRDefault="00F530A1">
            <w:pPr>
              <w:jc w:val="center"/>
              <w:rPr>
                <w:rFonts w:cs="宋体" w:hint="default"/>
                <w:b/>
                <w:sz w:val="20"/>
                <w:szCs w:val="20"/>
              </w:rPr>
            </w:pPr>
          </w:p>
        </w:tc>
        <w:tc>
          <w:tcPr>
            <w:tcW w:w="123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23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23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23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36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30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439"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461"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r>
      <w:tr w:rsidR="00F530A1">
        <w:trPr>
          <w:trHeight w:val="334"/>
        </w:trPr>
        <w:tc>
          <w:tcPr>
            <w:tcW w:w="1702" w:type="dxa"/>
            <w:vMerge/>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jc w:val="center"/>
              <w:rPr>
                <w:rFonts w:cs="宋体" w:hint="default"/>
                <w:b/>
                <w:sz w:val="20"/>
                <w:szCs w:val="20"/>
              </w:rPr>
            </w:pPr>
          </w:p>
        </w:tc>
        <w:tc>
          <w:tcPr>
            <w:tcW w:w="3171" w:type="dxa"/>
            <w:vMerge/>
            <w:tcBorders>
              <w:top w:val="nil"/>
              <w:left w:val="nil"/>
              <w:bottom w:val="single" w:sz="4" w:space="0" w:color="000000"/>
              <w:right w:val="nil"/>
            </w:tcBorders>
            <w:shd w:val="clear" w:color="FFFFFF" w:fill="C0C0C0"/>
            <w:noWrap/>
            <w:tcMar>
              <w:top w:w="15" w:type="dxa"/>
              <w:left w:w="15" w:type="dxa"/>
              <w:right w:w="15" w:type="dxa"/>
            </w:tcMar>
            <w:vAlign w:val="center"/>
          </w:tcPr>
          <w:p w:rsidR="00F530A1" w:rsidRDefault="00F530A1">
            <w:pPr>
              <w:jc w:val="center"/>
              <w:rPr>
                <w:rFonts w:cs="宋体" w:hint="default"/>
                <w:b/>
                <w:sz w:val="20"/>
                <w:szCs w:val="20"/>
              </w:rPr>
            </w:pPr>
          </w:p>
        </w:tc>
        <w:tc>
          <w:tcPr>
            <w:tcW w:w="123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23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23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23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36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30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439"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461"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r>
      <w:tr w:rsidR="00F530A1">
        <w:trPr>
          <w:trHeight w:val="334"/>
        </w:trPr>
        <w:tc>
          <w:tcPr>
            <w:tcW w:w="1702" w:type="dxa"/>
            <w:vMerge/>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jc w:val="center"/>
              <w:rPr>
                <w:rFonts w:cs="宋体" w:hint="default"/>
                <w:b/>
                <w:sz w:val="20"/>
                <w:szCs w:val="20"/>
              </w:rPr>
            </w:pPr>
          </w:p>
        </w:tc>
        <w:tc>
          <w:tcPr>
            <w:tcW w:w="3171" w:type="dxa"/>
            <w:vMerge/>
            <w:tcBorders>
              <w:top w:val="nil"/>
              <w:left w:val="nil"/>
              <w:bottom w:val="single" w:sz="4" w:space="0" w:color="000000"/>
              <w:right w:val="nil"/>
            </w:tcBorders>
            <w:shd w:val="clear" w:color="FFFFFF" w:fill="C0C0C0"/>
            <w:noWrap/>
            <w:tcMar>
              <w:top w:w="15" w:type="dxa"/>
              <w:left w:w="15" w:type="dxa"/>
              <w:right w:w="15" w:type="dxa"/>
            </w:tcMar>
            <w:vAlign w:val="center"/>
          </w:tcPr>
          <w:p w:rsidR="00F530A1" w:rsidRDefault="00F530A1">
            <w:pPr>
              <w:jc w:val="center"/>
              <w:rPr>
                <w:rFonts w:cs="宋体" w:hint="default"/>
                <w:b/>
                <w:sz w:val="20"/>
                <w:szCs w:val="20"/>
              </w:rPr>
            </w:pPr>
          </w:p>
        </w:tc>
        <w:tc>
          <w:tcPr>
            <w:tcW w:w="123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23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23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233"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36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30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439"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461"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r>
      <w:tr w:rsidR="00F530A1">
        <w:trPr>
          <w:trHeight w:val="338"/>
        </w:trPr>
        <w:tc>
          <w:tcPr>
            <w:tcW w:w="4873" w:type="dxa"/>
            <w:gridSpan w:val="2"/>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合计</w:t>
            </w:r>
          </w:p>
        </w:tc>
        <w:tc>
          <w:tcPr>
            <w:tcW w:w="123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bCs/>
                <w:sz w:val="20"/>
                <w:szCs w:val="20"/>
              </w:rPr>
              <w:t>7,359.76</w:t>
            </w:r>
            <w:r>
              <w:rPr>
                <w:b/>
                <w:sz w:val="20"/>
              </w:rPr>
              <w:t xml:space="preserve"> </w:t>
            </w:r>
          </w:p>
        </w:tc>
        <w:tc>
          <w:tcPr>
            <w:tcW w:w="123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bCs/>
                <w:sz w:val="20"/>
                <w:szCs w:val="20"/>
              </w:rPr>
              <w:t>7,276.93</w:t>
            </w:r>
            <w:r>
              <w:rPr>
                <w:b/>
                <w:sz w:val="20"/>
              </w:rPr>
              <w:t xml:space="preserve"> </w:t>
            </w:r>
          </w:p>
        </w:tc>
        <w:tc>
          <w:tcPr>
            <w:tcW w:w="123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b/>
                <w:sz w:val="20"/>
              </w:rPr>
              <w:t xml:space="preserve"> </w:t>
            </w:r>
          </w:p>
        </w:tc>
        <w:tc>
          <w:tcPr>
            <w:tcW w:w="123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b/>
                <w:sz w:val="20"/>
              </w:rPr>
              <w:t xml:space="preserve"> </w:t>
            </w:r>
          </w:p>
        </w:tc>
        <w:tc>
          <w:tcPr>
            <w:tcW w:w="13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b/>
                <w:sz w:val="20"/>
              </w:rPr>
              <w:t xml:space="preserve"> </w:t>
            </w:r>
          </w:p>
        </w:tc>
        <w:tc>
          <w:tcPr>
            <w:tcW w:w="13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b/>
                <w:sz w:val="20"/>
              </w:rPr>
              <w:t xml:space="preserve"> </w:t>
            </w:r>
          </w:p>
        </w:tc>
        <w:tc>
          <w:tcPr>
            <w:tcW w:w="143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b/>
                <w:sz w:val="20"/>
              </w:rPr>
              <w:t xml:space="preserve"> </w:t>
            </w:r>
          </w:p>
        </w:tc>
        <w:tc>
          <w:tcPr>
            <w:tcW w:w="14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bCs/>
                <w:sz w:val="20"/>
                <w:szCs w:val="20"/>
              </w:rPr>
              <w:t>82.82</w:t>
            </w:r>
            <w:r>
              <w:rPr>
                <w:b/>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205</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教育支出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5,989.48</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5,906.65</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82.82</w:t>
            </w:r>
            <w:r>
              <w:rPr>
                <w:b/>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20501</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教育管理事务</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659.90</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577.08</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82.82</w:t>
            </w:r>
            <w:r>
              <w:rPr>
                <w:b/>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2050101</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行政运行</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432.95</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350.13</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82.82</w:t>
            </w: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2050199</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其他教育管理事务支出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226.95</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226.95</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20502</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普通教育</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4,523.18</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4,523.18</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2050201</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学前教育</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945.25</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945.25</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2050202</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小学教育</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1,081.50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1,081.50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2050203</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初中教育</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1,135.64</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1,135.64</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2050204</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高中教育</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1,356.00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1,356.00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2050299</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其他普通教育支出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4.78</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4.78</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20503</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职业教育</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801.40</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801.40</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2050302</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中等职业教育</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801.40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801.40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20599</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其他教育支出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5.00</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5.00</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2059999</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其他教育支出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5.00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5.00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208</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社会保障和就业支出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237.63</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237.63</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20805</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行政事业单位养老支出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237.63</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237.63</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2080505</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机关事业单位基本养老保险缴费支出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41.60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41.60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2080506</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机关事业单位职业年金缴费支出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47.90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47.90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lastRenderedPageBreak/>
              <w:t>2080599</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其他行政事业单位养老支出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148.13</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148.13</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210</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卫生健康支出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23.86</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23.86</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21011</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行政事业单位医疗</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23.86</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23.86</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2101101</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行政单位医疗</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12.67</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12.67</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2101199</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其他行政事业单位医疗支出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11.19</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11.19</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213</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农林水支出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550.00</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550.00</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21305</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巩固脱贫攻坚成果衔接乡村振兴</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550.00</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550.00</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2130506</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社会发展</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150.00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150.00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2130599</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其他巩固脱贫攻坚成果衔接乡村振兴支出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400.00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400.00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220</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自然资源海洋气象等支出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538.08</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538.08</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22001</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自然资源事务</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538.08</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538.08</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2200199</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其他自然资源事务支出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538.08</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538.08</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221</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住房保障支出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20.70</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20.70</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22102</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住房改革支出</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20.70</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20.70</w:t>
            </w:r>
            <w:r>
              <w:rPr>
                <w:b/>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48"/>
        </w:trPr>
        <w:tc>
          <w:tcPr>
            <w:tcW w:w="170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2210201</w:t>
            </w:r>
          </w:p>
        </w:tc>
        <w:tc>
          <w:tcPr>
            <w:tcW w:w="317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住房公积金</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20.70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20.70</w:t>
            </w: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2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6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3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46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bl>
    <w:p w:rsidR="00F530A1" w:rsidRDefault="00B77A9E">
      <w:pPr>
        <w:ind w:left="600" w:hangingChars="300" w:hanging="600"/>
        <w:rPr>
          <w:rFonts w:cs="宋体" w:hint="default"/>
          <w:sz w:val="20"/>
          <w:szCs w:val="20"/>
        </w:rPr>
      </w:pPr>
      <w:r>
        <w:rPr>
          <w:rFonts w:cs="宋体"/>
          <w:sz w:val="20"/>
          <w:szCs w:val="20"/>
        </w:rPr>
        <w:t>备注：</w:t>
      </w:r>
      <w:r>
        <w:rPr>
          <w:rFonts w:cs="宋体"/>
          <w:sz w:val="20"/>
          <w:szCs w:val="20"/>
        </w:rPr>
        <w:t>1.</w:t>
      </w:r>
      <w:r>
        <w:rPr>
          <w:rFonts w:cs="宋体"/>
          <w:sz w:val="20"/>
          <w:szCs w:val="20"/>
        </w:rPr>
        <w:t>本表反映单位本年度取得的各项收入情况。</w:t>
      </w:r>
      <w:r>
        <w:rPr>
          <w:rFonts w:cs="宋体"/>
          <w:sz w:val="20"/>
          <w:szCs w:val="20"/>
        </w:rPr>
        <w:br/>
        <w:t>2.</w:t>
      </w:r>
      <w:r>
        <w:rPr>
          <w:rFonts w:cs="宋体"/>
          <w:sz w:val="20"/>
          <w:szCs w:val="20"/>
        </w:rPr>
        <w:t>本套报表金额单位转换时可能存在尾数误差。</w:t>
      </w:r>
      <w:r>
        <w:rPr>
          <w:rFonts w:cs="宋体"/>
          <w:sz w:val="20"/>
          <w:szCs w:val="20"/>
        </w:rPr>
        <w:br/>
      </w:r>
      <w:r>
        <w:rPr>
          <w:rFonts w:cs="宋体"/>
          <w:sz w:val="20"/>
          <w:szCs w:val="20"/>
        </w:rPr>
        <w:br/>
      </w:r>
    </w:p>
    <w:p w:rsidR="00F530A1" w:rsidRDefault="00B77A9E">
      <w:pPr>
        <w:rPr>
          <w:rFonts w:cs="宋体" w:hint="default"/>
          <w:sz w:val="20"/>
          <w:szCs w:val="20"/>
        </w:rPr>
      </w:pPr>
      <w:r>
        <w:rPr>
          <w:rFonts w:cs="宋体"/>
          <w:sz w:val="20"/>
          <w:szCs w:val="20"/>
        </w:rPr>
        <w:br w:type="page"/>
      </w:r>
    </w:p>
    <w:tbl>
      <w:tblPr>
        <w:tblW w:w="15378" w:type="dxa"/>
        <w:tblLayout w:type="fixed"/>
        <w:tblCellMar>
          <w:left w:w="0" w:type="dxa"/>
          <w:right w:w="0" w:type="dxa"/>
        </w:tblCellMar>
        <w:tblLook w:val="04A0" w:firstRow="1" w:lastRow="0" w:firstColumn="1" w:lastColumn="0" w:noHBand="0" w:noVBand="1"/>
      </w:tblPr>
      <w:tblGrid>
        <w:gridCol w:w="1762"/>
        <w:gridCol w:w="3630"/>
        <w:gridCol w:w="1662"/>
        <w:gridCol w:w="1662"/>
        <w:gridCol w:w="1662"/>
        <w:gridCol w:w="1646"/>
        <w:gridCol w:w="1646"/>
        <w:gridCol w:w="1708"/>
      </w:tblGrid>
      <w:tr w:rsidR="00F530A1">
        <w:trPr>
          <w:trHeight w:val="654"/>
        </w:trPr>
        <w:tc>
          <w:tcPr>
            <w:tcW w:w="15378" w:type="dxa"/>
            <w:gridSpan w:val="8"/>
            <w:tcBorders>
              <w:top w:val="nil"/>
              <w:left w:val="nil"/>
              <w:bottom w:val="nil"/>
              <w:right w:val="nil"/>
            </w:tcBorders>
            <w:shd w:val="clear" w:color="auto" w:fill="auto"/>
            <w:noWrap/>
            <w:tcMar>
              <w:top w:w="15" w:type="dxa"/>
              <w:left w:w="15" w:type="dxa"/>
              <w:right w:w="15" w:type="dxa"/>
            </w:tcMar>
            <w:vAlign w:val="bottom"/>
          </w:tcPr>
          <w:p w:rsidR="00F530A1" w:rsidRDefault="00B77A9E">
            <w:pPr>
              <w:jc w:val="center"/>
              <w:textAlignment w:val="bottom"/>
              <w:rPr>
                <w:rFonts w:cs="宋体" w:hint="default"/>
                <w:b/>
                <w:sz w:val="32"/>
                <w:szCs w:val="32"/>
              </w:rPr>
            </w:pPr>
            <w:r>
              <w:rPr>
                <w:rFonts w:cs="宋体"/>
                <w:b/>
                <w:sz w:val="32"/>
                <w:szCs w:val="32"/>
              </w:rPr>
              <w:lastRenderedPageBreak/>
              <w:t>支出决算表</w:t>
            </w:r>
          </w:p>
        </w:tc>
      </w:tr>
      <w:tr w:rsidR="00F530A1">
        <w:trPr>
          <w:trHeight w:val="342"/>
        </w:trPr>
        <w:tc>
          <w:tcPr>
            <w:tcW w:w="7054" w:type="dxa"/>
            <w:gridSpan w:val="3"/>
            <w:vMerge w:val="restart"/>
            <w:tcBorders>
              <w:top w:val="nil"/>
              <w:left w:val="nil"/>
              <w:right w:val="nil"/>
            </w:tcBorders>
            <w:shd w:val="clear" w:color="auto" w:fill="auto"/>
            <w:noWrap/>
            <w:tcMar>
              <w:top w:w="15" w:type="dxa"/>
              <w:left w:w="15" w:type="dxa"/>
              <w:right w:w="15" w:type="dxa"/>
            </w:tcMar>
            <w:vAlign w:val="bottom"/>
          </w:tcPr>
          <w:p w:rsidR="00F530A1" w:rsidRDefault="00B77A9E">
            <w:pPr>
              <w:rPr>
                <w:rFonts w:cs="宋体" w:hint="default"/>
                <w:sz w:val="20"/>
                <w:szCs w:val="20"/>
              </w:rPr>
            </w:pPr>
            <w:r>
              <w:rPr>
                <w:rFonts w:cs="宋体"/>
                <w:sz w:val="20"/>
                <w:szCs w:val="20"/>
              </w:rPr>
              <w:t>公开单位：</w:t>
            </w:r>
            <w:r>
              <w:rPr>
                <w:rFonts w:cs="宋体"/>
                <w:sz w:val="20"/>
                <w:szCs w:val="20"/>
              </w:rPr>
              <w:t xml:space="preserve"> </w:t>
            </w:r>
            <w:r>
              <w:rPr>
                <w:sz w:val="20"/>
              </w:rPr>
              <w:t>重庆市丰都县教育委员会（本级）</w:t>
            </w:r>
            <w:r>
              <w:rPr>
                <w:sz w:val="20"/>
              </w:rPr>
              <w:t xml:space="preserve"> </w:t>
            </w:r>
          </w:p>
        </w:tc>
        <w:tc>
          <w:tcPr>
            <w:tcW w:w="1662"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662"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646"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646"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708" w:type="dxa"/>
            <w:tcBorders>
              <w:top w:val="nil"/>
              <w:left w:val="nil"/>
              <w:bottom w:val="nil"/>
              <w:right w:val="nil"/>
            </w:tcBorders>
            <w:shd w:val="clear" w:color="auto" w:fill="auto"/>
            <w:noWrap/>
            <w:tcMar>
              <w:top w:w="15" w:type="dxa"/>
              <w:left w:w="15" w:type="dxa"/>
              <w:right w:w="15" w:type="dxa"/>
            </w:tcMar>
            <w:vAlign w:val="bottom"/>
          </w:tcPr>
          <w:p w:rsidR="00F530A1" w:rsidRDefault="00B77A9E">
            <w:pPr>
              <w:jc w:val="right"/>
              <w:textAlignment w:val="bottom"/>
              <w:rPr>
                <w:rFonts w:cs="宋体" w:hint="default"/>
                <w:sz w:val="20"/>
                <w:szCs w:val="20"/>
              </w:rPr>
            </w:pPr>
            <w:r>
              <w:rPr>
                <w:rFonts w:cs="宋体"/>
                <w:sz w:val="20"/>
                <w:szCs w:val="20"/>
              </w:rPr>
              <w:t>公开</w:t>
            </w:r>
            <w:r>
              <w:rPr>
                <w:rFonts w:cs="宋体"/>
                <w:sz w:val="20"/>
                <w:szCs w:val="20"/>
              </w:rPr>
              <w:t>03</w:t>
            </w:r>
            <w:r>
              <w:rPr>
                <w:rFonts w:cs="宋体"/>
                <w:sz w:val="20"/>
                <w:szCs w:val="20"/>
              </w:rPr>
              <w:t>表</w:t>
            </w:r>
          </w:p>
        </w:tc>
      </w:tr>
      <w:tr w:rsidR="00F530A1">
        <w:trPr>
          <w:trHeight w:val="342"/>
        </w:trPr>
        <w:tc>
          <w:tcPr>
            <w:tcW w:w="7054" w:type="dxa"/>
            <w:gridSpan w:val="3"/>
            <w:vMerge/>
            <w:tcBorders>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662"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662"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646"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646"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708" w:type="dxa"/>
            <w:tcBorders>
              <w:top w:val="nil"/>
              <w:left w:val="nil"/>
              <w:bottom w:val="nil"/>
              <w:right w:val="nil"/>
            </w:tcBorders>
            <w:shd w:val="clear" w:color="auto" w:fill="auto"/>
            <w:noWrap/>
            <w:tcMar>
              <w:top w:w="15" w:type="dxa"/>
              <w:left w:w="15" w:type="dxa"/>
              <w:right w:w="15" w:type="dxa"/>
            </w:tcMar>
            <w:vAlign w:val="bottom"/>
          </w:tcPr>
          <w:p w:rsidR="00F530A1" w:rsidRDefault="00B77A9E">
            <w:pPr>
              <w:jc w:val="right"/>
              <w:textAlignment w:val="bottom"/>
              <w:rPr>
                <w:rFonts w:cs="宋体" w:hint="default"/>
                <w:sz w:val="20"/>
                <w:szCs w:val="20"/>
              </w:rPr>
            </w:pPr>
            <w:r>
              <w:rPr>
                <w:rFonts w:cs="宋体"/>
                <w:sz w:val="20"/>
                <w:szCs w:val="20"/>
              </w:rPr>
              <w:t>单位：万元</w:t>
            </w:r>
          </w:p>
        </w:tc>
      </w:tr>
      <w:tr w:rsidR="00F530A1">
        <w:trPr>
          <w:trHeight w:val="362"/>
        </w:trPr>
        <w:tc>
          <w:tcPr>
            <w:tcW w:w="5392" w:type="dxa"/>
            <w:gridSpan w:val="2"/>
            <w:tcBorders>
              <w:top w:val="single" w:sz="4" w:space="0" w:color="000000"/>
              <w:left w:val="single" w:sz="4" w:space="0" w:color="000000"/>
              <w:bottom w:val="single" w:sz="4" w:space="0" w:color="000000"/>
              <w:right w:val="single" w:sz="4" w:space="0" w:color="000000"/>
            </w:tcBorders>
            <w:shd w:val="clear" w:color="auto" w:fill="C0C0C0"/>
            <w:noWrap/>
            <w:tcMar>
              <w:top w:w="15" w:type="dxa"/>
              <w:left w:w="15" w:type="dxa"/>
              <w:right w:w="15" w:type="dxa"/>
            </w:tcMar>
            <w:vAlign w:val="bottom"/>
          </w:tcPr>
          <w:p w:rsidR="00F530A1" w:rsidRDefault="00B77A9E">
            <w:pPr>
              <w:jc w:val="center"/>
              <w:textAlignment w:val="bottom"/>
              <w:rPr>
                <w:rFonts w:cs="宋体" w:hint="default"/>
                <w:b/>
                <w:sz w:val="20"/>
                <w:szCs w:val="20"/>
              </w:rPr>
            </w:pPr>
            <w:r>
              <w:rPr>
                <w:rFonts w:cs="宋体"/>
                <w:b/>
                <w:sz w:val="20"/>
                <w:szCs w:val="20"/>
              </w:rPr>
              <w:t>项目</w:t>
            </w:r>
          </w:p>
        </w:tc>
        <w:tc>
          <w:tcPr>
            <w:tcW w:w="1662"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本年支出合计</w:t>
            </w:r>
          </w:p>
        </w:tc>
        <w:tc>
          <w:tcPr>
            <w:tcW w:w="1662"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基本支出</w:t>
            </w:r>
          </w:p>
        </w:tc>
        <w:tc>
          <w:tcPr>
            <w:tcW w:w="1662"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项目支出</w:t>
            </w:r>
          </w:p>
        </w:tc>
        <w:tc>
          <w:tcPr>
            <w:tcW w:w="1646"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上缴上级支出</w:t>
            </w:r>
          </w:p>
        </w:tc>
        <w:tc>
          <w:tcPr>
            <w:tcW w:w="1646"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经营支出</w:t>
            </w:r>
          </w:p>
        </w:tc>
        <w:tc>
          <w:tcPr>
            <w:tcW w:w="1708"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对附属单位补助支出</w:t>
            </w:r>
          </w:p>
        </w:tc>
      </w:tr>
      <w:tr w:rsidR="00F530A1">
        <w:trPr>
          <w:trHeight w:val="338"/>
        </w:trPr>
        <w:tc>
          <w:tcPr>
            <w:tcW w:w="1762" w:type="dxa"/>
            <w:vMerge w:val="restart"/>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功能分类科目编码</w:t>
            </w:r>
          </w:p>
        </w:tc>
        <w:tc>
          <w:tcPr>
            <w:tcW w:w="3630" w:type="dxa"/>
            <w:vMerge w:val="restart"/>
            <w:tcBorders>
              <w:top w:val="nil"/>
              <w:left w:val="nil"/>
              <w:bottom w:val="single" w:sz="4" w:space="0" w:color="000000"/>
              <w:right w:val="nil"/>
            </w:tcBorders>
            <w:shd w:val="clear" w:color="FFFFFF" w:fill="C0C0C0"/>
            <w:noWrap/>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项目（按“项”级功能分类科目）</w:t>
            </w:r>
          </w:p>
        </w:tc>
        <w:tc>
          <w:tcPr>
            <w:tcW w:w="166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66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66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64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64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708"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r>
      <w:tr w:rsidR="00F530A1">
        <w:trPr>
          <w:trHeight w:val="338"/>
        </w:trPr>
        <w:tc>
          <w:tcPr>
            <w:tcW w:w="1762" w:type="dxa"/>
            <w:vMerge/>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jc w:val="center"/>
              <w:rPr>
                <w:rFonts w:cs="宋体" w:hint="default"/>
                <w:b/>
                <w:sz w:val="20"/>
                <w:szCs w:val="20"/>
              </w:rPr>
            </w:pPr>
          </w:p>
        </w:tc>
        <w:tc>
          <w:tcPr>
            <w:tcW w:w="3630" w:type="dxa"/>
            <w:vMerge/>
            <w:tcBorders>
              <w:top w:val="nil"/>
              <w:left w:val="nil"/>
              <w:bottom w:val="single" w:sz="4" w:space="0" w:color="000000"/>
              <w:right w:val="nil"/>
            </w:tcBorders>
            <w:shd w:val="clear" w:color="FFFFFF" w:fill="C0C0C0"/>
            <w:noWrap/>
            <w:tcMar>
              <w:top w:w="15" w:type="dxa"/>
              <w:left w:w="15" w:type="dxa"/>
              <w:right w:w="15" w:type="dxa"/>
            </w:tcMar>
            <w:vAlign w:val="center"/>
          </w:tcPr>
          <w:p w:rsidR="00F530A1" w:rsidRDefault="00F530A1">
            <w:pPr>
              <w:jc w:val="center"/>
              <w:rPr>
                <w:rFonts w:cs="宋体" w:hint="default"/>
                <w:b/>
                <w:sz w:val="20"/>
                <w:szCs w:val="20"/>
              </w:rPr>
            </w:pPr>
          </w:p>
        </w:tc>
        <w:tc>
          <w:tcPr>
            <w:tcW w:w="166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66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66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64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64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708"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r>
      <w:tr w:rsidR="00F530A1">
        <w:trPr>
          <w:trHeight w:val="338"/>
        </w:trPr>
        <w:tc>
          <w:tcPr>
            <w:tcW w:w="1762" w:type="dxa"/>
            <w:vMerge/>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jc w:val="center"/>
              <w:rPr>
                <w:rFonts w:cs="宋体" w:hint="default"/>
                <w:b/>
                <w:sz w:val="20"/>
                <w:szCs w:val="20"/>
              </w:rPr>
            </w:pPr>
          </w:p>
        </w:tc>
        <w:tc>
          <w:tcPr>
            <w:tcW w:w="3630" w:type="dxa"/>
            <w:vMerge/>
            <w:tcBorders>
              <w:top w:val="nil"/>
              <w:left w:val="nil"/>
              <w:bottom w:val="single" w:sz="4" w:space="0" w:color="000000"/>
              <w:right w:val="nil"/>
            </w:tcBorders>
            <w:shd w:val="clear" w:color="FFFFFF" w:fill="C0C0C0"/>
            <w:noWrap/>
            <w:tcMar>
              <w:top w:w="15" w:type="dxa"/>
              <w:left w:w="15" w:type="dxa"/>
              <w:right w:w="15" w:type="dxa"/>
            </w:tcMar>
            <w:vAlign w:val="center"/>
          </w:tcPr>
          <w:p w:rsidR="00F530A1" w:rsidRDefault="00F530A1">
            <w:pPr>
              <w:jc w:val="center"/>
              <w:rPr>
                <w:rFonts w:cs="宋体" w:hint="default"/>
                <w:b/>
                <w:sz w:val="20"/>
                <w:szCs w:val="20"/>
              </w:rPr>
            </w:pPr>
          </w:p>
        </w:tc>
        <w:tc>
          <w:tcPr>
            <w:tcW w:w="166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66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66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64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64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708"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r>
      <w:tr w:rsidR="00F530A1">
        <w:trPr>
          <w:trHeight w:val="338"/>
        </w:trPr>
        <w:tc>
          <w:tcPr>
            <w:tcW w:w="1762" w:type="dxa"/>
            <w:vMerge/>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jc w:val="center"/>
              <w:rPr>
                <w:rFonts w:cs="宋体" w:hint="default"/>
                <w:b/>
                <w:sz w:val="20"/>
                <w:szCs w:val="20"/>
              </w:rPr>
            </w:pPr>
          </w:p>
        </w:tc>
        <w:tc>
          <w:tcPr>
            <w:tcW w:w="3630" w:type="dxa"/>
            <w:vMerge/>
            <w:tcBorders>
              <w:top w:val="nil"/>
              <w:left w:val="nil"/>
              <w:bottom w:val="single" w:sz="4" w:space="0" w:color="000000"/>
              <w:right w:val="nil"/>
            </w:tcBorders>
            <w:shd w:val="clear" w:color="FFFFFF" w:fill="C0C0C0"/>
            <w:noWrap/>
            <w:tcMar>
              <w:top w:w="15" w:type="dxa"/>
              <w:left w:w="15" w:type="dxa"/>
              <w:right w:w="15" w:type="dxa"/>
            </w:tcMar>
            <w:vAlign w:val="center"/>
          </w:tcPr>
          <w:p w:rsidR="00F530A1" w:rsidRDefault="00F530A1">
            <w:pPr>
              <w:jc w:val="center"/>
              <w:rPr>
                <w:rFonts w:cs="宋体" w:hint="default"/>
                <w:b/>
                <w:sz w:val="20"/>
                <w:szCs w:val="20"/>
              </w:rPr>
            </w:pPr>
          </w:p>
        </w:tc>
        <w:tc>
          <w:tcPr>
            <w:tcW w:w="166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66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662"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64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64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708"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r>
      <w:tr w:rsidR="00F530A1">
        <w:trPr>
          <w:trHeight w:val="362"/>
        </w:trPr>
        <w:tc>
          <w:tcPr>
            <w:tcW w:w="5392" w:type="dxa"/>
            <w:gridSpan w:val="2"/>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合计</w:t>
            </w:r>
          </w:p>
        </w:tc>
        <w:tc>
          <w:tcPr>
            <w:tcW w:w="16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bCs/>
                <w:sz w:val="20"/>
                <w:szCs w:val="20"/>
              </w:rPr>
              <w:t>8,067.47</w:t>
            </w:r>
            <w:r>
              <w:rPr>
                <w:b/>
                <w:sz w:val="20"/>
              </w:rPr>
              <w:t xml:space="preserve"> </w:t>
            </w:r>
          </w:p>
        </w:tc>
        <w:tc>
          <w:tcPr>
            <w:tcW w:w="16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bCs/>
                <w:sz w:val="20"/>
                <w:szCs w:val="20"/>
              </w:rPr>
              <w:t>956.81</w:t>
            </w:r>
            <w:r>
              <w:rPr>
                <w:b/>
                <w:sz w:val="20"/>
              </w:rPr>
              <w:t xml:space="preserve"> </w:t>
            </w:r>
          </w:p>
        </w:tc>
        <w:tc>
          <w:tcPr>
            <w:tcW w:w="16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bCs/>
                <w:sz w:val="20"/>
                <w:szCs w:val="20"/>
              </w:rPr>
              <w:t>7,110.66</w:t>
            </w:r>
            <w:r>
              <w:rPr>
                <w:b/>
                <w:sz w:val="20"/>
              </w:rPr>
              <w:t xml:space="preserve"> </w:t>
            </w:r>
          </w:p>
        </w:tc>
        <w:tc>
          <w:tcPr>
            <w:tcW w:w="164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b/>
                <w:sz w:val="20"/>
              </w:rPr>
              <w:t xml:space="preserve"> </w:t>
            </w:r>
          </w:p>
        </w:tc>
        <w:tc>
          <w:tcPr>
            <w:tcW w:w="164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b/>
                <w:sz w:val="20"/>
              </w:rPr>
              <w:t xml:space="preserve"> </w:t>
            </w:r>
          </w:p>
        </w:tc>
        <w:tc>
          <w:tcPr>
            <w:tcW w:w="170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b/>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205</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教育支出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6,697.19</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674.61</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6,022.58</w:t>
            </w:r>
            <w:r>
              <w:rPr>
                <w:b/>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20501</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教育管理事务</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702.61</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674.61</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28.00</w:t>
            </w:r>
            <w:r>
              <w:rPr>
                <w:b/>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2050101</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行政运行</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447.66</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447.66</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2050199</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其他教育管理事务支出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254.95</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226.95</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28.00</w:t>
            </w: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20502</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普通教育</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5,188.18</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5,188.18</w:t>
            </w:r>
            <w:r>
              <w:rPr>
                <w:b/>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2050201</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学前教育</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945.25</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945.25</w:t>
            </w: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2050202</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小学教育</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1,121.50</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1,121.50</w:t>
            </w: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2050203</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初中教育</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1,760.64</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1,760.64</w:t>
            </w: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2050204</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高中教育</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1,356.00</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1,356.00</w:t>
            </w: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2050299</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其他普通教育支出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4.78</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4.78</w:t>
            </w: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20503</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职业教育</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801.40</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801.40</w:t>
            </w:r>
            <w:r>
              <w:rPr>
                <w:b/>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2050302</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中等职业教育</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801.40</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801.40</w:t>
            </w: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20599</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其他教育支出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5.00</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5.00</w:t>
            </w:r>
            <w:r>
              <w:rPr>
                <w:b/>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2059999</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其他教育支出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5.00</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5.00</w:t>
            </w: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208</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社会保障和就业支出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237.63</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237.63</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20805</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行政事业单位养老支出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237.63</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237.63</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2080505</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机关事业单位基本养老保险缴费支出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41.60</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41.60</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lastRenderedPageBreak/>
              <w:t>2080506</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机关事业单位职业年金缴费支出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47.90</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47.90</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2080599</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其他行政事业单位养老支出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148.13</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148.13</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210</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卫生健康支出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23.86</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23.86</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21011</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行政事业单位医疗</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23.86</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23.86</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2101101</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行政单位医疗</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12.67</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12.67</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2101199</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其他行政事业单位医疗支出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11.19</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11.19</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213</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农林水支出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550.00</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550.00</w:t>
            </w:r>
            <w:r>
              <w:rPr>
                <w:b/>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21305</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巩固脱贫攻坚成果衔接乡村振兴</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550.00</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550.00</w:t>
            </w:r>
            <w:r>
              <w:rPr>
                <w:b/>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2130506</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社会发展</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150.00</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150.00</w:t>
            </w: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2130599</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其他巩固脱贫攻坚成果衔接乡村振兴支出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400.00</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400.00</w:t>
            </w: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220</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自然资源海洋气象等支出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538.08</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538.08</w:t>
            </w:r>
            <w:r>
              <w:rPr>
                <w:b/>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22001</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自然资源事务</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538.08</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538.08</w:t>
            </w:r>
            <w:r>
              <w:rPr>
                <w:b/>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2200199</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其他自然资源事务支出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538.08</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538.08</w:t>
            </w: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221</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住房保障支出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20.70</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20.70</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22102</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住房改革支出</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20.70</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b/>
                <w:sz w:val="20"/>
                <w:szCs w:val="20"/>
              </w:rPr>
              <w:t>20.70</w:t>
            </w:r>
            <w:r>
              <w:rPr>
                <w:b/>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r w:rsidR="00F530A1">
        <w:trPr>
          <w:trHeight w:val="382"/>
        </w:trPr>
        <w:tc>
          <w:tcPr>
            <w:tcW w:w="1762"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2210201</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住房公积金</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20.70</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rFonts w:cs="宋体"/>
                <w:sz w:val="20"/>
                <w:szCs w:val="20"/>
              </w:rPr>
              <w:t>20.70</w:t>
            </w:r>
            <w:r>
              <w:rPr>
                <w:sz w:val="20"/>
              </w:rPr>
              <w:t xml:space="preserve"> </w:t>
            </w:r>
          </w:p>
        </w:tc>
        <w:tc>
          <w:tcPr>
            <w:tcW w:w="16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6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c>
          <w:tcPr>
            <w:tcW w:w="17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sz w:val="20"/>
                <w:szCs w:val="20"/>
              </w:rPr>
            </w:pPr>
            <w:r>
              <w:rPr>
                <w:sz w:val="20"/>
              </w:rPr>
              <w:t xml:space="preserve"> </w:t>
            </w:r>
          </w:p>
        </w:tc>
      </w:tr>
    </w:tbl>
    <w:p w:rsidR="00F530A1" w:rsidRDefault="00B77A9E">
      <w:pPr>
        <w:rPr>
          <w:rFonts w:cs="宋体" w:hint="default"/>
          <w:sz w:val="20"/>
          <w:szCs w:val="20"/>
        </w:rPr>
      </w:pPr>
      <w:r>
        <w:rPr>
          <w:rFonts w:cs="宋体"/>
          <w:sz w:val="20"/>
          <w:szCs w:val="20"/>
        </w:rPr>
        <w:t>备注：</w:t>
      </w:r>
      <w:r>
        <w:rPr>
          <w:rFonts w:cs="宋体"/>
          <w:sz w:val="20"/>
          <w:szCs w:val="20"/>
        </w:rPr>
        <w:t>1.</w:t>
      </w:r>
      <w:r>
        <w:rPr>
          <w:rFonts w:cs="宋体"/>
          <w:sz w:val="20"/>
          <w:szCs w:val="20"/>
        </w:rPr>
        <w:t>本表反映单位本年度各项支出情况。</w:t>
      </w:r>
      <w:r>
        <w:rPr>
          <w:rFonts w:cs="宋体"/>
          <w:sz w:val="20"/>
          <w:szCs w:val="20"/>
        </w:rPr>
        <w:br/>
        <w:t xml:space="preserve">      2.</w:t>
      </w:r>
      <w:r>
        <w:rPr>
          <w:rFonts w:cs="宋体"/>
          <w:sz w:val="20"/>
          <w:szCs w:val="20"/>
        </w:rPr>
        <w:t>本套报表金额单位转换时可能存在尾数误差。</w:t>
      </w:r>
      <w:r>
        <w:rPr>
          <w:rFonts w:cs="宋体"/>
          <w:sz w:val="20"/>
          <w:szCs w:val="20"/>
        </w:rPr>
        <w:br/>
      </w:r>
      <w:r>
        <w:rPr>
          <w:rFonts w:cs="宋体"/>
          <w:sz w:val="20"/>
          <w:szCs w:val="20"/>
        </w:rPr>
        <w:br/>
      </w:r>
    </w:p>
    <w:p w:rsidR="00F530A1" w:rsidRDefault="00B77A9E">
      <w:pPr>
        <w:rPr>
          <w:rFonts w:cs="宋体" w:hint="default"/>
          <w:sz w:val="21"/>
          <w:szCs w:val="21"/>
        </w:rPr>
      </w:pPr>
      <w:r>
        <w:rPr>
          <w:rFonts w:cs="宋体"/>
          <w:sz w:val="21"/>
          <w:szCs w:val="21"/>
        </w:rPr>
        <w:br w:type="page"/>
      </w:r>
    </w:p>
    <w:p w:rsidR="00F530A1" w:rsidRDefault="00F530A1">
      <w:pPr>
        <w:rPr>
          <w:rFonts w:cs="宋体" w:hint="default"/>
          <w:sz w:val="21"/>
          <w:szCs w:val="21"/>
        </w:rPr>
      </w:pPr>
    </w:p>
    <w:tbl>
      <w:tblPr>
        <w:tblW w:w="14732" w:type="dxa"/>
        <w:tblLayout w:type="fixed"/>
        <w:tblCellMar>
          <w:left w:w="0" w:type="dxa"/>
          <w:right w:w="0" w:type="dxa"/>
        </w:tblCellMar>
        <w:tblLook w:val="04A0" w:firstRow="1" w:lastRow="0" w:firstColumn="1" w:lastColumn="0" w:noHBand="0" w:noVBand="1"/>
      </w:tblPr>
      <w:tblGrid>
        <w:gridCol w:w="2979"/>
        <w:gridCol w:w="1526"/>
        <w:gridCol w:w="3191"/>
        <w:gridCol w:w="1700"/>
        <w:gridCol w:w="1700"/>
        <w:gridCol w:w="1700"/>
        <w:gridCol w:w="1936"/>
      </w:tblGrid>
      <w:tr w:rsidR="00F530A1">
        <w:trPr>
          <w:trHeight w:val="90"/>
        </w:trPr>
        <w:tc>
          <w:tcPr>
            <w:tcW w:w="14732" w:type="dxa"/>
            <w:gridSpan w:val="7"/>
            <w:tcBorders>
              <w:top w:val="nil"/>
              <w:left w:val="nil"/>
              <w:bottom w:val="nil"/>
              <w:right w:val="nil"/>
            </w:tcBorders>
            <w:shd w:val="clear" w:color="auto" w:fill="auto"/>
            <w:noWrap/>
            <w:tcMar>
              <w:top w:w="15" w:type="dxa"/>
              <w:left w:w="15" w:type="dxa"/>
              <w:right w:w="15" w:type="dxa"/>
            </w:tcMar>
            <w:vAlign w:val="bottom"/>
          </w:tcPr>
          <w:p w:rsidR="00F530A1" w:rsidRDefault="00B77A9E">
            <w:pPr>
              <w:spacing w:line="400" w:lineRule="exact"/>
              <w:jc w:val="center"/>
              <w:textAlignment w:val="bottom"/>
              <w:rPr>
                <w:rFonts w:cs="宋体" w:hint="default"/>
                <w:b/>
                <w:sz w:val="32"/>
                <w:szCs w:val="32"/>
              </w:rPr>
            </w:pPr>
            <w:r>
              <w:rPr>
                <w:rFonts w:cs="宋体"/>
                <w:b/>
                <w:sz w:val="32"/>
                <w:szCs w:val="32"/>
              </w:rPr>
              <w:t>财政拨款收入支出决算总表</w:t>
            </w:r>
          </w:p>
        </w:tc>
      </w:tr>
      <w:tr w:rsidR="00F530A1">
        <w:trPr>
          <w:trHeight w:val="90"/>
        </w:trPr>
        <w:tc>
          <w:tcPr>
            <w:tcW w:w="7696" w:type="dxa"/>
            <w:gridSpan w:val="3"/>
            <w:vMerge w:val="restart"/>
            <w:tcBorders>
              <w:top w:val="nil"/>
              <w:left w:val="nil"/>
              <w:right w:val="nil"/>
            </w:tcBorders>
            <w:shd w:val="clear" w:color="auto" w:fill="auto"/>
            <w:noWrap/>
            <w:tcMar>
              <w:top w:w="15" w:type="dxa"/>
              <w:left w:w="15" w:type="dxa"/>
              <w:right w:w="15" w:type="dxa"/>
            </w:tcMar>
            <w:vAlign w:val="bottom"/>
          </w:tcPr>
          <w:p w:rsidR="00F530A1" w:rsidRDefault="00B77A9E">
            <w:pPr>
              <w:spacing w:line="200" w:lineRule="exact"/>
              <w:rPr>
                <w:rFonts w:cs="宋体" w:hint="default"/>
                <w:sz w:val="18"/>
                <w:szCs w:val="18"/>
              </w:rPr>
            </w:pPr>
            <w:r>
              <w:rPr>
                <w:rFonts w:cs="宋体"/>
                <w:sz w:val="20"/>
                <w:szCs w:val="20"/>
              </w:rPr>
              <w:t>公开单位：</w:t>
            </w:r>
            <w:r>
              <w:rPr>
                <w:rFonts w:cs="宋体"/>
                <w:sz w:val="20"/>
                <w:szCs w:val="20"/>
              </w:rPr>
              <w:t xml:space="preserve"> </w:t>
            </w:r>
            <w:r>
              <w:rPr>
                <w:sz w:val="20"/>
              </w:rPr>
              <w:t>重庆市丰都县教育委员会（本级）</w:t>
            </w:r>
          </w:p>
        </w:tc>
        <w:tc>
          <w:tcPr>
            <w:tcW w:w="1700"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700"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700"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936" w:type="dxa"/>
            <w:tcBorders>
              <w:top w:val="nil"/>
              <w:left w:val="nil"/>
              <w:bottom w:val="nil"/>
              <w:right w:val="nil"/>
            </w:tcBorders>
            <w:shd w:val="clear" w:color="auto" w:fill="auto"/>
            <w:noWrap/>
            <w:tcMar>
              <w:top w:w="15" w:type="dxa"/>
              <w:left w:w="15" w:type="dxa"/>
              <w:right w:w="15" w:type="dxa"/>
            </w:tcMar>
            <w:vAlign w:val="bottom"/>
          </w:tcPr>
          <w:p w:rsidR="00F530A1" w:rsidRDefault="00B77A9E">
            <w:pPr>
              <w:spacing w:line="240" w:lineRule="exact"/>
              <w:jc w:val="right"/>
              <w:textAlignment w:val="bottom"/>
              <w:rPr>
                <w:rFonts w:cs="宋体" w:hint="default"/>
                <w:sz w:val="20"/>
                <w:szCs w:val="20"/>
              </w:rPr>
            </w:pPr>
            <w:r>
              <w:rPr>
                <w:rFonts w:cs="宋体"/>
                <w:sz w:val="20"/>
                <w:szCs w:val="20"/>
              </w:rPr>
              <w:t>公开</w:t>
            </w:r>
            <w:r>
              <w:rPr>
                <w:rFonts w:cs="宋体"/>
                <w:sz w:val="20"/>
                <w:szCs w:val="20"/>
              </w:rPr>
              <w:t>04</w:t>
            </w:r>
            <w:r>
              <w:rPr>
                <w:rFonts w:cs="宋体"/>
                <w:sz w:val="20"/>
                <w:szCs w:val="20"/>
              </w:rPr>
              <w:t>表</w:t>
            </w:r>
          </w:p>
        </w:tc>
      </w:tr>
      <w:tr w:rsidR="00F530A1">
        <w:trPr>
          <w:trHeight w:val="90"/>
        </w:trPr>
        <w:tc>
          <w:tcPr>
            <w:tcW w:w="7696" w:type="dxa"/>
            <w:gridSpan w:val="3"/>
            <w:vMerge/>
            <w:tcBorders>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700"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700"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700"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936" w:type="dxa"/>
            <w:tcBorders>
              <w:top w:val="nil"/>
              <w:left w:val="nil"/>
              <w:bottom w:val="nil"/>
              <w:right w:val="nil"/>
            </w:tcBorders>
            <w:shd w:val="clear" w:color="auto" w:fill="auto"/>
            <w:noWrap/>
            <w:tcMar>
              <w:top w:w="15" w:type="dxa"/>
              <w:left w:w="15" w:type="dxa"/>
              <w:right w:w="15" w:type="dxa"/>
            </w:tcMar>
            <w:vAlign w:val="bottom"/>
          </w:tcPr>
          <w:p w:rsidR="00F530A1" w:rsidRDefault="00B77A9E">
            <w:pPr>
              <w:spacing w:line="280" w:lineRule="exact"/>
              <w:jc w:val="right"/>
              <w:textAlignment w:val="bottom"/>
              <w:rPr>
                <w:rFonts w:cs="宋体" w:hint="default"/>
                <w:sz w:val="20"/>
                <w:szCs w:val="20"/>
              </w:rPr>
            </w:pPr>
            <w:r>
              <w:rPr>
                <w:rFonts w:cs="宋体"/>
                <w:sz w:val="20"/>
                <w:szCs w:val="20"/>
              </w:rPr>
              <w:t>单位：万元</w:t>
            </w:r>
          </w:p>
        </w:tc>
      </w:tr>
      <w:tr w:rsidR="00F530A1">
        <w:trPr>
          <w:trHeight w:val="90"/>
        </w:trPr>
        <w:tc>
          <w:tcPr>
            <w:tcW w:w="4505" w:type="dxa"/>
            <w:gridSpan w:val="2"/>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收</w:t>
            </w:r>
            <w:r>
              <w:rPr>
                <w:rFonts w:cs="宋体"/>
                <w:b/>
                <w:sz w:val="18"/>
                <w:szCs w:val="18"/>
              </w:rPr>
              <w:t xml:space="preserve">     </w:t>
            </w:r>
            <w:r>
              <w:rPr>
                <w:rFonts w:cs="宋体"/>
                <w:b/>
                <w:sz w:val="18"/>
                <w:szCs w:val="18"/>
              </w:rPr>
              <w:t>入</w:t>
            </w:r>
          </w:p>
        </w:tc>
        <w:tc>
          <w:tcPr>
            <w:tcW w:w="10227" w:type="dxa"/>
            <w:gridSpan w:val="5"/>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支</w:t>
            </w:r>
            <w:r>
              <w:rPr>
                <w:rFonts w:cs="宋体"/>
                <w:b/>
                <w:sz w:val="18"/>
                <w:szCs w:val="18"/>
              </w:rPr>
              <w:t xml:space="preserve">     </w:t>
            </w:r>
            <w:r>
              <w:rPr>
                <w:rFonts w:cs="宋体"/>
                <w:b/>
                <w:sz w:val="18"/>
                <w:szCs w:val="18"/>
              </w:rPr>
              <w:t>出</w:t>
            </w:r>
          </w:p>
        </w:tc>
      </w:tr>
      <w:tr w:rsidR="00F530A1">
        <w:trPr>
          <w:trHeight w:val="90"/>
        </w:trPr>
        <w:tc>
          <w:tcPr>
            <w:tcW w:w="2979"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项目</w:t>
            </w:r>
          </w:p>
        </w:tc>
        <w:tc>
          <w:tcPr>
            <w:tcW w:w="1526"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决算数</w:t>
            </w:r>
          </w:p>
        </w:tc>
        <w:tc>
          <w:tcPr>
            <w:tcW w:w="3191"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功能分类科目</w:t>
            </w:r>
          </w:p>
        </w:tc>
        <w:tc>
          <w:tcPr>
            <w:tcW w:w="7036" w:type="dxa"/>
            <w:gridSpan w:val="4"/>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决算数</w:t>
            </w:r>
          </w:p>
        </w:tc>
      </w:tr>
      <w:tr w:rsidR="00F530A1">
        <w:trPr>
          <w:trHeight w:val="90"/>
        </w:trPr>
        <w:tc>
          <w:tcPr>
            <w:tcW w:w="2979"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spacing w:line="200" w:lineRule="exact"/>
              <w:jc w:val="center"/>
              <w:rPr>
                <w:rFonts w:cs="宋体" w:hint="default"/>
                <w:b/>
                <w:sz w:val="18"/>
                <w:szCs w:val="18"/>
              </w:rPr>
            </w:pPr>
          </w:p>
        </w:tc>
        <w:tc>
          <w:tcPr>
            <w:tcW w:w="152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spacing w:line="200" w:lineRule="exact"/>
              <w:jc w:val="center"/>
              <w:rPr>
                <w:rFonts w:cs="宋体" w:hint="default"/>
                <w:b/>
                <w:sz w:val="18"/>
                <w:szCs w:val="18"/>
              </w:rPr>
            </w:pPr>
          </w:p>
        </w:tc>
        <w:tc>
          <w:tcPr>
            <w:tcW w:w="3191"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spacing w:line="200" w:lineRule="exact"/>
              <w:jc w:val="center"/>
              <w:rPr>
                <w:rFonts w:cs="宋体" w:hint="default"/>
                <w:b/>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小计</w:t>
            </w:r>
          </w:p>
        </w:tc>
        <w:tc>
          <w:tcPr>
            <w:tcW w:w="1700" w:type="dxa"/>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一般公共预算财政拨款</w:t>
            </w:r>
          </w:p>
        </w:tc>
        <w:tc>
          <w:tcPr>
            <w:tcW w:w="1700" w:type="dxa"/>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政府性基金预算财政拨款</w:t>
            </w:r>
          </w:p>
        </w:tc>
        <w:tc>
          <w:tcPr>
            <w:tcW w:w="1936" w:type="dxa"/>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国有资本经营预算财政拨款</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一、一般公共预算财政拨款</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7,276.93</w:t>
            </w:r>
            <w:r>
              <w:rPr>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一、一般公共服务支出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二、政府性基金预算财政拨款</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二、外交支出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三、国有资本经营预算财政拨款</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三、国防支出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四、公共安全支出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五、教育支出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6,599.65</w:t>
            </w: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6,599.65</w:t>
            </w: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六、科学技术支出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七、文化旅游体育与传媒支出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八、社会保障和就业支出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237.63</w:t>
            </w: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237.63</w:t>
            </w: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九、卫生健康支出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23.86</w:t>
            </w: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23.86</w:t>
            </w: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十、节能环保支出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十一、城乡社区支出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十二、农林水支出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550.00</w:t>
            </w: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550.00</w:t>
            </w: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十三、交通运输支出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十四、资源勘探工业信息等支出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十五、商业服务业等支出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十六、金融支出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十七、援助其他地区支出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十八、自然资源海洋气象等支出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538.08</w:t>
            </w: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538.08</w:t>
            </w: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十九、住房保障支出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20.70</w:t>
            </w: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20.70</w:t>
            </w: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二十、粮油物资储备支出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二十一、国有资本经营预算支出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二十二、灾害防治及应急管理支出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二十三、其他支出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auto" w:fill="C0C0C0"/>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二十四、债务还本支出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auto" w:fill="C0C0C0"/>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二十五、债务付息支出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auto" w:fill="C0C0C0"/>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二十六、抗疫特别国债安排的支出</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本年收入合计</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7,276.93</w:t>
            </w:r>
            <w:r>
              <w:rPr>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本年支出合计</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7,969.93</w:t>
            </w: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7,969.93</w:t>
            </w: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年初财政拨款结转和结余</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693.00</w:t>
            </w:r>
            <w:r>
              <w:rPr>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年末财政拨款结转和结余</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一般公共预算财政拨款</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693.00</w:t>
            </w:r>
            <w:r>
              <w:rPr>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auto" w:fill="C0C0C0"/>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政府性基金预算财政拨款</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jc w:val="center"/>
              <w:rPr>
                <w:rFonts w:cs="宋体" w:hint="default"/>
                <w:b/>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国有资本经营预算财政拨款</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jc w:val="center"/>
              <w:rPr>
                <w:rFonts w:cs="宋体" w:hint="default"/>
                <w:b/>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r>
      <w:tr w:rsidR="00F530A1">
        <w:trPr>
          <w:trHeight w:val="90"/>
        </w:trPr>
        <w:tc>
          <w:tcPr>
            <w:tcW w:w="2979"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总计</w:t>
            </w:r>
          </w:p>
        </w:tc>
        <w:tc>
          <w:tcPr>
            <w:tcW w:w="15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7,969.93</w:t>
            </w:r>
            <w:r>
              <w:rPr>
                <w:sz w:val="18"/>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总计</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7,969.93</w:t>
            </w: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7,969.93</w:t>
            </w:r>
            <w:r>
              <w:rPr>
                <w:sz w:val="18"/>
              </w:rPr>
              <w:t xml:space="preserve"> </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193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bl>
    <w:p w:rsidR="00F530A1" w:rsidRDefault="00B77A9E">
      <w:pPr>
        <w:spacing w:line="240" w:lineRule="exact"/>
        <w:rPr>
          <w:rFonts w:cs="宋体" w:hint="default"/>
          <w:sz w:val="20"/>
          <w:szCs w:val="20"/>
        </w:rPr>
      </w:pPr>
      <w:r>
        <w:rPr>
          <w:rFonts w:cs="宋体"/>
          <w:sz w:val="20"/>
          <w:szCs w:val="20"/>
        </w:rPr>
        <w:t>备注：</w:t>
      </w:r>
      <w:r>
        <w:rPr>
          <w:rFonts w:cs="宋体"/>
          <w:sz w:val="20"/>
          <w:szCs w:val="20"/>
        </w:rPr>
        <w:t>1.</w:t>
      </w:r>
      <w:r>
        <w:rPr>
          <w:rFonts w:cs="宋体"/>
          <w:sz w:val="20"/>
          <w:szCs w:val="20"/>
        </w:rPr>
        <w:t>本表反映单位本年度一般公共预算财政拨款、政府性基金预算财政拨款及国有资本经营预算财政拨款的总收支和年末结转结余情况。</w:t>
      </w:r>
      <w:r>
        <w:rPr>
          <w:rFonts w:cs="宋体"/>
          <w:sz w:val="20"/>
          <w:szCs w:val="20"/>
        </w:rPr>
        <w:br/>
        <w:t xml:space="preserve">      2.</w:t>
      </w:r>
      <w:r>
        <w:rPr>
          <w:rFonts w:cs="宋体"/>
          <w:sz w:val="20"/>
          <w:szCs w:val="20"/>
        </w:rPr>
        <w:t>本套报表金额单位转换时可能存在尾数误差。</w:t>
      </w:r>
      <w:r>
        <w:rPr>
          <w:rFonts w:cs="宋体"/>
          <w:sz w:val="20"/>
          <w:szCs w:val="20"/>
        </w:rPr>
        <w:br/>
      </w:r>
      <w:r>
        <w:rPr>
          <w:rFonts w:cs="宋体"/>
          <w:sz w:val="20"/>
          <w:szCs w:val="20"/>
        </w:rPr>
        <w:br/>
      </w:r>
      <w:r>
        <w:rPr>
          <w:rFonts w:cs="宋体"/>
          <w:sz w:val="21"/>
          <w:szCs w:val="21"/>
        </w:rPr>
        <w:br w:type="page"/>
      </w:r>
    </w:p>
    <w:tbl>
      <w:tblPr>
        <w:tblW w:w="15378" w:type="dxa"/>
        <w:tblLayout w:type="fixed"/>
        <w:tblCellMar>
          <w:left w:w="0" w:type="dxa"/>
          <w:right w:w="0" w:type="dxa"/>
        </w:tblCellMar>
        <w:tblLook w:val="04A0" w:firstRow="1" w:lastRow="0" w:firstColumn="1" w:lastColumn="0" w:noHBand="0" w:noVBand="1"/>
      </w:tblPr>
      <w:tblGrid>
        <w:gridCol w:w="1837"/>
        <w:gridCol w:w="3630"/>
        <w:gridCol w:w="3298"/>
        <w:gridCol w:w="3299"/>
        <w:gridCol w:w="3314"/>
      </w:tblGrid>
      <w:tr w:rsidR="00F530A1">
        <w:trPr>
          <w:trHeight w:val="510"/>
        </w:trPr>
        <w:tc>
          <w:tcPr>
            <w:tcW w:w="15378" w:type="dxa"/>
            <w:gridSpan w:val="5"/>
            <w:tcBorders>
              <w:top w:val="nil"/>
              <w:left w:val="nil"/>
              <w:bottom w:val="nil"/>
              <w:right w:val="nil"/>
            </w:tcBorders>
            <w:shd w:val="clear" w:color="auto" w:fill="auto"/>
            <w:noWrap/>
            <w:tcMar>
              <w:top w:w="15" w:type="dxa"/>
              <w:left w:w="15" w:type="dxa"/>
              <w:right w:w="15" w:type="dxa"/>
            </w:tcMar>
            <w:vAlign w:val="bottom"/>
          </w:tcPr>
          <w:p w:rsidR="00F530A1" w:rsidRDefault="00B77A9E">
            <w:pPr>
              <w:jc w:val="center"/>
              <w:textAlignment w:val="bottom"/>
              <w:rPr>
                <w:rFonts w:cs="宋体" w:hint="default"/>
                <w:b/>
                <w:sz w:val="32"/>
                <w:szCs w:val="32"/>
              </w:rPr>
            </w:pPr>
            <w:r>
              <w:rPr>
                <w:rFonts w:cs="宋体"/>
                <w:b/>
                <w:sz w:val="32"/>
                <w:szCs w:val="32"/>
              </w:rPr>
              <w:lastRenderedPageBreak/>
              <w:t>一般公共预算财政拨款支出决算表</w:t>
            </w:r>
          </w:p>
        </w:tc>
      </w:tr>
      <w:tr w:rsidR="00F530A1">
        <w:trPr>
          <w:trHeight w:val="255"/>
        </w:trPr>
        <w:tc>
          <w:tcPr>
            <w:tcW w:w="8765" w:type="dxa"/>
            <w:gridSpan w:val="3"/>
            <w:vMerge w:val="restart"/>
            <w:tcBorders>
              <w:top w:val="nil"/>
              <w:left w:val="nil"/>
              <w:right w:val="nil"/>
            </w:tcBorders>
            <w:shd w:val="clear" w:color="auto" w:fill="auto"/>
            <w:noWrap/>
            <w:tcMar>
              <w:top w:w="15" w:type="dxa"/>
              <w:left w:w="15" w:type="dxa"/>
              <w:right w:w="15" w:type="dxa"/>
            </w:tcMar>
            <w:vAlign w:val="bottom"/>
          </w:tcPr>
          <w:p w:rsidR="00F530A1" w:rsidRDefault="00B77A9E">
            <w:pPr>
              <w:rPr>
                <w:rFonts w:cs="宋体" w:hint="default"/>
                <w:sz w:val="20"/>
                <w:szCs w:val="20"/>
              </w:rPr>
            </w:pPr>
            <w:r>
              <w:rPr>
                <w:rFonts w:cs="宋体"/>
                <w:sz w:val="20"/>
                <w:szCs w:val="20"/>
              </w:rPr>
              <w:t>公开单位：</w:t>
            </w:r>
            <w:r>
              <w:rPr>
                <w:rFonts w:cs="宋体"/>
                <w:sz w:val="20"/>
                <w:szCs w:val="20"/>
              </w:rPr>
              <w:t xml:space="preserve"> </w:t>
            </w:r>
            <w:r>
              <w:rPr>
                <w:sz w:val="20"/>
              </w:rPr>
              <w:t>重庆市丰都县教育委员会（本级）</w:t>
            </w:r>
          </w:p>
        </w:tc>
        <w:tc>
          <w:tcPr>
            <w:tcW w:w="3299"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3314" w:type="dxa"/>
            <w:tcBorders>
              <w:top w:val="nil"/>
              <w:left w:val="nil"/>
              <w:bottom w:val="nil"/>
              <w:right w:val="nil"/>
            </w:tcBorders>
            <w:shd w:val="clear" w:color="auto" w:fill="auto"/>
            <w:noWrap/>
            <w:tcMar>
              <w:top w:w="15" w:type="dxa"/>
              <w:left w:w="15" w:type="dxa"/>
              <w:right w:w="15" w:type="dxa"/>
            </w:tcMar>
            <w:vAlign w:val="bottom"/>
          </w:tcPr>
          <w:p w:rsidR="00F530A1" w:rsidRDefault="00B77A9E">
            <w:pPr>
              <w:jc w:val="right"/>
              <w:textAlignment w:val="bottom"/>
              <w:rPr>
                <w:rFonts w:cs="宋体" w:hint="default"/>
                <w:sz w:val="20"/>
                <w:szCs w:val="20"/>
              </w:rPr>
            </w:pPr>
            <w:r>
              <w:rPr>
                <w:rFonts w:cs="宋体"/>
                <w:sz w:val="20"/>
                <w:szCs w:val="20"/>
              </w:rPr>
              <w:t>公开</w:t>
            </w:r>
            <w:r>
              <w:rPr>
                <w:rFonts w:cs="宋体"/>
                <w:sz w:val="20"/>
                <w:szCs w:val="20"/>
              </w:rPr>
              <w:t>05</w:t>
            </w:r>
            <w:r>
              <w:rPr>
                <w:rFonts w:cs="宋体"/>
                <w:sz w:val="20"/>
                <w:szCs w:val="20"/>
              </w:rPr>
              <w:t>表</w:t>
            </w:r>
          </w:p>
        </w:tc>
      </w:tr>
      <w:tr w:rsidR="00F530A1">
        <w:trPr>
          <w:trHeight w:val="285"/>
        </w:trPr>
        <w:tc>
          <w:tcPr>
            <w:tcW w:w="8765" w:type="dxa"/>
            <w:gridSpan w:val="3"/>
            <w:vMerge/>
            <w:tcBorders>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3299"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3314" w:type="dxa"/>
            <w:tcBorders>
              <w:top w:val="nil"/>
              <w:left w:val="nil"/>
              <w:bottom w:val="nil"/>
              <w:right w:val="nil"/>
            </w:tcBorders>
            <w:shd w:val="clear" w:color="auto" w:fill="auto"/>
            <w:noWrap/>
            <w:tcMar>
              <w:top w:w="15" w:type="dxa"/>
              <w:left w:w="15" w:type="dxa"/>
              <w:right w:w="15" w:type="dxa"/>
            </w:tcMar>
            <w:vAlign w:val="bottom"/>
          </w:tcPr>
          <w:p w:rsidR="00F530A1" w:rsidRDefault="00B77A9E">
            <w:pPr>
              <w:jc w:val="right"/>
              <w:textAlignment w:val="bottom"/>
              <w:rPr>
                <w:rFonts w:cs="宋体" w:hint="default"/>
                <w:sz w:val="20"/>
                <w:szCs w:val="20"/>
              </w:rPr>
            </w:pPr>
            <w:r>
              <w:rPr>
                <w:rFonts w:cs="宋体"/>
                <w:sz w:val="20"/>
                <w:szCs w:val="20"/>
              </w:rPr>
              <w:t>单位：万元</w:t>
            </w:r>
          </w:p>
        </w:tc>
      </w:tr>
      <w:tr w:rsidR="00F530A1">
        <w:trPr>
          <w:trHeight w:val="308"/>
        </w:trPr>
        <w:tc>
          <w:tcPr>
            <w:tcW w:w="5467" w:type="dxa"/>
            <w:gridSpan w:val="2"/>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项目</w:t>
            </w:r>
          </w:p>
        </w:tc>
        <w:tc>
          <w:tcPr>
            <w:tcW w:w="9911" w:type="dxa"/>
            <w:gridSpan w:val="3"/>
            <w:tcBorders>
              <w:top w:val="single" w:sz="4" w:space="0" w:color="000000"/>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本年支出</w:t>
            </w:r>
          </w:p>
        </w:tc>
      </w:tr>
      <w:tr w:rsidR="00F530A1">
        <w:trPr>
          <w:trHeight w:val="326"/>
        </w:trPr>
        <w:tc>
          <w:tcPr>
            <w:tcW w:w="1837" w:type="dxa"/>
            <w:vMerge w:val="restart"/>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功能分类科目编码</w:t>
            </w:r>
          </w:p>
        </w:tc>
        <w:tc>
          <w:tcPr>
            <w:tcW w:w="3630"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项目（按“项”级功能分类科目）</w:t>
            </w:r>
          </w:p>
        </w:tc>
        <w:tc>
          <w:tcPr>
            <w:tcW w:w="3298"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合计</w:t>
            </w:r>
          </w:p>
        </w:tc>
        <w:tc>
          <w:tcPr>
            <w:tcW w:w="3299"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基本支出</w:t>
            </w:r>
          </w:p>
        </w:tc>
        <w:tc>
          <w:tcPr>
            <w:tcW w:w="3314"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项目支出</w:t>
            </w:r>
          </w:p>
        </w:tc>
      </w:tr>
      <w:tr w:rsidR="00F530A1">
        <w:trPr>
          <w:trHeight w:val="326"/>
        </w:trPr>
        <w:tc>
          <w:tcPr>
            <w:tcW w:w="1837" w:type="dxa"/>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630"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298"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299"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314"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r>
      <w:tr w:rsidR="00F530A1">
        <w:trPr>
          <w:trHeight w:val="615"/>
        </w:trPr>
        <w:tc>
          <w:tcPr>
            <w:tcW w:w="1837" w:type="dxa"/>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630"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298"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299"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314"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r>
      <w:tr w:rsidR="00F530A1">
        <w:trPr>
          <w:trHeight w:val="308"/>
        </w:trPr>
        <w:tc>
          <w:tcPr>
            <w:tcW w:w="5467" w:type="dxa"/>
            <w:gridSpan w:val="2"/>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合计</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bCs/>
                <w:sz w:val="20"/>
                <w:szCs w:val="20"/>
              </w:rPr>
              <w:t>7,969.93</w:t>
            </w:r>
            <w:r>
              <w:rPr>
                <w:b/>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bCs/>
                <w:sz w:val="20"/>
                <w:szCs w:val="20"/>
              </w:rPr>
              <w:t>859.28</w:t>
            </w:r>
            <w:r>
              <w:rPr>
                <w:b/>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bCs/>
                <w:sz w:val="20"/>
                <w:szCs w:val="20"/>
              </w:rPr>
              <w:t>7,110.66</w:t>
            </w:r>
            <w:r>
              <w:rPr>
                <w:b/>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205</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教育支出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6,599.65</w:t>
            </w:r>
            <w:r>
              <w:rPr>
                <w:b/>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577.08</w:t>
            </w:r>
            <w:r>
              <w:rPr>
                <w:b/>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6,022.58</w:t>
            </w:r>
            <w:r>
              <w:rPr>
                <w:b/>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20501</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教育管理事务</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605.08</w:t>
            </w:r>
            <w:r>
              <w:rPr>
                <w:b/>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577.08</w:t>
            </w:r>
            <w:r>
              <w:rPr>
                <w:b/>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28.00</w:t>
            </w:r>
            <w:r>
              <w:rPr>
                <w:b/>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2050101</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行政运行</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350.13</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350.13</w:t>
            </w: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2050199</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其他教育管理事务支出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254.95</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226.95</w:t>
            </w: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28.00</w:t>
            </w: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20502</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普通教育</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5,188.18</w:t>
            </w:r>
            <w:r>
              <w:rPr>
                <w:b/>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5,188.18</w:t>
            </w:r>
            <w:r>
              <w:rPr>
                <w:b/>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2050201</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学前教育</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945.25</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945.25</w:t>
            </w: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2050202</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小学教育</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1,121.50</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1,121.50</w:t>
            </w: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2050203</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初中教育</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1,760.64</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1,760.64</w:t>
            </w: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2050204</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高中教育</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1,356.00</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1,356.00</w:t>
            </w: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2050299</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其他普通教育支出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4.78</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4.78</w:t>
            </w: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20503</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职业教育</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801.40</w:t>
            </w:r>
            <w:r>
              <w:rPr>
                <w:b/>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801.40</w:t>
            </w:r>
            <w:r>
              <w:rPr>
                <w:b/>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2050302</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中等职业教育</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801.40</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801.40</w:t>
            </w: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20599</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其他教育支出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5.00</w:t>
            </w:r>
            <w:r>
              <w:rPr>
                <w:b/>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5.00</w:t>
            </w:r>
            <w:r>
              <w:rPr>
                <w:b/>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2059999</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其他教育支出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5.00</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5.00</w:t>
            </w: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208</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社会保障和就业支出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237.63</w:t>
            </w:r>
            <w:r>
              <w:rPr>
                <w:b/>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237.63</w:t>
            </w:r>
            <w:r>
              <w:rPr>
                <w:b/>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20805</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行政事业单位养老支出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237.63</w:t>
            </w:r>
            <w:r>
              <w:rPr>
                <w:b/>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237.63</w:t>
            </w:r>
            <w:r>
              <w:rPr>
                <w:b/>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2080505</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机关事业单位基本养老保险缴费支出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41.60</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41.60</w:t>
            </w: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2080506</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机关事业单位职业年金缴费支出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47.90</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47.90</w:t>
            </w: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2080599</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其他行政事业单位养老支出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148.13</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148.13</w:t>
            </w: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210</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卫生健康支出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23.86</w:t>
            </w:r>
            <w:r>
              <w:rPr>
                <w:b/>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23.86</w:t>
            </w:r>
            <w:r>
              <w:rPr>
                <w:b/>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21011</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行政事业单位医疗</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23.86</w:t>
            </w:r>
            <w:r>
              <w:rPr>
                <w:b/>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23.86</w:t>
            </w:r>
            <w:r>
              <w:rPr>
                <w:b/>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lastRenderedPageBreak/>
              <w:t>2101101</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行政单位医疗</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12.67</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12.67</w:t>
            </w: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2101199</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其他行政事业单位医疗支出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11.19</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11.19</w:t>
            </w: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213</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农林水支出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550.00</w:t>
            </w:r>
            <w:r>
              <w:rPr>
                <w:b/>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550.00</w:t>
            </w:r>
            <w:r>
              <w:rPr>
                <w:b/>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21305</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巩固脱贫攻坚成果衔接乡村振兴</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550.00</w:t>
            </w:r>
            <w:r>
              <w:rPr>
                <w:b/>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550.00</w:t>
            </w:r>
            <w:r>
              <w:rPr>
                <w:b/>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2130506</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社会发展</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150.00</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150.00</w:t>
            </w: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2130599</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其他巩固脱贫攻坚成果衔接乡村振兴支出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400.00</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400.00</w:t>
            </w: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220</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自然资源海洋气象等支出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538.08</w:t>
            </w:r>
            <w:r>
              <w:rPr>
                <w:b/>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538.08</w:t>
            </w:r>
            <w:r>
              <w:rPr>
                <w:b/>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22001</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自然资源事务</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538.08</w:t>
            </w:r>
            <w:r>
              <w:rPr>
                <w:b/>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538.08</w:t>
            </w:r>
            <w:r>
              <w:rPr>
                <w:b/>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2200199</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其他自然资源事务支出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538.08</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538.08</w:t>
            </w: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221</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住房保障支出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20.70</w:t>
            </w:r>
            <w:r>
              <w:rPr>
                <w:b/>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20.70</w:t>
            </w:r>
            <w:r>
              <w:rPr>
                <w:b/>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22102</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b/>
                <w:sz w:val="20"/>
                <w:szCs w:val="20"/>
              </w:rPr>
              <w:t>住房改革支出</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20.70</w:t>
            </w:r>
            <w:r>
              <w:rPr>
                <w:b/>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b/>
                <w:sz w:val="20"/>
                <w:szCs w:val="20"/>
              </w:rPr>
              <w:t>20.70</w:t>
            </w:r>
            <w:r>
              <w:rPr>
                <w:b/>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r>
      <w:tr w:rsidR="00F530A1">
        <w:trPr>
          <w:trHeight w:val="308"/>
        </w:trPr>
        <w:tc>
          <w:tcPr>
            <w:tcW w:w="183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2210201</w:t>
            </w:r>
          </w:p>
        </w:tc>
        <w:tc>
          <w:tcPr>
            <w:tcW w:w="363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textAlignment w:val="center"/>
              <w:rPr>
                <w:rFonts w:cs="宋体" w:hint="default"/>
                <w:sz w:val="20"/>
                <w:szCs w:val="20"/>
              </w:rPr>
            </w:pPr>
            <w:r>
              <w:rPr>
                <w:rFonts w:cs="宋体"/>
                <w:sz w:val="20"/>
                <w:szCs w:val="20"/>
              </w:rPr>
              <w:t>住房公积金</w:t>
            </w:r>
          </w:p>
        </w:tc>
        <w:tc>
          <w:tcPr>
            <w:tcW w:w="329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20.70</w:t>
            </w:r>
            <w:r>
              <w:rPr>
                <w:sz w:val="20"/>
              </w:rPr>
              <w:t xml:space="preserve"> </w:t>
            </w:r>
          </w:p>
        </w:tc>
        <w:tc>
          <w:tcPr>
            <w:tcW w:w="329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rFonts w:cs="宋体"/>
                <w:sz w:val="20"/>
                <w:szCs w:val="20"/>
              </w:rPr>
              <w:t>20.70</w:t>
            </w:r>
            <w:r>
              <w:rPr>
                <w:sz w:val="20"/>
              </w:rPr>
              <w:t xml:space="preserve"> </w:t>
            </w:r>
          </w:p>
        </w:tc>
        <w:tc>
          <w:tcPr>
            <w:tcW w:w="331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sz w:val="20"/>
              </w:rPr>
              <w:t xml:space="preserve"> </w:t>
            </w:r>
          </w:p>
        </w:tc>
      </w:tr>
    </w:tbl>
    <w:p w:rsidR="00F530A1" w:rsidRDefault="00B77A9E">
      <w:pPr>
        <w:rPr>
          <w:rFonts w:cs="宋体" w:hint="default"/>
          <w:sz w:val="21"/>
          <w:szCs w:val="21"/>
        </w:rPr>
      </w:pPr>
      <w:r>
        <w:rPr>
          <w:rFonts w:cs="宋体"/>
          <w:sz w:val="20"/>
          <w:szCs w:val="20"/>
        </w:rPr>
        <w:t>备注：</w:t>
      </w:r>
      <w:r>
        <w:rPr>
          <w:rFonts w:cs="宋体"/>
          <w:sz w:val="20"/>
          <w:szCs w:val="20"/>
        </w:rPr>
        <w:t>1.</w:t>
      </w:r>
      <w:r>
        <w:rPr>
          <w:rFonts w:cs="宋体"/>
          <w:sz w:val="20"/>
          <w:szCs w:val="20"/>
        </w:rPr>
        <w:t>本表反映单位本年度一般公共预算财政拨款支出情况。</w:t>
      </w:r>
      <w:r>
        <w:rPr>
          <w:rFonts w:cs="宋体"/>
          <w:sz w:val="20"/>
          <w:szCs w:val="20"/>
        </w:rPr>
        <w:br/>
        <w:t xml:space="preserve">      2.</w:t>
      </w:r>
      <w:r>
        <w:rPr>
          <w:rFonts w:cs="宋体"/>
          <w:sz w:val="20"/>
          <w:szCs w:val="20"/>
        </w:rPr>
        <w:t>本套报表金额单位转换时可能存在尾数误差。</w:t>
      </w:r>
      <w:r>
        <w:rPr>
          <w:rFonts w:cs="宋体"/>
          <w:sz w:val="20"/>
          <w:szCs w:val="20"/>
        </w:rPr>
        <w:br/>
      </w:r>
      <w:r>
        <w:rPr>
          <w:rFonts w:cs="宋体"/>
          <w:sz w:val="20"/>
          <w:szCs w:val="20"/>
        </w:rPr>
        <w:br/>
      </w:r>
    </w:p>
    <w:p w:rsidR="00F530A1" w:rsidRDefault="00B77A9E">
      <w:pPr>
        <w:ind w:firstLineChars="300" w:firstLine="630"/>
        <w:rPr>
          <w:rFonts w:cs="宋体" w:hint="default"/>
          <w:sz w:val="21"/>
          <w:szCs w:val="21"/>
        </w:rPr>
      </w:pPr>
      <w:r>
        <w:rPr>
          <w:rFonts w:cs="宋体"/>
          <w:sz w:val="21"/>
          <w:szCs w:val="21"/>
        </w:rPr>
        <w:br w:type="page"/>
      </w:r>
    </w:p>
    <w:tbl>
      <w:tblPr>
        <w:tblW w:w="15360" w:type="dxa"/>
        <w:tblLayout w:type="fixed"/>
        <w:tblCellMar>
          <w:left w:w="0" w:type="dxa"/>
          <w:right w:w="0" w:type="dxa"/>
        </w:tblCellMar>
        <w:tblLook w:val="04A0" w:firstRow="1" w:lastRow="0" w:firstColumn="1" w:lastColumn="0" w:noHBand="0" w:noVBand="1"/>
      </w:tblPr>
      <w:tblGrid>
        <w:gridCol w:w="605"/>
        <w:gridCol w:w="2740"/>
        <w:gridCol w:w="1376"/>
        <w:gridCol w:w="836"/>
        <w:gridCol w:w="1923"/>
        <w:gridCol w:w="1656"/>
        <w:gridCol w:w="808"/>
        <w:gridCol w:w="3527"/>
        <w:gridCol w:w="1889"/>
      </w:tblGrid>
      <w:tr w:rsidR="00F530A1">
        <w:trPr>
          <w:trHeight w:val="90"/>
        </w:trPr>
        <w:tc>
          <w:tcPr>
            <w:tcW w:w="15360" w:type="dxa"/>
            <w:gridSpan w:val="9"/>
            <w:tcBorders>
              <w:top w:val="nil"/>
              <w:left w:val="nil"/>
              <w:bottom w:val="nil"/>
              <w:right w:val="nil"/>
            </w:tcBorders>
            <w:shd w:val="clear" w:color="auto" w:fill="auto"/>
            <w:noWrap/>
            <w:tcMar>
              <w:top w:w="15" w:type="dxa"/>
              <w:left w:w="15" w:type="dxa"/>
              <w:right w:w="15" w:type="dxa"/>
            </w:tcMar>
            <w:vAlign w:val="bottom"/>
          </w:tcPr>
          <w:p w:rsidR="00F530A1" w:rsidRDefault="00B77A9E">
            <w:pPr>
              <w:spacing w:line="440" w:lineRule="exact"/>
              <w:jc w:val="center"/>
              <w:textAlignment w:val="bottom"/>
              <w:rPr>
                <w:rFonts w:cs="宋体" w:hint="default"/>
                <w:b/>
                <w:sz w:val="32"/>
                <w:szCs w:val="32"/>
              </w:rPr>
            </w:pPr>
            <w:r>
              <w:rPr>
                <w:rFonts w:cs="宋体"/>
                <w:b/>
                <w:sz w:val="32"/>
                <w:szCs w:val="32"/>
              </w:rPr>
              <w:lastRenderedPageBreak/>
              <w:t>一般公共预算财政拨款基本支出决算表</w:t>
            </w:r>
          </w:p>
        </w:tc>
      </w:tr>
      <w:tr w:rsidR="00F530A1">
        <w:trPr>
          <w:trHeight w:val="90"/>
        </w:trPr>
        <w:tc>
          <w:tcPr>
            <w:tcW w:w="5557" w:type="dxa"/>
            <w:gridSpan w:val="4"/>
            <w:vMerge w:val="restart"/>
            <w:tcBorders>
              <w:top w:val="nil"/>
              <w:left w:val="nil"/>
              <w:right w:val="nil"/>
            </w:tcBorders>
            <w:shd w:val="clear" w:color="auto" w:fill="auto"/>
            <w:noWrap/>
            <w:tcMar>
              <w:top w:w="15" w:type="dxa"/>
              <w:left w:w="15" w:type="dxa"/>
              <w:right w:w="15" w:type="dxa"/>
            </w:tcMar>
            <w:vAlign w:val="bottom"/>
          </w:tcPr>
          <w:p w:rsidR="00F530A1" w:rsidRDefault="00B77A9E">
            <w:pPr>
              <w:spacing w:line="200" w:lineRule="exact"/>
              <w:rPr>
                <w:rFonts w:cs="宋体" w:hint="default"/>
                <w:sz w:val="18"/>
                <w:szCs w:val="18"/>
              </w:rPr>
            </w:pPr>
            <w:r>
              <w:rPr>
                <w:rFonts w:cs="宋体"/>
                <w:sz w:val="20"/>
                <w:szCs w:val="20"/>
              </w:rPr>
              <w:t>公开单位：</w:t>
            </w:r>
            <w:r>
              <w:rPr>
                <w:rFonts w:cs="宋体"/>
                <w:sz w:val="20"/>
                <w:szCs w:val="20"/>
              </w:rPr>
              <w:t xml:space="preserve"> </w:t>
            </w:r>
            <w:r>
              <w:rPr>
                <w:sz w:val="20"/>
              </w:rPr>
              <w:t>重庆市丰都县教育委员会（本级）</w:t>
            </w:r>
          </w:p>
        </w:tc>
        <w:tc>
          <w:tcPr>
            <w:tcW w:w="1923"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656"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808"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3527"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889" w:type="dxa"/>
            <w:tcBorders>
              <w:top w:val="nil"/>
              <w:left w:val="nil"/>
              <w:bottom w:val="nil"/>
              <w:right w:val="nil"/>
            </w:tcBorders>
            <w:shd w:val="clear" w:color="auto" w:fill="auto"/>
            <w:noWrap/>
            <w:tcMar>
              <w:top w:w="15" w:type="dxa"/>
              <w:left w:w="15" w:type="dxa"/>
              <w:right w:w="15" w:type="dxa"/>
            </w:tcMar>
            <w:vAlign w:val="bottom"/>
          </w:tcPr>
          <w:p w:rsidR="00F530A1" w:rsidRDefault="00B77A9E">
            <w:pPr>
              <w:spacing w:line="280" w:lineRule="exact"/>
              <w:jc w:val="right"/>
              <w:textAlignment w:val="bottom"/>
              <w:rPr>
                <w:rFonts w:cs="宋体" w:hint="default"/>
                <w:sz w:val="20"/>
                <w:szCs w:val="20"/>
              </w:rPr>
            </w:pPr>
            <w:r>
              <w:rPr>
                <w:rFonts w:cs="宋体"/>
                <w:sz w:val="20"/>
                <w:szCs w:val="20"/>
              </w:rPr>
              <w:t>公开</w:t>
            </w:r>
            <w:r>
              <w:rPr>
                <w:rFonts w:cs="宋体"/>
                <w:sz w:val="20"/>
                <w:szCs w:val="20"/>
              </w:rPr>
              <w:t>06</w:t>
            </w:r>
            <w:r>
              <w:rPr>
                <w:rFonts w:cs="宋体"/>
                <w:sz w:val="20"/>
                <w:szCs w:val="20"/>
              </w:rPr>
              <w:t>表</w:t>
            </w:r>
          </w:p>
        </w:tc>
      </w:tr>
      <w:tr w:rsidR="00F530A1">
        <w:trPr>
          <w:trHeight w:val="90"/>
        </w:trPr>
        <w:tc>
          <w:tcPr>
            <w:tcW w:w="5557" w:type="dxa"/>
            <w:gridSpan w:val="4"/>
            <w:vMerge/>
            <w:tcBorders>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923"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656"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808"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3527"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1889" w:type="dxa"/>
            <w:tcBorders>
              <w:top w:val="nil"/>
              <w:left w:val="nil"/>
              <w:bottom w:val="nil"/>
              <w:right w:val="nil"/>
            </w:tcBorders>
            <w:shd w:val="clear" w:color="auto" w:fill="auto"/>
            <w:noWrap/>
            <w:tcMar>
              <w:top w:w="15" w:type="dxa"/>
              <w:left w:w="15" w:type="dxa"/>
              <w:right w:w="15" w:type="dxa"/>
            </w:tcMar>
            <w:vAlign w:val="bottom"/>
          </w:tcPr>
          <w:p w:rsidR="00F530A1" w:rsidRDefault="00B77A9E">
            <w:pPr>
              <w:spacing w:line="280" w:lineRule="exact"/>
              <w:jc w:val="right"/>
              <w:textAlignment w:val="bottom"/>
              <w:rPr>
                <w:rFonts w:cs="宋体" w:hint="default"/>
                <w:sz w:val="20"/>
                <w:szCs w:val="20"/>
              </w:rPr>
            </w:pPr>
            <w:r>
              <w:rPr>
                <w:rFonts w:cs="宋体"/>
                <w:sz w:val="20"/>
                <w:szCs w:val="20"/>
              </w:rPr>
              <w:t>单位：万元</w:t>
            </w:r>
          </w:p>
        </w:tc>
      </w:tr>
      <w:tr w:rsidR="00F530A1">
        <w:trPr>
          <w:trHeight w:val="90"/>
        </w:trPr>
        <w:tc>
          <w:tcPr>
            <w:tcW w:w="4721" w:type="dxa"/>
            <w:gridSpan w:val="3"/>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人员经费</w:t>
            </w:r>
          </w:p>
        </w:tc>
        <w:tc>
          <w:tcPr>
            <w:tcW w:w="10639" w:type="dxa"/>
            <w:gridSpan w:val="6"/>
            <w:tcBorders>
              <w:top w:val="single" w:sz="4" w:space="0" w:color="000000"/>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公用经费</w:t>
            </w:r>
          </w:p>
        </w:tc>
      </w:tr>
      <w:tr w:rsidR="00F530A1">
        <w:trPr>
          <w:trHeight w:val="312"/>
        </w:trPr>
        <w:tc>
          <w:tcPr>
            <w:tcW w:w="605" w:type="dxa"/>
            <w:vMerge w:val="restart"/>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经济分类科目编码</w:t>
            </w:r>
          </w:p>
        </w:tc>
        <w:tc>
          <w:tcPr>
            <w:tcW w:w="2740"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经济分类科目（按“款”级功能分类科目）</w:t>
            </w:r>
          </w:p>
        </w:tc>
        <w:tc>
          <w:tcPr>
            <w:tcW w:w="1376"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金额</w:t>
            </w:r>
          </w:p>
        </w:tc>
        <w:tc>
          <w:tcPr>
            <w:tcW w:w="836" w:type="dxa"/>
            <w:vMerge w:val="restart"/>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经济分类科目编码</w:t>
            </w:r>
          </w:p>
        </w:tc>
        <w:tc>
          <w:tcPr>
            <w:tcW w:w="1923"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经济分类科目（按“款”级功能分类科目）</w:t>
            </w:r>
          </w:p>
        </w:tc>
        <w:tc>
          <w:tcPr>
            <w:tcW w:w="1656"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金额</w:t>
            </w:r>
          </w:p>
        </w:tc>
        <w:tc>
          <w:tcPr>
            <w:tcW w:w="808" w:type="dxa"/>
            <w:vMerge w:val="restart"/>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经济分类科目编码</w:t>
            </w:r>
          </w:p>
        </w:tc>
        <w:tc>
          <w:tcPr>
            <w:tcW w:w="3527"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经济分类科目（按“款”级功能分类科目）</w:t>
            </w:r>
          </w:p>
        </w:tc>
        <w:tc>
          <w:tcPr>
            <w:tcW w:w="1889"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金额</w:t>
            </w:r>
          </w:p>
        </w:tc>
      </w:tr>
      <w:tr w:rsidR="00F530A1">
        <w:trPr>
          <w:trHeight w:val="312"/>
        </w:trPr>
        <w:tc>
          <w:tcPr>
            <w:tcW w:w="605" w:type="dxa"/>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spacing w:line="200" w:lineRule="exact"/>
              <w:jc w:val="center"/>
              <w:rPr>
                <w:rFonts w:cs="宋体" w:hint="default"/>
                <w:b/>
                <w:sz w:val="18"/>
                <w:szCs w:val="18"/>
              </w:rPr>
            </w:pPr>
          </w:p>
        </w:tc>
        <w:tc>
          <w:tcPr>
            <w:tcW w:w="2740"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spacing w:line="200" w:lineRule="exact"/>
              <w:jc w:val="center"/>
              <w:rPr>
                <w:rFonts w:cs="宋体" w:hint="default"/>
                <w:b/>
                <w:sz w:val="18"/>
                <w:szCs w:val="18"/>
              </w:rPr>
            </w:pPr>
          </w:p>
        </w:tc>
        <w:tc>
          <w:tcPr>
            <w:tcW w:w="1376"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spacing w:line="200" w:lineRule="exact"/>
              <w:jc w:val="center"/>
              <w:rPr>
                <w:rFonts w:cs="宋体" w:hint="default"/>
                <w:b/>
                <w:sz w:val="18"/>
                <w:szCs w:val="18"/>
              </w:rPr>
            </w:pPr>
          </w:p>
        </w:tc>
        <w:tc>
          <w:tcPr>
            <w:tcW w:w="836" w:type="dxa"/>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spacing w:line="200" w:lineRule="exact"/>
              <w:jc w:val="center"/>
              <w:rPr>
                <w:rFonts w:cs="宋体" w:hint="default"/>
                <w:b/>
                <w:sz w:val="18"/>
                <w:szCs w:val="18"/>
              </w:rPr>
            </w:pPr>
          </w:p>
        </w:tc>
        <w:tc>
          <w:tcPr>
            <w:tcW w:w="1923"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spacing w:line="200" w:lineRule="exact"/>
              <w:jc w:val="center"/>
              <w:rPr>
                <w:rFonts w:cs="宋体" w:hint="default"/>
                <w:b/>
                <w:sz w:val="18"/>
                <w:szCs w:val="18"/>
              </w:rPr>
            </w:pPr>
          </w:p>
        </w:tc>
        <w:tc>
          <w:tcPr>
            <w:tcW w:w="1656"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spacing w:line="200" w:lineRule="exact"/>
              <w:jc w:val="center"/>
              <w:rPr>
                <w:rFonts w:cs="宋体" w:hint="default"/>
                <w:b/>
                <w:sz w:val="18"/>
                <w:szCs w:val="18"/>
              </w:rPr>
            </w:pPr>
          </w:p>
        </w:tc>
        <w:tc>
          <w:tcPr>
            <w:tcW w:w="808" w:type="dxa"/>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spacing w:line="200" w:lineRule="exact"/>
              <w:jc w:val="center"/>
              <w:rPr>
                <w:rFonts w:cs="宋体" w:hint="default"/>
                <w:b/>
                <w:sz w:val="18"/>
                <w:szCs w:val="18"/>
              </w:rPr>
            </w:pPr>
          </w:p>
        </w:tc>
        <w:tc>
          <w:tcPr>
            <w:tcW w:w="3527"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spacing w:line="200" w:lineRule="exact"/>
              <w:jc w:val="center"/>
              <w:rPr>
                <w:rFonts w:cs="宋体" w:hint="default"/>
                <w:b/>
                <w:sz w:val="18"/>
                <w:szCs w:val="18"/>
              </w:rPr>
            </w:pPr>
          </w:p>
        </w:tc>
        <w:tc>
          <w:tcPr>
            <w:tcW w:w="1889"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spacing w:line="200" w:lineRule="exact"/>
              <w:jc w:val="center"/>
              <w:rPr>
                <w:rFonts w:cs="宋体" w:hint="default"/>
                <w:b/>
                <w:sz w:val="18"/>
                <w:szCs w:val="18"/>
              </w:rPr>
            </w:pP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301</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工资福利支出</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397.95</w:t>
            </w: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商品和服务支出</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294.32</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资本性支出</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14.91</w:t>
            </w: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30101</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基本工资</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80.89</w:t>
            </w: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30201</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办公费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47.92</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31001</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房屋建筑物购建</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30102</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津贴补贴</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54.62</w:t>
            </w: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30202</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印刷费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5.20</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31002</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办公设备购置</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14.91</w:t>
            </w: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30103</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奖金</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123.63</w:t>
            </w: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30203</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咨询费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19.29</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31003</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专用设备购置</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30106</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伙食补助费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30204</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手续费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31005</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基础设施建设</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30107</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绩效工资</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30205</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水费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0.98</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31006</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大型修缮</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30108</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机关事业单位基本养老保险缴费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41.60</w:t>
            </w: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30206</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电费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6.59</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31007</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信息网络及软件购置更新</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30109</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职业年金缴费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47.90</w:t>
            </w: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30207</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邮电费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12.34</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31008</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物资储备</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30110</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职工基本医疗保险缴费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12.67</w:t>
            </w: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30208</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取暖费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31009</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土地补偿</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30111</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公务员医疗补助缴费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30209</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物业管理费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0.14</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31010</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安置补助</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30112</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其他社会保障缴费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13.53</w:t>
            </w: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30211</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差旅费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41.86</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31011</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地上附着物和青苗补偿</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30113</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住房公积金</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20.70</w:t>
            </w: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30212</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因公出国（境）费用</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31012</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拆迁补偿</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30114</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医疗费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2.40</w:t>
            </w: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30213</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维修（护）费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2.61</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31013</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公务用车购置</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30199</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其他工资福利支出</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30214</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租赁费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4.80</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31019</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其他交通工具购置</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303</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对个人和家庭的补助</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152.10</w:t>
            </w: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30215</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会议费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1.79</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31021</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文物和陈列品购置</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30301</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离休费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30216</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培训费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1.60</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31022</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无形资产购置</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30302</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退休费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30217</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公务接待费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0.99</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31099</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其他资本性支出</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30303</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退职（役）费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30218</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专用材料费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312</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对企业补助</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30304</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抚恤金</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71.20</w:t>
            </w: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30224</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被装购置费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31201</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资本金注入</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30305</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生活补助</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76.93</w:t>
            </w: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30225</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专用燃料费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31203</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政府投资基金股权投资</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30306</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救济费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30226</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劳务费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45.13</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31204</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费用补贴</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30307</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医疗费补助</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3.97</w:t>
            </w: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30227</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委托业务费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31205</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利息补贴</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30308</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助学金</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30228</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工会经费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32.88</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31299</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其他对企业补助</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30309</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奖励金</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30229</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福利费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399</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其他支出</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30310</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个人农业生产补贴</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30231</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公务用车运行维护费</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2.90</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39907</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国家赔偿费用支出</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30311</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代缴社会保险费</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30239</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其他交通费用</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18.84</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39908</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对民间非营利组织和群众性自治组织补贴</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30399</w:t>
            </w: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其他对个人和家庭的补助</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30240</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税金及附加费用</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39909</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经常性赠与</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30299</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其他商品和服务支出</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48.47</w:t>
            </w: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39910</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资本性赠与</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307</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债务利息及费用支出</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39999</w:t>
            </w: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其他支出</w:t>
            </w: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30701</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国内债务付息</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30702</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国外债务付息</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30703</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国内债务发行费用</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r>
      <w:tr w:rsidR="00F530A1">
        <w:trPr>
          <w:trHeight w:val="90"/>
        </w:trPr>
        <w:tc>
          <w:tcPr>
            <w:tcW w:w="605"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2740"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F530A1">
            <w:pPr>
              <w:spacing w:line="200" w:lineRule="exact"/>
              <w:rPr>
                <w:rFonts w:cs="宋体" w:hint="default"/>
                <w:sz w:val="18"/>
                <w:szCs w:val="18"/>
              </w:rPr>
            </w:pPr>
          </w:p>
        </w:tc>
        <w:tc>
          <w:tcPr>
            <w:tcW w:w="836"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30704</w:t>
            </w:r>
          </w:p>
        </w:tc>
        <w:tc>
          <w:tcPr>
            <w:tcW w:w="1923"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8"/>
                <w:szCs w:val="18"/>
              </w:rPr>
            </w:pPr>
            <w:r>
              <w:rPr>
                <w:rFonts w:cs="宋体"/>
                <w:sz w:val="18"/>
                <w:szCs w:val="18"/>
              </w:rPr>
              <w:t xml:space="preserve">  </w:t>
            </w:r>
            <w:r>
              <w:rPr>
                <w:rFonts w:cs="宋体"/>
                <w:sz w:val="18"/>
                <w:szCs w:val="18"/>
              </w:rPr>
              <w:t>国外债务发行费用</w:t>
            </w:r>
          </w:p>
        </w:tc>
        <w:tc>
          <w:tcPr>
            <w:tcW w:w="16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sz w:val="18"/>
              </w:rPr>
              <w:t xml:space="preserve"> </w:t>
            </w:r>
          </w:p>
        </w:tc>
        <w:tc>
          <w:tcPr>
            <w:tcW w:w="808"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3527" w:type="dxa"/>
            <w:tcBorders>
              <w:top w:val="single" w:sz="4" w:space="0" w:color="000000"/>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8"/>
                <w:szCs w:val="18"/>
              </w:rPr>
            </w:pPr>
          </w:p>
        </w:tc>
        <w:tc>
          <w:tcPr>
            <w:tcW w:w="188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spacing w:line="200" w:lineRule="exact"/>
              <w:jc w:val="right"/>
              <w:rPr>
                <w:rFonts w:cs="宋体" w:hint="default"/>
                <w:sz w:val="18"/>
                <w:szCs w:val="18"/>
              </w:rPr>
            </w:pPr>
          </w:p>
        </w:tc>
      </w:tr>
      <w:tr w:rsidR="00F530A1">
        <w:trPr>
          <w:trHeight w:val="90"/>
        </w:trPr>
        <w:tc>
          <w:tcPr>
            <w:tcW w:w="3345" w:type="dxa"/>
            <w:gridSpan w:val="2"/>
            <w:tcBorders>
              <w:top w:val="nil"/>
              <w:left w:val="single" w:sz="4" w:space="0" w:color="000000"/>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人员经费合计</w:t>
            </w:r>
          </w:p>
        </w:tc>
        <w:tc>
          <w:tcPr>
            <w:tcW w:w="1376"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rsidR="00F530A1" w:rsidRDefault="00B77A9E">
            <w:pPr>
              <w:wordWrap w:val="0"/>
              <w:spacing w:line="200" w:lineRule="exact"/>
              <w:jc w:val="right"/>
              <w:textAlignment w:val="bottom"/>
              <w:rPr>
                <w:rFonts w:cs="宋体" w:hint="default"/>
                <w:sz w:val="18"/>
                <w:szCs w:val="18"/>
              </w:rPr>
            </w:pPr>
            <w:r>
              <w:rPr>
                <w:rFonts w:cs="宋体"/>
                <w:sz w:val="18"/>
                <w:szCs w:val="18"/>
              </w:rPr>
              <w:t>550.05</w:t>
            </w:r>
            <w:r>
              <w:rPr>
                <w:sz w:val="18"/>
              </w:rPr>
              <w:t xml:space="preserve"> </w:t>
            </w:r>
          </w:p>
        </w:tc>
        <w:tc>
          <w:tcPr>
            <w:tcW w:w="8750" w:type="dxa"/>
            <w:gridSpan w:val="5"/>
            <w:tcBorders>
              <w:top w:val="nil"/>
              <w:left w:val="nil"/>
              <w:bottom w:val="single" w:sz="4" w:space="0" w:color="000000"/>
              <w:right w:val="single" w:sz="4" w:space="0" w:color="000000"/>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8"/>
                <w:szCs w:val="18"/>
              </w:rPr>
            </w:pPr>
            <w:r>
              <w:rPr>
                <w:rFonts w:cs="宋体"/>
                <w:b/>
                <w:sz w:val="18"/>
                <w:szCs w:val="18"/>
              </w:rPr>
              <w:t>公用经费合计</w:t>
            </w:r>
          </w:p>
        </w:tc>
        <w:tc>
          <w:tcPr>
            <w:tcW w:w="188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spacing w:line="200" w:lineRule="exact"/>
              <w:jc w:val="right"/>
              <w:textAlignment w:val="center"/>
              <w:rPr>
                <w:rFonts w:cs="宋体" w:hint="default"/>
                <w:sz w:val="18"/>
                <w:szCs w:val="18"/>
              </w:rPr>
            </w:pPr>
            <w:r>
              <w:rPr>
                <w:rFonts w:cs="宋体"/>
                <w:sz w:val="18"/>
                <w:szCs w:val="18"/>
              </w:rPr>
              <w:t>309.23</w:t>
            </w:r>
            <w:r>
              <w:rPr>
                <w:sz w:val="18"/>
              </w:rPr>
              <w:t xml:space="preserve"> </w:t>
            </w:r>
          </w:p>
        </w:tc>
      </w:tr>
    </w:tbl>
    <w:p w:rsidR="00F530A1" w:rsidRDefault="00B77A9E">
      <w:pPr>
        <w:spacing w:line="280" w:lineRule="exact"/>
        <w:rPr>
          <w:rFonts w:cs="宋体" w:hint="default"/>
          <w:sz w:val="20"/>
          <w:szCs w:val="20"/>
        </w:rPr>
      </w:pPr>
      <w:r>
        <w:rPr>
          <w:rFonts w:cs="宋体"/>
          <w:sz w:val="20"/>
          <w:szCs w:val="20"/>
        </w:rPr>
        <w:t>备注：</w:t>
      </w:r>
      <w:r>
        <w:rPr>
          <w:rFonts w:cs="宋体"/>
          <w:sz w:val="20"/>
          <w:szCs w:val="20"/>
        </w:rPr>
        <w:t>1.</w:t>
      </w:r>
      <w:r>
        <w:rPr>
          <w:rFonts w:cs="宋体"/>
          <w:sz w:val="20"/>
          <w:szCs w:val="20"/>
        </w:rPr>
        <w:t>本表反映单位本年度一般公共预算财政拨款基本支出明细情况。</w:t>
      </w:r>
      <w:r>
        <w:rPr>
          <w:rFonts w:cs="宋体"/>
          <w:sz w:val="20"/>
          <w:szCs w:val="20"/>
        </w:rPr>
        <w:br/>
      </w:r>
      <w:r>
        <w:rPr>
          <w:rFonts w:cs="宋体"/>
          <w:sz w:val="20"/>
          <w:szCs w:val="20"/>
        </w:rPr>
        <w:t xml:space="preserve">      2.</w:t>
      </w:r>
      <w:r>
        <w:rPr>
          <w:rFonts w:cs="宋体"/>
          <w:sz w:val="20"/>
          <w:szCs w:val="20"/>
        </w:rPr>
        <w:t>本套报表金额单位转换时可能存在尾数误差。</w:t>
      </w:r>
      <w:r>
        <w:rPr>
          <w:rFonts w:cs="宋体"/>
          <w:sz w:val="20"/>
          <w:szCs w:val="20"/>
        </w:rPr>
        <w:br/>
      </w:r>
      <w:r>
        <w:rPr>
          <w:rFonts w:cs="宋体"/>
          <w:sz w:val="20"/>
          <w:szCs w:val="20"/>
        </w:rPr>
        <w:br/>
      </w:r>
      <w:r>
        <w:rPr>
          <w:rFonts w:cs="宋体"/>
          <w:sz w:val="21"/>
          <w:szCs w:val="21"/>
        </w:rPr>
        <w:br w:type="page"/>
      </w:r>
    </w:p>
    <w:tbl>
      <w:tblPr>
        <w:tblW w:w="15378" w:type="dxa"/>
        <w:tblLayout w:type="fixed"/>
        <w:tblCellMar>
          <w:left w:w="0" w:type="dxa"/>
          <w:right w:w="0" w:type="dxa"/>
        </w:tblCellMar>
        <w:tblLook w:val="04A0" w:firstRow="1" w:lastRow="0" w:firstColumn="1" w:lastColumn="0" w:noHBand="0" w:noVBand="1"/>
      </w:tblPr>
      <w:tblGrid>
        <w:gridCol w:w="1854"/>
        <w:gridCol w:w="3088"/>
        <w:gridCol w:w="1707"/>
        <w:gridCol w:w="1707"/>
        <w:gridCol w:w="1707"/>
        <w:gridCol w:w="1707"/>
        <w:gridCol w:w="1772"/>
        <w:gridCol w:w="1836"/>
      </w:tblGrid>
      <w:tr w:rsidR="00F530A1">
        <w:trPr>
          <w:trHeight w:val="644"/>
        </w:trPr>
        <w:tc>
          <w:tcPr>
            <w:tcW w:w="15378" w:type="dxa"/>
            <w:gridSpan w:val="8"/>
            <w:tcBorders>
              <w:top w:val="nil"/>
              <w:left w:val="nil"/>
              <w:bottom w:val="nil"/>
              <w:right w:val="nil"/>
            </w:tcBorders>
            <w:shd w:val="clear" w:color="auto" w:fill="auto"/>
            <w:noWrap/>
            <w:tcMar>
              <w:top w:w="15" w:type="dxa"/>
              <w:left w:w="15" w:type="dxa"/>
              <w:right w:w="15" w:type="dxa"/>
            </w:tcMar>
            <w:vAlign w:val="bottom"/>
          </w:tcPr>
          <w:p w:rsidR="00F530A1" w:rsidRDefault="00B77A9E">
            <w:pPr>
              <w:jc w:val="center"/>
              <w:textAlignment w:val="bottom"/>
              <w:rPr>
                <w:rFonts w:cs="宋体" w:hint="default"/>
                <w:b/>
                <w:sz w:val="32"/>
                <w:szCs w:val="32"/>
              </w:rPr>
            </w:pPr>
            <w:r>
              <w:rPr>
                <w:rFonts w:cs="宋体"/>
                <w:b/>
                <w:sz w:val="32"/>
                <w:szCs w:val="32"/>
              </w:rPr>
              <w:lastRenderedPageBreak/>
              <w:t>政府性基金预算财政拨款收入支出决算表</w:t>
            </w:r>
          </w:p>
        </w:tc>
      </w:tr>
      <w:tr w:rsidR="00F530A1">
        <w:trPr>
          <w:trHeight w:val="329"/>
        </w:trPr>
        <w:tc>
          <w:tcPr>
            <w:tcW w:w="6649" w:type="dxa"/>
            <w:gridSpan w:val="3"/>
            <w:vMerge w:val="restart"/>
            <w:tcBorders>
              <w:top w:val="nil"/>
              <w:left w:val="nil"/>
              <w:right w:val="nil"/>
            </w:tcBorders>
            <w:shd w:val="clear" w:color="auto" w:fill="auto"/>
            <w:noWrap/>
            <w:tcMar>
              <w:top w:w="15" w:type="dxa"/>
              <w:left w:w="15" w:type="dxa"/>
              <w:right w:w="15" w:type="dxa"/>
            </w:tcMar>
            <w:vAlign w:val="bottom"/>
          </w:tcPr>
          <w:p w:rsidR="00F530A1" w:rsidRDefault="00B77A9E">
            <w:pPr>
              <w:rPr>
                <w:rFonts w:cs="宋体" w:hint="default"/>
                <w:sz w:val="20"/>
                <w:szCs w:val="20"/>
              </w:rPr>
            </w:pPr>
            <w:r>
              <w:rPr>
                <w:rFonts w:cs="宋体"/>
                <w:sz w:val="20"/>
                <w:szCs w:val="20"/>
              </w:rPr>
              <w:t>公开单位：</w:t>
            </w:r>
            <w:r>
              <w:rPr>
                <w:rFonts w:cs="宋体"/>
                <w:sz w:val="20"/>
                <w:szCs w:val="20"/>
              </w:rPr>
              <w:t xml:space="preserve"> </w:t>
            </w:r>
            <w:r>
              <w:rPr>
                <w:sz w:val="20"/>
              </w:rPr>
              <w:t>重庆市丰都县教育委员会（本级）</w:t>
            </w:r>
          </w:p>
        </w:tc>
        <w:tc>
          <w:tcPr>
            <w:tcW w:w="1707"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707"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707"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772"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836" w:type="dxa"/>
            <w:tcBorders>
              <w:top w:val="nil"/>
              <w:left w:val="nil"/>
              <w:bottom w:val="nil"/>
              <w:right w:val="nil"/>
            </w:tcBorders>
            <w:shd w:val="clear" w:color="auto" w:fill="auto"/>
            <w:noWrap/>
            <w:tcMar>
              <w:top w:w="15" w:type="dxa"/>
              <w:left w:w="15" w:type="dxa"/>
              <w:right w:w="15" w:type="dxa"/>
            </w:tcMar>
            <w:vAlign w:val="bottom"/>
          </w:tcPr>
          <w:p w:rsidR="00F530A1" w:rsidRDefault="00B77A9E">
            <w:pPr>
              <w:jc w:val="right"/>
              <w:textAlignment w:val="bottom"/>
              <w:rPr>
                <w:rFonts w:cs="宋体" w:hint="default"/>
                <w:sz w:val="20"/>
                <w:szCs w:val="20"/>
              </w:rPr>
            </w:pPr>
            <w:r>
              <w:rPr>
                <w:rFonts w:cs="宋体"/>
                <w:sz w:val="20"/>
                <w:szCs w:val="20"/>
              </w:rPr>
              <w:t>公开</w:t>
            </w:r>
            <w:r>
              <w:rPr>
                <w:rFonts w:cs="宋体"/>
                <w:sz w:val="20"/>
                <w:szCs w:val="20"/>
              </w:rPr>
              <w:t>07</w:t>
            </w:r>
            <w:r>
              <w:rPr>
                <w:rFonts w:cs="宋体"/>
                <w:sz w:val="20"/>
                <w:szCs w:val="20"/>
              </w:rPr>
              <w:t>表</w:t>
            </w:r>
          </w:p>
        </w:tc>
      </w:tr>
      <w:tr w:rsidR="00F530A1">
        <w:trPr>
          <w:trHeight w:val="329"/>
        </w:trPr>
        <w:tc>
          <w:tcPr>
            <w:tcW w:w="6649" w:type="dxa"/>
            <w:gridSpan w:val="3"/>
            <w:vMerge/>
            <w:tcBorders>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707"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707"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707"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772" w:type="dxa"/>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1836" w:type="dxa"/>
            <w:tcBorders>
              <w:top w:val="nil"/>
              <w:left w:val="nil"/>
              <w:bottom w:val="nil"/>
              <w:right w:val="nil"/>
            </w:tcBorders>
            <w:shd w:val="clear" w:color="auto" w:fill="auto"/>
            <w:noWrap/>
            <w:tcMar>
              <w:top w:w="15" w:type="dxa"/>
              <w:left w:w="15" w:type="dxa"/>
              <w:right w:w="15" w:type="dxa"/>
            </w:tcMar>
            <w:vAlign w:val="bottom"/>
          </w:tcPr>
          <w:p w:rsidR="00F530A1" w:rsidRDefault="00B77A9E">
            <w:pPr>
              <w:jc w:val="right"/>
              <w:textAlignment w:val="bottom"/>
              <w:rPr>
                <w:rFonts w:cs="宋体" w:hint="default"/>
                <w:sz w:val="20"/>
                <w:szCs w:val="20"/>
              </w:rPr>
            </w:pPr>
            <w:r>
              <w:rPr>
                <w:rFonts w:cs="宋体"/>
                <w:sz w:val="20"/>
                <w:szCs w:val="20"/>
              </w:rPr>
              <w:t>单位：万元</w:t>
            </w:r>
          </w:p>
        </w:tc>
      </w:tr>
      <w:tr w:rsidR="00F530A1">
        <w:trPr>
          <w:trHeight w:val="339"/>
        </w:trPr>
        <w:tc>
          <w:tcPr>
            <w:tcW w:w="4942" w:type="dxa"/>
            <w:gridSpan w:val="2"/>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项目</w:t>
            </w:r>
          </w:p>
        </w:tc>
        <w:tc>
          <w:tcPr>
            <w:tcW w:w="1707" w:type="dxa"/>
            <w:vMerge w:val="restart"/>
            <w:tcBorders>
              <w:top w:val="single" w:sz="4" w:space="0" w:color="000000"/>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年初结转和结余</w:t>
            </w:r>
          </w:p>
        </w:tc>
        <w:tc>
          <w:tcPr>
            <w:tcW w:w="1707"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本年收入</w:t>
            </w:r>
          </w:p>
        </w:tc>
        <w:tc>
          <w:tcPr>
            <w:tcW w:w="5186" w:type="dxa"/>
            <w:gridSpan w:val="3"/>
            <w:tcBorders>
              <w:top w:val="single" w:sz="4" w:space="0" w:color="000000"/>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本年支出</w:t>
            </w:r>
          </w:p>
        </w:tc>
        <w:tc>
          <w:tcPr>
            <w:tcW w:w="1836"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年末结转和结余</w:t>
            </w:r>
          </w:p>
        </w:tc>
      </w:tr>
      <w:tr w:rsidR="00F530A1">
        <w:trPr>
          <w:trHeight w:val="335"/>
        </w:trPr>
        <w:tc>
          <w:tcPr>
            <w:tcW w:w="1854"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功能分类科目编码</w:t>
            </w:r>
          </w:p>
        </w:tc>
        <w:tc>
          <w:tcPr>
            <w:tcW w:w="3088" w:type="dxa"/>
            <w:vMerge w:val="restart"/>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项目（按“项”级功能分类科目）</w:t>
            </w:r>
          </w:p>
        </w:tc>
        <w:tc>
          <w:tcPr>
            <w:tcW w:w="1707" w:type="dxa"/>
            <w:vMerge/>
            <w:tcBorders>
              <w:top w:val="single" w:sz="4" w:space="0" w:color="000000"/>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70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707"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合计</w:t>
            </w:r>
          </w:p>
        </w:tc>
        <w:tc>
          <w:tcPr>
            <w:tcW w:w="1707"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基本支出</w:t>
            </w:r>
          </w:p>
        </w:tc>
        <w:tc>
          <w:tcPr>
            <w:tcW w:w="1772"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项目支出</w:t>
            </w:r>
          </w:p>
        </w:tc>
        <w:tc>
          <w:tcPr>
            <w:tcW w:w="183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r>
      <w:tr w:rsidR="00F530A1">
        <w:trPr>
          <w:trHeight w:val="335"/>
        </w:trPr>
        <w:tc>
          <w:tcPr>
            <w:tcW w:w="1854"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088"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707" w:type="dxa"/>
            <w:vMerge/>
            <w:tcBorders>
              <w:top w:val="single" w:sz="4" w:space="0" w:color="000000"/>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70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707"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707"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772"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83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r>
      <w:tr w:rsidR="00F530A1">
        <w:trPr>
          <w:trHeight w:val="645"/>
        </w:trPr>
        <w:tc>
          <w:tcPr>
            <w:tcW w:w="1854"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088"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707" w:type="dxa"/>
            <w:vMerge/>
            <w:tcBorders>
              <w:top w:val="single" w:sz="4" w:space="0" w:color="000000"/>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707"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707"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707"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772"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1836" w:type="dxa"/>
            <w:vMerge/>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r>
      <w:tr w:rsidR="00F530A1">
        <w:trPr>
          <w:trHeight w:val="339"/>
        </w:trPr>
        <w:tc>
          <w:tcPr>
            <w:tcW w:w="4942" w:type="dxa"/>
            <w:gridSpan w:val="2"/>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合计</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b/>
                <w:sz w:val="20"/>
              </w:rPr>
              <w:t xml:space="preserve"> </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b/>
                <w:sz w:val="20"/>
              </w:rPr>
              <w:t xml:space="preserve"> </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b/>
                <w:sz w:val="20"/>
              </w:rPr>
              <w:t xml:space="preserve"> </w:t>
            </w:r>
          </w:p>
        </w:tc>
        <w:tc>
          <w:tcPr>
            <w:tcW w:w="17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b/>
                <w:sz w:val="20"/>
              </w:rPr>
              <w:t xml:space="preserve"> </w:t>
            </w:r>
          </w:p>
        </w:tc>
        <w:tc>
          <w:tcPr>
            <w:tcW w:w="177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b/>
                <w:sz w:val="20"/>
              </w:rPr>
              <w:t xml:space="preserve"> </w:t>
            </w:r>
          </w:p>
        </w:tc>
        <w:tc>
          <w:tcPr>
            <w:tcW w:w="18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b/>
                <w:sz w:val="20"/>
              </w:rPr>
              <w:t xml:space="preserve"> </w:t>
            </w:r>
          </w:p>
        </w:tc>
      </w:tr>
    </w:tbl>
    <w:p w:rsidR="00F530A1" w:rsidRDefault="00B77A9E">
      <w:pPr>
        <w:rPr>
          <w:rFonts w:cs="宋体" w:hint="default"/>
          <w:sz w:val="21"/>
          <w:szCs w:val="21"/>
        </w:rPr>
      </w:pPr>
      <w:r>
        <w:rPr>
          <w:rFonts w:cs="宋体"/>
          <w:sz w:val="20"/>
          <w:szCs w:val="20"/>
        </w:rPr>
        <w:t>备注：本单位无政府性基金收支，故本表无数据。</w:t>
      </w:r>
      <w:r>
        <w:rPr>
          <w:rFonts w:cs="宋体"/>
          <w:sz w:val="20"/>
          <w:szCs w:val="20"/>
        </w:rPr>
        <w:br/>
      </w:r>
      <w:r>
        <w:rPr>
          <w:rFonts w:cs="宋体"/>
          <w:sz w:val="20"/>
          <w:szCs w:val="20"/>
        </w:rPr>
        <w:br/>
      </w:r>
    </w:p>
    <w:p w:rsidR="00F530A1" w:rsidRDefault="00B77A9E">
      <w:pPr>
        <w:rPr>
          <w:rFonts w:cs="宋体" w:hint="default"/>
          <w:sz w:val="21"/>
          <w:szCs w:val="21"/>
        </w:rPr>
      </w:pPr>
      <w:r>
        <w:rPr>
          <w:rFonts w:cs="宋体"/>
          <w:sz w:val="21"/>
          <w:szCs w:val="21"/>
        </w:rPr>
        <w:br w:type="page"/>
      </w:r>
    </w:p>
    <w:tbl>
      <w:tblPr>
        <w:tblW w:w="15378" w:type="dxa"/>
        <w:tblLayout w:type="fixed"/>
        <w:tblCellMar>
          <w:left w:w="0" w:type="dxa"/>
          <w:right w:w="0" w:type="dxa"/>
        </w:tblCellMar>
        <w:tblLook w:val="04A0" w:firstRow="1" w:lastRow="0" w:firstColumn="1" w:lastColumn="0" w:noHBand="0" w:noVBand="1"/>
      </w:tblPr>
      <w:tblGrid>
        <w:gridCol w:w="1882"/>
        <w:gridCol w:w="3060"/>
        <w:gridCol w:w="3276"/>
        <w:gridCol w:w="200"/>
        <w:gridCol w:w="3475"/>
        <w:gridCol w:w="77"/>
        <w:gridCol w:w="3408"/>
      </w:tblGrid>
      <w:tr w:rsidR="00F530A1">
        <w:trPr>
          <w:trHeight w:val="650"/>
        </w:trPr>
        <w:tc>
          <w:tcPr>
            <w:tcW w:w="15378" w:type="dxa"/>
            <w:gridSpan w:val="7"/>
            <w:tcBorders>
              <w:top w:val="nil"/>
              <w:left w:val="nil"/>
              <w:bottom w:val="nil"/>
              <w:right w:val="nil"/>
            </w:tcBorders>
            <w:shd w:val="clear" w:color="auto" w:fill="auto"/>
            <w:noWrap/>
            <w:tcMar>
              <w:top w:w="15" w:type="dxa"/>
              <w:left w:w="15" w:type="dxa"/>
              <w:right w:w="15" w:type="dxa"/>
            </w:tcMar>
            <w:vAlign w:val="bottom"/>
          </w:tcPr>
          <w:p w:rsidR="00F530A1" w:rsidRDefault="00B77A9E">
            <w:pPr>
              <w:jc w:val="center"/>
              <w:textAlignment w:val="bottom"/>
              <w:rPr>
                <w:rFonts w:cs="宋体" w:hint="default"/>
                <w:b/>
                <w:sz w:val="32"/>
                <w:szCs w:val="32"/>
              </w:rPr>
            </w:pPr>
            <w:r>
              <w:rPr>
                <w:rFonts w:cs="宋体"/>
                <w:b/>
                <w:sz w:val="32"/>
                <w:szCs w:val="32"/>
              </w:rPr>
              <w:lastRenderedPageBreak/>
              <w:t>国有资本经营预算财政拨款支出决算表</w:t>
            </w:r>
          </w:p>
        </w:tc>
      </w:tr>
      <w:tr w:rsidR="00F530A1">
        <w:trPr>
          <w:trHeight w:val="332"/>
        </w:trPr>
        <w:tc>
          <w:tcPr>
            <w:tcW w:w="8218" w:type="dxa"/>
            <w:gridSpan w:val="3"/>
            <w:vMerge w:val="restart"/>
            <w:tcBorders>
              <w:top w:val="nil"/>
              <w:left w:val="nil"/>
              <w:right w:val="nil"/>
            </w:tcBorders>
            <w:shd w:val="clear" w:color="auto" w:fill="auto"/>
            <w:noWrap/>
            <w:tcMar>
              <w:top w:w="15" w:type="dxa"/>
              <w:left w:w="15" w:type="dxa"/>
              <w:right w:w="15" w:type="dxa"/>
            </w:tcMar>
            <w:vAlign w:val="bottom"/>
          </w:tcPr>
          <w:p w:rsidR="00F530A1" w:rsidRDefault="00B77A9E">
            <w:pPr>
              <w:rPr>
                <w:rFonts w:cs="宋体" w:hint="default"/>
                <w:sz w:val="20"/>
                <w:szCs w:val="20"/>
              </w:rPr>
            </w:pPr>
            <w:r>
              <w:rPr>
                <w:rFonts w:cs="宋体"/>
                <w:sz w:val="20"/>
                <w:szCs w:val="20"/>
              </w:rPr>
              <w:t>公开单位：</w:t>
            </w:r>
            <w:r>
              <w:rPr>
                <w:rFonts w:cs="宋体"/>
                <w:sz w:val="20"/>
                <w:szCs w:val="20"/>
              </w:rPr>
              <w:t xml:space="preserve"> </w:t>
            </w:r>
            <w:r>
              <w:rPr>
                <w:sz w:val="20"/>
              </w:rPr>
              <w:t>重庆市丰都县教育委员会（本级）</w:t>
            </w:r>
          </w:p>
        </w:tc>
        <w:tc>
          <w:tcPr>
            <w:tcW w:w="3752" w:type="dxa"/>
            <w:gridSpan w:val="3"/>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3408" w:type="dxa"/>
            <w:tcBorders>
              <w:top w:val="nil"/>
              <w:left w:val="nil"/>
              <w:bottom w:val="nil"/>
              <w:right w:val="nil"/>
            </w:tcBorders>
            <w:shd w:val="clear" w:color="auto" w:fill="auto"/>
            <w:noWrap/>
            <w:tcMar>
              <w:top w:w="15" w:type="dxa"/>
              <w:left w:w="15" w:type="dxa"/>
              <w:right w:w="15" w:type="dxa"/>
            </w:tcMar>
            <w:vAlign w:val="bottom"/>
          </w:tcPr>
          <w:p w:rsidR="00F530A1" w:rsidRDefault="00B77A9E">
            <w:pPr>
              <w:jc w:val="right"/>
              <w:textAlignment w:val="bottom"/>
              <w:rPr>
                <w:rFonts w:cs="宋体" w:hint="default"/>
                <w:sz w:val="20"/>
                <w:szCs w:val="20"/>
              </w:rPr>
            </w:pPr>
            <w:r>
              <w:rPr>
                <w:rFonts w:cs="宋体"/>
                <w:sz w:val="20"/>
                <w:szCs w:val="20"/>
              </w:rPr>
              <w:t>公开</w:t>
            </w:r>
            <w:r>
              <w:rPr>
                <w:rFonts w:cs="宋体"/>
                <w:sz w:val="20"/>
                <w:szCs w:val="20"/>
              </w:rPr>
              <w:t>08</w:t>
            </w:r>
            <w:r>
              <w:rPr>
                <w:rFonts w:cs="宋体"/>
                <w:sz w:val="20"/>
                <w:szCs w:val="20"/>
              </w:rPr>
              <w:t>表</w:t>
            </w:r>
          </w:p>
        </w:tc>
      </w:tr>
      <w:tr w:rsidR="00F530A1">
        <w:trPr>
          <w:trHeight w:val="332"/>
        </w:trPr>
        <w:tc>
          <w:tcPr>
            <w:tcW w:w="8218" w:type="dxa"/>
            <w:gridSpan w:val="3"/>
            <w:vMerge/>
            <w:tcBorders>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3752" w:type="dxa"/>
            <w:gridSpan w:val="3"/>
            <w:tcBorders>
              <w:top w:val="nil"/>
              <w:left w:val="nil"/>
              <w:bottom w:val="nil"/>
              <w:right w:val="nil"/>
            </w:tcBorders>
            <w:shd w:val="clear" w:color="auto" w:fill="auto"/>
            <w:noWrap/>
            <w:tcMar>
              <w:top w:w="15" w:type="dxa"/>
              <w:left w:w="15" w:type="dxa"/>
              <w:right w:w="15" w:type="dxa"/>
            </w:tcMar>
            <w:vAlign w:val="bottom"/>
          </w:tcPr>
          <w:p w:rsidR="00F530A1" w:rsidRDefault="00F530A1">
            <w:pPr>
              <w:rPr>
                <w:rFonts w:cs="宋体" w:hint="default"/>
                <w:sz w:val="20"/>
                <w:szCs w:val="20"/>
              </w:rPr>
            </w:pPr>
          </w:p>
        </w:tc>
        <w:tc>
          <w:tcPr>
            <w:tcW w:w="3408" w:type="dxa"/>
            <w:tcBorders>
              <w:top w:val="nil"/>
              <w:left w:val="nil"/>
              <w:bottom w:val="nil"/>
              <w:right w:val="nil"/>
            </w:tcBorders>
            <w:shd w:val="clear" w:color="auto" w:fill="auto"/>
            <w:noWrap/>
            <w:tcMar>
              <w:top w:w="15" w:type="dxa"/>
              <w:left w:w="15" w:type="dxa"/>
              <w:right w:w="15" w:type="dxa"/>
            </w:tcMar>
            <w:vAlign w:val="bottom"/>
          </w:tcPr>
          <w:p w:rsidR="00F530A1" w:rsidRDefault="00B77A9E">
            <w:pPr>
              <w:jc w:val="right"/>
              <w:textAlignment w:val="bottom"/>
              <w:rPr>
                <w:rFonts w:cs="宋体" w:hint="default"/>
                <w:sz w:val="20"/>
                <w:szCs w:val="20"/>
              </w:rPr>
            </w:pPr>
            <w:r>
              <w:rPr>
                <w:rFonts w:cs="宋体"/>
                <w:sz w:val="20"/>
                <w:szCs w:val="20"/>
              </w:rPr>
              <w:t>单位：万元</w:t>
            </w:r>
          </w:p>
        </w:tc>
      </w:tr>
      <w:tr w:rsidR="00F530A1">
        <w:trPr>
          <w:trHeight w:val="422"/>
        </w:trPr>
        <w:tc>
          <w:tcPr>
            <w:tcW w:w="4942" w:type="dxa"/>
            <w:gridSpan w:val="2"/>
            <w:tcBorders>
              <w:top w:val="single" w:sz="4" w:space="0" w:color="000000"/>
              <w:left w:val="single" w:sz="4" w:space="0" w:color="000000"/>
              <w:bottom w:val="single" w:sz="4" w:space="0" w:color="000000"/>
              <w:right w:val="single" w:sz="4" w:space="0" w:color="000000"/>
            </w:tcBorders>
            <w:shd w:val="clear" w:color="auto" w:fill="C0C0C0"/>
            <w:noWrap/>
            <w:tcMar>
              <w:top w:w="15" w:type="dxa"/>
              <w:left w:w="15" w:type="dxa"/>
              <w:right w:w="15" w:type="dxa"/>
            </w:tcMar>
            <w:vAlign w:val="bottom"/>
          </w:tcPr>
          <w:p w:rsidR="00F530A1" w:rsidRDefault="00B77A9E">
            <w:pPr>
              <w:jc w:val="center"/>
              <w:textAlignment w:val="bottom"/>
              <w:rPr>
                <w:rFonts w:cs="宋体" w:hint="default"/>
                <w:b/>
                <w:sz w:val="20"/>
                <w:szCs w:val="20"/>
              </w:rPr>
            </w:pPr>
            <w:r>
              <w:rPr>
                <w:rFonts w:cs="宋体"/>
                <w:b/>
                <w:sz w:val="20"/>
                <w:szCs w:val="20"/>
              </w:rPr>
              <w:t>项目</w:t>
            </w:r>
          </w:p>
        </w:tc>
        <w:tc>
          <w:tcPr>
            <w:tcW w:w="10436" w:type="dxa"/>
            <w:gridSpan w:val="5"/>
            <w:tcBorders>
              <w:top w:val="single" w:sz="4" w:space="0" w:color="000000"/>
              <w:left w:val="single" w:sz="4" w:space="0" w:color="000000"/>
              <w:bottom w:val="single" w:sz="4" w:space="0" w:color="000000"/>
              <w:right w:val="single" w:sz="4" w:space="0" w:color="000000"/>
            </w:tcBorders>
            <w:shd w:val="clear" w:color="auto" w:fill="C0C0C0"/>
            <w:noWrap/>
            <w:tcMar>
              <w:top w:w="15" w:type="dxa"/>
              <w:left w:w="15" w:type="dxa"/>
              <w:right w:w="15" w:type="dxa"/>
            </w:tcMar>
            <w:vAlign w:val="bottom"/>
          </w:tcPr>
          <w:p w:rsidR="00F530A1" w:rsidRDefault="00B77A9E">
            <w:pPr>
              <w:jc w:val="center"/>
              <w:textAlignment w:val="bottom"/>
              <w:rPr>
                <w:rFonts w:cs="宋体" w:hint="default"/>
                <w:b/>
                <w:sz w:val="20"/>
                <w:szCs w:val="20"/>
              </w:rPr>
            </w:pPr>
            <w:r>
              <w:rPr>
                <w:rFonts w:cs="宋体"/>
                <w:b/>
                <w:sz w:val="20"/>
                <w:szCs w:val="20"/>
              </w:rPr>
              <w:t>本年支出</w:t>
            </w:r>
          </w:p>
        </w:tc>
      </w:tr>
      <w:tr w:rsidR="00F530A1">
        <w:trPr>
          <w:trHeight w:val="339"/>
        </w:trPr>
        <w:tc>
          <w:tcPr>
            <w:tcW w:w="1882" w:type="dxa"/>
            <w:vMerge w:val="restart"/>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功能分类科目编码</w:t>
            </w:r>
          </w:p>
        </w:tc>
        <w:tc>
          <w:tcPr>
            <w:tcW w:w="3060"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科目名称</w:t>
            </w:r>
          </w:p>
        </w:tc>
        <w:tc>
          <w:tcPr>
            <w:tcW w:w="3476" w:type="dxa"/>
            <w:gridSpan w:val="2"/>
            <w:vMerge w:val="restart"/>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合计</w:t>
            </w:r>
          </w:p>
        </w:tc>
        <w:tc>
          <w:tcPr>
            <w:tcW w:w="3475" w:type="dxa"/>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基本支出</w:t>
            </w:r>
          </w:p>
        </w:tc>
        <w:tc>
          <w:tcPr>
            <w:tcW w:w="3485" w:type="dxa"/>
            <w:gridSpan w:val="2"/>
            <w:vMerge w:val="restart"/>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项目支出</w:t>
            </w:r>
          </w:p>
        </w:tc>
      </w:tr>
      <w:tr w:rsidR="00F530A1">
        <w:trPr>
          <w:trHeight w:val="339"/>
        </w:trPr>
        <w:tc>
          <w:tcPr>
            <w:tcW w:w="1882" w:type="dxa"/>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060"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476" w:type="dxa"/>
            <w:gridSpan w:val="2"/>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475"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485" w:type="dxa"/>
            <w:gridSpan w:val="2"/>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r>
      <w:tr w:rsidR="00F530A1">
        <w:trPr>
          <w:trHeight w:val="339"/>
        </w:trPr>
        <w:tc>
          <w:tcPr>
            <w:tcW w:w="1882" w:type="dxa"/>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060"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476" w:type="dxa"/>
            <w:gridSpan w:val="2"/>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475"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485" w:type="dxa"/>
            <w:gridSpan w:val="2"/>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r>
      <w:tr w:rsidR="00F530A1">
        <w:trPr>
          <w:trHeight w:val="326"/>
        </w:trPr>
        <w:tc>
          <w:tcPr>
            <w:tcW w:w="1882" w:type="dxa"/>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060"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476" w:type="dxa"/>
            <w:gridSpan w:val="2"/>
            <w:vMerge/>
            <w:tcBorders>
              <w:top w:val="nil"/>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475" w:type="dxa"/>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c>
          <w:tcPr>
            <w:tcW w:w="3485" w:type="dxa"/>
            <w:gridSpan w:val="2"/>
            <w:vMerge/>
            <w:tcBorders>
              <w:top w:val="nil"/>
              <w:left w:val="nil"/>
              <w:bottom w:val="single" w:sz="4" w:space="0" w:color="000000"/>
              <w:right w:val="single" w:sz="4" w:space="0" w:color="000000"/>
            </w:tcBorders>
            <w:shd w:val="clear" w:color="FFFFFF" w:fill="C0C0C0"/>
            <w:tcMar>
              <w:top w:w="15" w:type="dxa"/>
              <w:left w:w="15" w:type="dxa"/>
              <w:right w:w="15" w:type="dxa"/>
            </w:tcMar>
            <w:vAlign w:val="center"/>
          </w:tcPr>
          <w:p w:rsidR="00F530A1" w:rsidRDefault="00F530A1">
            <w:pPr>
              <w:jc w:val="center"/>
              <w:rPr>
                <w:rFonts w:cs="宋体" w:hint="default"/>
                <w:b/>
                <w:sz w:val="20"/>
                <w:szCs w:val="20"/>
              </w:rPr>
            </w:pPr>
          </w:p>
        </w:tc>
      </w:tr>
      <w:tr w:rsidR="00F530A1">
        <w:trPr>
          <w:trHeight w:val="611"/>
        </w:trPr>
        <w:tc>
          <w:tcPr>
            <w:tcW w:w="4942" w:type="dxa"/>
            <w:gridSpan w:val="2"/>
            <w:tcBorders>
              <w:top w:val="single" w:sz="4" w:space="0" w:color="000000"/>
              <w:left w:val="single" w:sz="4" w:space="0" w:color="000000"/>
              <w:bottom w:val="single" w:sz="4" w:space="0" w:color="000000"/>
              <w:right w:val="single" w:sz="4" w:space="0" w:color="000000"/>
            </w:tcBorders>
            <w:shd w:val="clear" w:color="FFFFFF" w:fill="C0C0C0"/>
            <w:tcMar>
              <w:top w:w="15" w:type="dxa"/>
              <w:left w:w="15" w:type="dxa"/>
              <w:right w:w="15" w:type="dxa"/>
            </w:tcMar>
            <w:vAlign w:val="center"/>
          </w:tcPr>
          <w:p w:rsidR="00F530A1" w:rsidRDefault="00B77A9E">
            <w:pPr>
              <w:jc w:val="center"/>
              <w:textAlignment w:val="center"/>
              <w:rPr>
                <w:rFonts w:cs="宋体" w:hint="default"/>
                <w:b/>
                <w:sz w:val="20"/>
                <w:szCs w:val="20"/>
              </w:rPr>
            </w:pPr>
            <w:r>
              <w:rPr>
                <w:rFonts w:cs="宋体"/>
                <w:b/>
                <w:sz w:val="20"/>
                <w:szCs w:val="20"/>
              </w:rPr>
              <w:t>合计</w:t>
            </w:r>
          </w:p>
        </w:tc>
        <w:tc>
          <w:tcPr>
            <w:tcW w:w="3476"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b/>
                <w:sz w:val="20"/>
              </w:rPr>
              <w:t xml:space="preserve"> </w:t>
            </w:r>
          </w:p>
        </w:tc>
        <w:tc>
          <w:tcPr>
            <w:tcW w:w="347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F530A1">
            <w:pPr>
              <w:jc w:val="right"/>
              <w:rPr>
                <w:rFonts w:cs="宋体" w:hint="default"/>
                <w:b/>
                <w:sz w:val="20"/>
                <w:szCs w:val="20"/>
              </w:rPr>
            </w:pPr>
          </w:p>
        </w:tc>
        <w:tc>
          <w:tcPr>
            <w:tcW w:w="3485"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F530A1" w:rsidRDefault="00B77A9E">
            <w:pPr>
              <w:wordWrap w:val="0"/>
              <w:jc w:val="right"/>
              <w:textAlignment w:val="center"/>
              <w:rPr>
                <w:rFonts w:cs="宋体" w:hint="default"/>
                <w:b/>
                <w:sz w:val="20"/>
                <w:szCs w:val="20"/>
              </w:rPr>
            </w:pPr>
            <w:r>
              <w:rPr>
                <w:b/>
                <w:sz w:val="20"/>
              </w:rPr>
              <w:t xml:space="preserve"> </w:t>
            </w:r>
          </w:p>
        </w:tc>
      </w:tr>
    </w:tbl>
    <w:p w:rsidR="00F530A1" w:rsidRDefault="00B77A9E">
      <w:pPr>
        <w:rPr>
          <w:rFonts w:cs="宋体" w:hint="default"/>
          <w:sz w:val="21"/>
          <w:szCs w:val="21"/>
        </w:rPr>
      </w:pPr>
      <w:r>
        <w:rPr>
          <w:rFonts w:cs="宋体"/>
          <w:sz w:val="20"/>
          <w:szCs w:val="20"/>
        </w:rPr>
        <w:t>备注：本单位无国有资本经营收支，故本表无数据。</w:t>
      </w:r>
      <w:r>
        <w:rPr>
          <w:rFonts w:cs="宋体"/>
          <w:sz w:val="20"/>
          <w:szCs w:val="20"/>
        </w:rPr>
        <w:br/>
      </w:r>
      <w:r>
        <w:rPr>
          <w:rFonts w:cs="宋体"/>
          <w:sz w:val="20"/>
          <w:szCs w:val="20"/>
        </w:rPr>
        <w:br/>
      </w:r>
      <w:r>
        <w:rPr>
          <w:rFonts w:cs="宋体" w:hint="default"/>
          <w:sz w:val="21"/>
          <w:szCs w:val="21"/>
        </w:rPr>
        <w:br w:type="page"/>
      </w:r>
    </w:p>
    <w:tbl>
      <w:tblPr>
        <w:tblW w:w="15000" w:type="dxa"/>
        <w:tblLayout w:type="fixed"/>
        <w:tblCellMar>
          <w:left w:w="170" w:type="dxa"/>
          <w:right w:w="170" w:type="dxa"/>
        </w:tblCellMar>
        <w:tblLook w:val="04A0" w:firstRow="1" w:lastRow="0" w:firstColumn="1" w:lastColumn="0" w:noHBand="0" w:noVBand="1"/>
      </w:tblPr>
      <w:tblGrid>
        <w:gridCol w:w="4041"/>
        <w:gridCol w:w="2166"/>
        <w:gridCol w:w="2115"/>
        <w:gridCol w:w="4524"/>
        <w:gridCol w:w="2154"/>
      </w:tblGrid>
      <w:tr w:rsidR="00F530A1">
        <w:trPr>
          <w:trHeight w:val="343"/>
        </w:trPr>
        <w:tc>
          <w:tcPr>
            <w:tcW w:w="15000" w:type="dxa"/>
            <w:gridSpan w:val="5"/>
            <w:tcBorders>
              <w:top w:val="nil"/>
              <w:left w:val="nil"/>
              <w:bottom w:val="nil"/>
              <w:right w:val="nil"/>
            </w:tcBorders>
            <w:shd w:val="clear" w:color="auto" w:fill="auto"/>
            <w:noWrap/>
            <w:tcMar>
              <w:top w:w="15" w:type="dxa"/>
              <w:left w:w="15" w:type="dxa"/>
              <w:right w:w="15" w:type="dxa"/>
            </w:tcMar>
            <w:vAlign w:val="bottom"/>
          </w:tcPr>
          <w:p w:rsidR="00F530A1" w:rsidRDefault="00B77A9E">
            <w:pPr>
              <w:spacing w:line="400" w:lineRule="exact"/>
              <w:jc w:val="center"/>
              <w:textAlignment w:val="bottom"/>
              <w:rPr>
                <w:rFonts w:cs="宋体" w:hint="default"/>
                <w:b/>
                <w:sz w:val="32"/>
                <w:szCs w:val="32"/>
              </w:rPr>
            </w:pPr>
            <w:r>
              <w:rPr>
                <w:rFonts w:cs="宋体"/>
                <w:b/>
                <w:sz w:val="32"/>
                <w:szCs w:val="32"/>
              </w:rPr>
              <w:lastRenderedPageBreak/>
              <w:t>机构运行信息表</w:t>
            </w:r>
          </w:p>
        </w:tc>
      </w:tr>
      <w:tr w:rsidR="00F530A1">
        <w:trPr>
          <w:trHeight w:val="244"/>
        </w:trPr>
        <w:tc>
          <w:tcPr>
            <w:tcW w:w="4041"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80" w:lineRule="exact"/>
              <w:rPr>
                <w:rFonts w:cs="宋体" w:hint="default"/>
                <w:sz w:val="20"/>
                <w:szCs w:val="20"/>
              </w:rPr>
            </w:pPr>
          </w:p>
        </w:tc>
        <w:tc>
          <w:tcPr>
            <w:tcW w:w="2166"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80" w:lineRule="exact"/>
              <w:jc w:val="center"/>
              <w:rPr>
                <w:rFonts w:cs="宋体" w:hint="default"/>
                <w:sz w:val="20"/>
                <w:szCs w:val="20"/>
              </w:rPr>
            </w:pPr>
          </w:p>
        </w:tc>
        <w:tc>
          <w:tcPr>
            <w:tcW w:w="2115"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80" w:lineRule="exact"/>
              <w:jc w:val="right"/>
              <w:rPr>
                <w:rFonts w:cs="宋体" w:hint="default"/>
                <w:sz w:val="20"/>
                <w:szCs w:val="20"/>
              </w:rPr>
            </w:pPr>
          </w:p>
        </w:tc>
        <w:tc>
          <w:tcPr>
            <w:tcW w:w="4524" w:type="dxa"/>
            <w:tcBorders>
              <w:top w:val="nil"/>
              <w:left w:val="nil"/>
              <w:bottom w:val="nil"/>
              <w:right w:val="nil"/>
            </w:tcBorders>
            <w:shd w:val="clear" w:color="auto" w:fill="auto"/>
            <w:noWrap/>
            <w:tcMar>
              <w:top w:w="15" w:type="dxa"/>
              <w:left w:w="15" w:type="dxa"/>
              <w:right w:w="15" w:type="dxa"/>
            </w:tcMar>
            <w:vAlign w:val="bottom"/>
          </w:tcPr>
          <w:p w:rsidR="00F530A1" w:rsidRDefault="00F530A1">
            <w:pPr>
              <w:spacing w:line="280" w:lineRule="exact"/>
              <w:rPr>
                <w:rFonts w:cs="宋体" w:hint="default"/>
                <w:sz w:val="20"/>
                <w:szCs w:val="20"/>
              </w:rPr>
            </w:pPr>
          </w:p>
        </w:tc>
        <w:tc>
          <w:tcPr>
            <w:tcW w:w="2154" w:type="dxa"/>
            <w:tcBorders>
              <w:top w:val="nil"/>
              <w:left w:val="nil"/>
              <w:bottom w:val="nil"/>
              <w:right w:val="nil"/>
            </w:tcBorders>
            <w:shd w:val="clear" w:color="auto" w:fill="auto"/>
            <w:noWrap/>
            <w:tcMar>
              <w:top w:w="15" w:type="dxa"/>
              <w:left w:w="15" w:type="dxa"/>
              <w:right w:w="15" w:type="dxa"/>
            </w:tcMar>
            <w:vAlign w:val="bottom"/>
          </w:tcPr>
          <w:p w:rsidR="00F530A1" w:rsidRDefault="00B77A9E">
            <w:pPr>
              <w:spacing w:line="280" w:lineRule="exact"/>
              <w:jc w:val="right"/>
              <w:textAlignment w:val="bottom"/>
              <w:rPr>
                <w:rFonts w:cs="宋体" w:hint="default"/>
                <w:sz w:val="20"/>
                <w:szCs w:val="20"/>
              </w:rPr>
            </w:pPr>
            <w:r>
              <w:rPr>
                <w:rFonts w:cs="宋体"/>
                <w:sz w:val="20"/>
                <w:szCs w:val="20"/>
              </w:rPr>
              <w:t>公开</w:t>
            </w:r>
            <w:r>
              <w:rPr>
                <w:rFonts w:cs="宋体"/>
                <w:sz w:val="20"/>
                <w:szCs w:val="20"/>
              </w:rPr>
              <w:t>09</w:t>
            </w:r>
            <w:r>
              <w:rPr>
                <w:rFonts w:cs="宋体"/>
                <w:sz w:val="20"/>
                <w:szCs w:val="20"/>
              </w:rPr>
              <w:t>表</w:t>
            </w:r>
          </w:p>
        </w:tc>
      </w:tr>
      <w:tr w:rsidR="00F530A1">
        <w:trPr>
          <w:trHeight w:val="244"/>
        </w:trPr>
        <w:tc>
          <w:tcPr>
            <w:tcW w:w="6207" w:type="dxa"/>
            <w:gridSpan w:val="2"/>
            <w:tcBorders>
              <w:top w:val="nil"/>
              <w:left w:val="nil"/>
              <w:bottom w:val="single" w:sz="4" w:space="0" w:color="auto"/>
              <w:right w:val="nil"/>
            </w:tcBorders>
            <w:shd w:val="clear" w:color="auto" w:fill="auto"/>
            <w:noWrap/>
            <w:tcMar>
              <w:top w:w="15" w:type="dxa"/>
              <w:left w:w="15" w:type="dxa"/>
              <w:right w:w="15" w:type="dxa"/>
            </w:tcMar>
            <w:vAlign w:val="bottom"/>
          </w:tcPr>
          <w:p w:rsidR="00F530A1" w:rsidRDefault="00B77A9E">
            <w:pPr>
              <w:spacing w:line="280" w:lineRule="exact"/>
              <w:rPr>
                <w:rFonts w:cs="宋体" w:hint="default"/>
                <w:sz w:val="20"/>
                <w:szCs w:val="20"/>
              </w:rPr>
            </w:pPr>
            <w:r>
              <w:rPr>
                <w:rFonts w:cs="宋体"/>
                <w:sz w:val="20"/>
                <w:szCs w:val="20"/>
              </w:rPr>
              <w:t>公开单位：</w:t>
            </w:r>
            <w:r>
              <w:rPr>
                <w:rFonts w:cs="宋体"/>
                <w:sz w:val="20"/>
                <w:szCs w:val="20"/>
              </w:rPr>
              <w:t xml:space="preserve"> </w:t>
            </w:r>
            <w:r>
              <w:rPr>
                <w:sz w:val="20"/>
              </w:rPr>
              <w:t>重庆市丰都县教育委员会（本级）</w:t>
            </w:r>
          </w:p>
        </w:tc>
        <w:tc>
          <w:tcPr>
            <w:tcW w:w="2115" w:type="dxa"/>
            <w:tcBorders>
              <w:top w:val="nil"/>
              <w:left w:val="nil"/>
              <w:bottom w:val="single" w:sz="4" w:space="0" w:color="auto"/>
              <w:right w:val="nil"/>
            </w:tcBorders>
            <w:shd w:val="clear" w:color="auto" w:fill="auto"/>
            <w:noWrap/>
            <w:tcMar>
              <w:top w:w="15" w:type="dxa"/>
              <w:left w:w="15" w:type="dxa"/>
              <w:right w:w="15" w:type="dxa"/>
            </w:tcMar>
            <w:vAlign w:val="bottom"/>
          </w:tcPr>
          <w:p w:rsidR="00F530A1" w:rsidRDefault="00F530A1">
            <w:pPr>
              <w:spacing w:line="280" w:lineRule="exact"/>
              <w:jc w:val="right"/>
              <w:rPr>
                <w:rFonts w:cs="宋体" w:hint="default"/>
                <w:sz w:val="20"/>
                <w:szCs w:val="20"/>
              </w:rPr>
            </w:pPr>
          </w:p>
        </w:tc>
        <w:tc>
          <w:tcPr>
            <w:tcW w:w="4524" w:type="dxa"/>
            <w:tcBorders>
              <w:top w:val="nil"/>
              <w:left w:val="nil"/>
              <w:bottom w:val="single" w:sz="4" w:space="0" w:color="auto"/>
              <w:right w:val="nil"/>
            </w:tcBorders>
            <w:shd w:val="clear" w:color="auto" w:fill="auto"/>
            <w:noWrap/>
            <w:tcMar>
              <w:top w:w="15" w:type="dxa"/>
              <w:left w:w="15" w:type="dxa"/>
              <w:right w:w="15" w:type="dxa"/>
            </w:tcMar>
            <w:vAlign w:val="bottom"/>
          </w:tcPr>
          <w:p w:rsidR="00F530A1" w:rsidRDefault="00F530A1">
            <w:pPr>
              <w:spacing w:line="280" w:lineRule="exact"/>
              <w:rPr>
                <w:rFonts w:cs="宋体" w:hint="default"/>
                <w:sz w:val="20"/>
                <w:szCs w:val="20"/>
              </w:rPr>
            </w:pPr>
          </w:p>
        </w:tc>
        <w:tc>
          <w:tcPr>
            <w:tcW w:w="2154" w:type="dxa"/>
            <w:tcBorders>
              <w:top w:val="nil"/>
              <w:left w:val="nil"/>
              <w:bottom w:val="single" w:sz="4" w:space="0" w:color="auto"/>
              <w:right w:val="nil"/>
            </w:tcBorders>
            <w:shd w:val="clear" w:color="auto" w:fill="auto"/>
            <w:noWrap/>
            <w:tcMar>
              <w:top w:w="15" w:type="dxa"/>
              <w:left w:w="15" w:type="dxa"/>
              <w:right w:w="15" w:type="dxa"/>
            </w:tcMar>
            <w:vAlign w:val="bottom"/>
          </w:tcPr>
          <w:p w:rsidR="00F530A1" w:rsidRDefault="00B77A9E">
            <w:pPr>
              <w:spacing w:line="280" w:lineRule="exact"/>
              <w:jc w:val="right"/>
              <w:textAlignment w:val="bottom"/>
              <w:rPr>
                <w:rFonts w:cs="宋体" w:hint="default"/>
                <w:sz w:val="20"/>
                <w:szCs w:val="20"/>
              </w:rPr>
            </w:pPr>
            <w:r>
              <w:rPr>
                <w:rFonts w:cs="宋体"/>
                <w:sz w:val="20"/>
                <w:szCs w:val="20"/>
              </w:rPr>
              <w:t>单位：万元</w:t>
            </w:r>
          </w:p>
        </w:tc>
      </w:tr>
      <w:tr w:rsidR="00F530A1">
        <w:trPr>
          <w:trHeight w:val="28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6"/>
                <w:szCs w:val="16"/>
              </w:rPr>
            </w:pPr>
            <w:r>
              <w:rPr>
                <w:rFonts w:cs="宋体"/>
                <w:b/>
                <w:sz w:val="16"/>
                <w:szCs w:val="16"/>
              </w:rPr>
              <w:t>项</w:t>
            </w:r>
            <w:r>
              <w:rPr>
                <w:rFonts w:cs="宋体"/>
                <w:b/>
                <w:sz w:val="16"/>
                <w:szCs w:val="16"/>
              </w:rPr>
              <w:t xml:space="preserve">  </w:t>
            </w:r>
            <w:r>
              <w:rPr>
                <w:rFonts w:cs="宋体"/>
                <w:b/>
                <w:sz w:val="16"/>
                <w:szCs w:val="16"/>
              </w:rPr>
              <w:t>目</w:t>
            </w:r>
          </w:p>
        </w:tc>
        <w:tc>
          <w:tcPr>
            <w:tcW w:w="2166"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6"/>
                <w:szCs w:val="16"/>
              </w:rPr>
            </w:pPr>
            <w:r>
              <w:rPr>
                <w:rFonts w:cs="宋体"/>
                <w:b/>
                <w:sz w:val="16"/>
                <w:szCs w:val="16"/>
              </w:rPr>
              <w:t>预算数</w:t>
            </w:r>
          </w:p>
        </w:tc>
        <w:tc>
          <w:tcPr>
            <w:tcW w:w="2115"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6"/>
                <w:szCs w:val="16"/>
              </w:rPr>
            </w:pPr>
            <w:r>
              <w:rPr>
                <w:rFonts w:cs="宋体"/>
                <w:b/>
                <w:sz w:val="16"/>
                <w:szCs w:val="16"/>
              </w:rPr>
              <w:t>决算数</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6"/>
                <w:szCs w:val="16"/>
              </w:rPr>
            </w:pPr>
            <w:r>
              <w:rPr>
                <w:rFonts w:cs="宋体"/>
                <w:b/>
                <w:sz w:val="16"/>
                <w:szCs w:val="16"/>
              </w:rPr>
              <w:t>项</w:t>
            </w:r>
            <w:r>
              <w:rPr>
                <w:rFonts w:cs="宋体"/>
                <w:b/>
                <w:sz w:val="16"/>
                <w:szCs w:val="16"/>
              </w:rPr>
              <w:t xml:space="preserve">  </w:t>
            </w:r>
            <w:r>
              <w:rPr>
                <w:rFonts w:cs="宋体"/>
                <w:b/>
                <w:sz w:val="16"/>
                <w:szCs w:val="16"/>
              </w:rPr>
              <w:t>目</w:t>
            </w:r>
          </w:p>
        </w:tc>
        <w:tc>
          <w:tcPr>
            <w:tcW w:w="215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jc w:val="center"/>
              <w:textAlignment w:val="center"/>
              <w:rPr>
                <w:rFonts w:cs="宋体" w:hint="default"/>
                <w:b/>
                <w:sz w:val="16"/>
                <w:szCs w:val="16"/>
              </w:rPr>
            </w:pPr>
            <w:r>
              <w:rPr>
                <w:rFonts w:cs="宋体"/>
                <w:b/>
                <w:sz w:val="16"/>
                <w:szCs w:val="16"/>
              </w:rPr>
              <w:t>决算数</w:t>
            </w:r>
          </w:p>
        </w:tc>
      </w:tr>
      <w:tr w:rsidR="00F530A1">
        <w:trPr>
          <w:trHeight w:val="28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一、“三公”经费支出</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四、机关运行经费</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309.23</w:t>
            </w: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w:t>
            </w:r>
            <w:r>
              <w:rPr>
                <w:rFonts w:cs="宋体"/>
                <w:sz w:val="16"/>
                <w:szCs w:val="16"/>
              </w:rPr>
              <w:t>（一）支出合计</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3.89</w:t>
            </w:r>
            <w:r>
              <w:rPr>
                <w:sz w:val="16"/>
              </w:rPr>
              <w:t xml:space="preserve"> </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3.89</w:t>
            </w: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w:t>
            </w:r>
            <w:r>
              <w:rPr>
                <w:rFonts w:cs="宋体"/>
                <w:sz w:val="16"/>
                <w:szCs w:val="16"/>
              </w:rPr>
              <w:t>（一）行政单位</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309.23</w:t>
            </w: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1</w:t>
            </w:r>
            <w:r>
              <w:rPr>
                <w:rFonts w:cs="宋体"/>
                <w:sz w:val="16"/>
                <w:szCs w:val="16"/>
              </w:rPr>
              <w:t>．因公出国（境）费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w:t>
            </w:r>
            <w:r>
              <w:rPr>
                <w:rFonts w:cs="宋体"/>
                <w:sz w:val="16"/>
                <w:szCs w:val="16"/>
              </w:rPr>
              <w:t>（二）参照公务员法管理事业单位</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2</w:t>
            </w:r>
            <w:r>
              <w:rPr>
                <w:rFonts w:cs="宋体"/>
                <w:sz w:val="16"/>
                <w:szCs w:val="16"/>
              </w:rPr>
              <w:t>．公务用车购置及运行维护费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2.90</w:t>
            </w:r>
            <w:r>
              <w:rPr>
                <w:sz w:val="16"/>
              </w:rPr>
              <w:t xml:space="preserve"> </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2.90</w:t>
            </w: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五、资产信息</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w:t>
            </w:r>
            <w:r>
              <w:rPr>
                <w:rFonts w:cs="宋体"/>
                <w:sz w:val="16"/>
                <w:szCs w:val="16"/>
              </w:rPr>
              <w:t>（</w:t>
            </w:r>
            <w:r>
              <w:rPr>
                <w:rFonts w:cs="宋体"/>
                <w:sz w:val="16"/>
                <w:szCs w:val="16"/>
              </w:rPr>
              <w:t>1</w:t>
            </w:r>
            <w:r>
              <w:rPr>
                <w:rFonts w:cs="宋体"/>
                <w:sz w:val="16"/>
                <w:szCs w:val="16"/>
              </w:rPr>
              <w:t>）公务用车购置费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w:t>
            </w:r>
            <w:r>
              <w:rPr>
                <w:rFonts w:cs="宋体"/>
                <w:sz w:val="16"/>
                <w:szCs w:val="16"/>
              </w:rPr>
              <w:t>（一）车辆数合计（辆）</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 xml:space="preserve">1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w:t>
            </w:r>
            <w:r>
              <w:rPr>
                <w:rFonts w:cs="宋体"/>
                <w:sz w:val="16"/>
                <w:szCs w:val="16"/>
              </w:rPr>
              <w:t>（</w:t>
            </w:r>
            <w:r>
              <w:rPr>
                <w:rFonts w:cs="宋体"/>
                <w:sz w:val="16"/>
                <w:szCs w:val="16"/>
              </w:rPr>
              <w:t>2</w:t>
            </w:r>
            <w:r>
              <w:rPr>
                <w:rFonts w:cs="宋体"/>
                <w:sz w:val="16"/>
                <w:szCs w:val="16"/>
              </w:rPr>
              <w:t>）公务用车运行维护费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2.90</w:t>
            </w:r>
            <w:r>
              <w:rPr>
                <w:sz w:val="16"/>
              </w:rPr>
              <w:t xml:space="preserve"> </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2.90</w:t>
            </w: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1</w:t>
            </w:r>
            <w:r>
              <w:rPr>
                <w:rFonts w:cs="宋体"/>
                <w:sz w:val="16"/>
                <w:szCs w:val="16"/>
              </w:rPr>
              <w:t>．副部（省）级及以上领导用车</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3</w:t>
            </w:r>
            <w:r>
              <w:rPr>
                <w:rFonts w:cs="宋体"/>
                <w:sz w:val="16"/>
                <w:szCs w:val="16"/>
              </w:rPr>
              <w:t>．公务接待费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0.99</w:t>
            </w:r>
            <w:r>
              <w:rPr>
                <w:sz w:val="16"/>
              </w:rPr>
              <w:t xml:space="preserve"> </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0.99</w:t>
            </w: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2</w:t>
            </w:r>
            <w:r>
              <w:rPr>
                <w:rFonts w:cs="宋体"/>
                <w:sz w:val="16"/>
                <w:szCs w:val="16"/>
              </w:rPr>
              <w:t>．主要领导干部用车</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w:t>
            </w:r>
            <w:r>
              <w:rPr>
                <w:rFonts w:cs="宋体"/>
                <w:sz w:val="16"/>
                <w:szCs w:val="16"/>
              </w:rPr>
              <w:t>（</w:t>
            </w:r>
            <w:r>
              <w:rPr>
                <w:rFonts w:cs="宋体"/>
                <w:sz w:val="16"/>
                <w:szCs w:val="16"/>
              </w:rPr>
              <w:t>1</w:t>
            </w:r>
            <w:r>
              <w:rPr>
                <w:rFonts w:cs="宋体"/>
                <w:sz w:val="16"/>
                <w:szCs w:val="16"/>
              </w:rPr>
              <w:t>）国内接待费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0.99</w:t>
            </w: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3</w:t>
            </w:r>
            <w:r>
              <w:rPr>
                <w:rFonts w:cs="宋体"/>
                <w:sz w:val="16"/>
                <w:szCs w:val="16"/>
              </w:rPr>
              <w:t>．机要通信用车</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w:t>
            </w:r>
            <w:r>
              <w:rPr>
                <w:rFonts w:cs="宋体"/>
                <w:sz w:val="16"/>
                <w:szCs w:val="16"/>
              </w:rPr>
              <w:t>其中：外事接待费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4</w:t>
            </w:r>
            <w:r>
              <w:rPr>
                <w:rFonts w:cs="宋体"/>
                <w:sz w:val="16"/>
                <w:szCs w:val="16"/>
              </w:rPr>
              <w:t>．应急保障用车</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1</w:t>
            </w: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w:t>
            </w:r>
            <w:r>
              <w:rPr>
                <w:rFonts w:cs="宋体"/>
                <w:sz w:val="16"/>
                <w:szCs w:val="16"/>
              </w:rPr>
              <w:t>（</w:t>
            </w:r>
            <w:r>
              <w:rPr>
                <w:rFonts w:cs="宋体"/>
                <w:sz w:val="16"/>
                <w:szCs w:val="16"/>
              </w:rPr>
              <w:t>2</w:t>
            </w:r>
            <w:r>
              <w:rPr>
                <w:rFonts w:cs="宋体"/>
                <w:sz w:val="16"/>
                <w:szCs w:val="16"/>
              </w:rPr>
              <w:t>）国（境）外接待费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5</w:t>
            </w:r>
            <w:r>
              <w:rPr>
                <w:rFonts w:cs="宋体"/>
                <w:sz w:val="16"/>
                <w:szCs w:val="16"/>
              </w:rPr>
              <w:t>．执法执勤用车</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w:t>
            </w:r>
            <w:r>
              <w:rPr>
                <w:rFonts w:cs="宋体"/>
                <w:sz w:val="16"/>
                <w:szCs w:val="16"/>
              </w:rPr>
              <w:t>（二）相关统计数</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6</w:t>
            </w:r>
            <w:r>
              <w:rPr>
                <w:rFonts w:cs="宋体"/>
                <w:sz w:val="16"/>
                <w:szCs w:val="16"/>
              </w:rPr>
              <w:t>．特种专业技术用车</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1</w:t>
            </w:r>
            <w:r>
              <w:rPr>
                <w:rFonts w:cs="宋体"/>
                <w:sz w:val="16"/>
                <w:szCs w:val="16"/>
              </w:rPr>
              <w:t>．因公出国（境）团组数（个）</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7</w:t>
            </w:r>
            <w:r>
              <w:rPr>
                <w:rFonts w:cs="宋体"/>
                <w:sz w:val="16"/>
                <w:szCs w:val="16"/>
              </w:rPr>
              <w:t>．离退休干部用车</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2</w:t>
            </w:r>
            <w:r>
              <w:rPr>
                <w:rFonts w:cs="宋体"/>
                <w:sz w:val="16"/>
                <w:szCs w:val="16"/>
              </w:rPr>
              <w:t>．因公出国（境）人次数（人）</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8</w:t>
            </w:r>
            <w:r>
              <w:rPr>
                <w:rFonts w:cs="宋体"/>
                <w:sz w:val="16"/>
                <w:szCs w:val="16"/>
              </w:rPr>
              <w:t>．其他用车</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3</w:t>
            </w:r>
            <w:r>
              <w:rPr>
                <w:rFonts w:cs="宋体"/>
                <w:sz w:val="16"/>
                <w:szCs w:val="16"/>
              </w:rPr>
              <w:t>．公务用车购置数（辆）</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w:t>
            </w:r>
            <w:r>
              <w:rPr>
                <w:rFonts w:cs="宋体"/>
                <w:sz w:val="16"/>
                <w:szCs w:val="16"/>
              </w:rPr>
              <w:t>（二）单价</w:t>
            </w:r>
            <w:r>
              <w:rPr>
                <w:rFonts w:cs="宋体"/>
                <w:sz w:val="16"/>
                <w:szCs w:val="16"/>
              </w:rPr>
              <w:t>100</w:t>
            </w:r>
            <w:r>
              <w:rPr>
                <w:rFonts w:cs="宋体"/>
                <w:sz w:val="16"/>
                <w:szCs w:val="16"/>
              </w:rPr>
              <w:t>万元（含）以上设备（不含车辆）</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4</w:t>
            </w:r>
            <w:r>
              <w:rPr>
                <w:rFonts w:cs="宋体"/>
                <w:sz w:val="16"/>
                <w:szCs w:val="16"/>
              </w:rPr>
              <w:t>．公务用车保有量（辆）</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1</w:t>
            </w: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六、政府采购支出信息</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5</w:t>
            </w:r>
            <w:r>
              <w:rPr>
                <w:rFonts w:cs="宋体"/>
                <w:sz w:val="16"/>
                <w:szCs w:val="16"/>
              </w:rPr>
              <w:t>．国内公务接待批次（个）</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16</w:t>
            </w: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w:t>
            </w:r>
            <w:r>
              <w:rPr>
                <w:rFonts w:cs="宋体"/>
                <w:sz w:val="16"/>
                <w:szCs w:val="16"/>
              </w:rPr>
              <w:t>（一）政府采购支出合计</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318.98</w:t>
            </w: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w:t>
            </w:r>
            <w:r>
              <w:rPr>
                <w:rFonts w:cs="宋体"/>
                <w:sz w:val="16"/>
                <w:szCs w:val="16"/>
              </w:rPr>
              <w:t>其中：外事接待批次（个）</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1</w:t>
            </w:r>
            <w:r>
              <w:rPr>
                <w:rFonts w:cs="宋体"/>
                <w:sz w:val="16"/>
                <w:szCs w:val="16"/>
              </w:rPr>
              <w:t>．政府采购货物支出</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318.98</w:t>
            </w: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6</w:t>
            </w:r>
            <w:r>
              <w:rPr>
                <w:rFonts w:cs="宋体"/>
                <w:sz w:val="16"/>
                <w:szCs w:val="16"/>
              </w:rPr>
              <w:t>．国内公务接待人次（人）</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103</w:t>
            </w: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2</w:t>
            </w:r>
            <w:r>
              <w:rPr>
                <w:rFonts w:cs="宋体"/>
                <w:sz w:val="16"/>
                <w:szCs w:val="16"/>
              </w:rPr>
              <w:t>．政府采购工程支出</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w:t>
            </w:r>
            <w:r>
              <w:rPr>
                <w:rFonts w:cs="宋体"/>
                <w:sz w:val="16"/>
                <w:szCs w:val="16"/>
              </w:rPr>
              <w:t>其中：外事接待人次（人）</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3</w:t>
            </w:r>
            <w:r>
              <w:rPr>
                <w:rFonts w:cs="宋体"/>
                <w:sz w:val="16"/>
                <w:szCs w:val="16"/>
              </w:rPr>
              <w:t>．政府采购服务支出</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7</w:t>
            </w:r>
            <w:r>
              <w:rPr>
                <w:rFonts w:cs="宋体"/>
                <w:sz w:val="16"/>
                <w:szCs w:val="16"/>
              </w:rPr>
              <w:t>．国（境）外公务接待批次（个）</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w:t>
            </w:r>
            <w:r>
              <w:rPr>
                <w:rFonts w:cs="宋体"/>
                <w:sz w:val="16"/>
                <w:szCs w:val="16"/>
              </w:rPr>
              <w:t>（二）政府采购授予中小企业合同金额</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318.98</w:t>
            </w:r>
            <w:r>
              <w:rPr>
                <w:sz w:val="16"/>
              </w:rPr>
              <w:t xml:space="preserve"> </w:t>
            </w:r>
          </w:p>
        </w:tc>
      </w:tr>
      <w:tr w:rsidR="00F530A1">
        <w:trPr>
          <w:trHeight w:val="292"/>
        </w:trPr>
        <w:tc>
          <w:tcPr>
            <w:tcW w:w="4041" w:type="dxa"/>
            <w:tcBorders>
              <w:top w:val="single" w:sz="4" w:space="0" w:color="auto"/>
              <w:left w:val="single" w:sz="4" w:space="0" w:color="auto"/>
              <w:bottom w:val="single" w:sz="4" w:space="0" w:color="auto"/>
              <w:right w:val="single" w:sz="4" w:space="0" w:color="auto"/>
            </w:tcBorders>
            <w:shd w:val="clear" w:color="FFFFFF" w:fill="BFBFBF"/>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8</w:t>
            </w:r>
            <w:r>
              <w:rPr>
                <w:rFonts w:cs="宋体"/>
                <w:sz w:val="16"/>
                <w:szCs w:val="16"/>
              </w:rPr>
              <w:t>．国（境）外公务接待人次（人）</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 xml:space="preserve">        </w:t>
            </w:r>
            <w:r>
              <w:rPr>
                <w:rFonts w:cs="宋体"/>
                <w:sz w:val="16"/>
                <w:szCs w:val="16"/>
              </w:rPr>
              <w:t>其中：授予小微企业合同金额</w:t>
            </w: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318.98</w:t>
            </w:r>
            <w:r>
              <w:rPr>
                <w:sz w:val="16"/>
              </w:rPr>
              <w:t xml:space="preserve"> </w:t>
            </w:r>
          </w:p>
        </w:tc>
      </w:tr>
      <w:tr w:rsidR="00F530A1">
        <w:trPr>
          <w:trHeight w:val="286"/>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二、会议费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1.79</w:t>
            </w: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6"/>
                <w:szCs w:val="16"/>
              </w:rPr>
            </w:pP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F530A1">
            <w:pPr>
              <w:spacing w:line="200" w:lineRule="exact"/>
              <w:jc w:val="right"/>
              <w:rPr>
                <w:rFonts w:cs="宋体" w:hint="default"/>
                <w:sz w:val="16"/>
                <w:szCs w:val="16"/>
              </w:rPr>
            </w:pPr>
          </w:p>
        </w:tc>
      </w:tr>
      <w:tr w:rsidR="00F530A1">
        <w:trPr>
          <w:trHeight w:val="389"/>
        </w:trPr>
        <w:tc>
          <w:tcPr>
            <w:tcW w:w="4041"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B77A9E">
            <w:pPr>
              <w:spacing w:line="200" w:lineRule="exact"/>
              <w:textAlignment w:val="center"/>
              <w:rPr>
                <w:rFonts w:cs="宋体" w:hint="default"/>
                <w:sz w:val="16"/>
                <w:szCs w:val="16"/>
              </w:rPr>
            </w:pPr>
            <w:r>
              <w:rPr>
                <w:rFonts w:cs="宋体"/>
                <w:sz w:val="16"/>
                <w:szCs w:val="16"/>
              </w:rPr>
              <w:t>三、培训费</w:t>
            </w:r>
          </w:p>
        </w:tc>
        <w:tc>
          <w:tcPr>
            <w:tcW w:w="216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rsidR="00F530A1" w:rsidRDefault="00B77A9E">
            <w:pPr>
              <w:spacing w:line="200" w:lineRule="exact"/>
              <w:jc w:val="center"/>
              <w:textAlignment w:val="center"/>
              <w:rPr>
                <w:rFonts w:cs="宋体" w:hint="default"/>
                <w:sz w:val="16"/>
                <w:szCs w:val="16"/>
              </w:rPr>
            </w:pPr>
            <w:r>
              <w:rPr>
                <w:rFonts w:cs="宋体"/>
                <w:sz w:val="16"/>
                <w:szCs w:val="16"/>
              </w:rPr>
              <w:t>—</w:t>
            </w:r>
          </w:p>
        </w:tc>
        <w:tc>
          <w:tcPr>
            <w:tcW w:w="211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B77A9E">
            <w:pPr>
              <w:spacing w:line="200" w:lineRule="exact"/>
              <w:jc w:val="right"/>
              <w:textAlignment w:val="bottom"/>
              <w:rPr>
                <w:rFonts w:cs="宋体" w:hint="default"/>
                <w:sz w:val="16"/>
                <w:szCs w:val="16"/>
              </w:rPr>
            </w:pPr>
            <w:r>
              <w:rPr>
                <w:rFonts w:cs="宋体"/>
                <w:sz w:val="16"/>
                <w:szCs w:val="16"/>
              </w:rPr>
              <w:t>1.60</w:t>
            </w:r>
            <w:r>
              <w:rPr>
                <w:sz w:val="16"/>
              </w:rPr>
              <w:t xml:space="preserve"> </w:t>
            </w:r>
          </w:p>
        </w:tc>
        <w:tc>
          <w:tcPr>
            <w:tcW w:w="4524" w:type="dxa"/>
            <w:tcBorders>
              <w:top w:val="single" w:sz="4" w:space="0" w:color="auto"/>
              <w:left w:val="single" w:sz="4" w:space="0" w:color="auto"/>
              <w:bottom w:val="single" w:sz="4" w:space="0" w:color="auto"/>
              <w:right w:val="single" w:sz="4" w:space="0" w:color="auto"/>
            </w:tcBorders>
            <w:shd w:val="clear" w:color="FFFFFF" w:fill="C0C0C0"/>
            <w:noWrap/>
            <w:tcMar>
              <w:top w:w="15" w:type="dxa"/>
              <w:left w:w="15" w:type="dxa"/>
              <w:right w:w="15" w:type="dxa"/>
            </w:tcMar>
            <w:vAlign w:val="center"/>
          </w:tcPr>
          <w:p w:rsidR="00F530A1" w:rsidRDefault="00F530A1">
            <w:pPr>
              <w:spacing w:line="200" w:lineRule="exact"/>
              <w:rPr>
                <w:rFonts w:cs="宋体" w:hint="default"/>
                <w:sz w:val="16"/>
                <w:szCs w:val="16"/>
              </w:rPr>
            </w:pPr>
          </w:p>
        </w:tc>
        <w:tc>
          <w:tcPr>
            <w:tcW w:w="215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rsidR="00F530A1" w:rsidRDefault="00F530A1">
            <w:pPr>
              <w:spacing w:line="200" w:lineRule="exact"/>
              <w:jc w:val="right"/>
              <w:rPr>
                <w:rFonts w:cs="宋体" w:hint="default"/>
                <w:sz w:val="16"/>
                <w:szCs w:val="16"/>
              </w:rPr>
            </w:pPr>
          </w:p>
        </w:tc>
      </w:tr>
    </w:tbl>
    <w:p w:rsidR="00F530A1" w:rsidRDefault="00B77A9E">
      <w:pPr>
        <w:rPr>
          <w:rFonts w:cs="宋体" w:hint="default"/>
          <w:sz w:val="20"/>
          <w:szCs w:val="20"/>
        </w:rPr>
      </w:pPr>
      <w:r>
        <w:rPr>
          <w:rFonts w:cs="宋体"/>
          <w:sz w:val="20"/>
          <w:szCs w:val="20"/>
        </w:rPr>
        <w:t>备注：</w:t>
      </w:r>
      <w:r>
        <w:rPr>
          <w:rFonts w:cs="宋体"/>
          <w:sz w:val="20"/>
          <w:szCs w:val="20"/>
        </w:rPr>
        <w:t>1.</w:t>
      </w:r>
      <w:r>
        <w:rPr>
          <w:rFonts w:cs="宋体"/>
          <w:sz w:val="20"/>
          <w:szCs w:val="20"/>
        </w:rPr>
        <w:t>本表反映单位本年度财政拨款“三公”经费支出预决算情况。其中，预算数为“三公”经费全年预算数，反映按规定程序调整后的预算数；决算数为包括本年度财政拨款和以前年度结转资金安排的实际支出。</w:t>
      </w:r>
      <w:r>
        <w:rPr>
          <w:rFonts w:cs="宋体"/>
          <w:sz w:val="20"/>
          <w:szCs w:val="20"/>
        </w:rPr>
        <w:br/>
      </w:r>
      <w:r>
        <w:rPr>
          <w:rFonts w:cs="宋体"/>
          <w:sz w:val="20"/>
          <w:szCs w:val="20"/>
        </w:rPr>
        <w:t xml:space="preserve">      2.</w:t>
      </w:r>
      <w:r>
        <w:rPr>
          <w:rFonts w:cs="宋体"/>
          <w:sz w:val="20"/>
          <w:szCs w:val="20"/>
        </w:rPr>
        <w:t>本套报表金额单位转换时可能存在尾数误差。</w:t>
      </w:r>
      <w:r>
        <w:rPr>
          <w:rFonts w:cs="宋体"/>
          <w:sz w:val="20"/>
          <w:szCs w:val="20"/>
        </w:rPr>
        <w:br/>
      </w:r>
    </w:p>
    <w:p w:rsidR="00F530A1" w:rsidRDefault="00F530A1">
      <w:pPr>
        <w:rPr>
          <w:rFonts w:cs="宋体" w:hint="default"/>
          <w:sz w:val="20"/>
          <w:szCs w:val="20"/>
        </w:rPr>
      </w:pPr>
    </w:p>
    <w:p w:rsidR="00F530A1" w:rsidRDefault="00F530A1">
      <w:pPr>
        <w:rPr>
          <w:rFonts w:cs="宋体" w:hint="default"/>
          <w:sz w:val="20"/>
          <w:szCs w:val="20"/>
        </w:rPr>
      </w:pPr>
    </w:p>
    <w:p w:rsidR="00F530A1" w:rsidRDefault="00B77A9E">
      <w:pPr>
        <w:pStyle w:val="Char"/>
        <w:autoSpaceDE w:val="0"/>
        <w:spacing w:before="0" w:beforeAutospacing="0" w:line="600" w:lineRule="exact"/>
        <w:ind w:firstLineChars="200" w:firstLine="640"/>
        <w:rPr>
          <w:rFonts w:eastAsia="方正仿宋_GBK"/>
        </w:rPr>
      </w:pPr>
      <w:r>
        <w:rPr>
          <w:rFonts w:ascii="方正仿宋_GBK" w:eastAsia="方正仿宋_GBK" w:hAnsi="方正仿宋_GBK" w:cs="方正仿宋_GBK"/>
          <w:sz w:val="32"/>
          <w:szCs w:val="32"/>
          <w:shd w:val="clear" w:color="auto" w:fill="FFFFFF"/>
        </w:rPr>
        <w:lastRenderedPageBreak/>
        <w:t>附件</w:t>
      </w:r>
      <w:r>
        <w:rPr>
          <w:rFonts w:ascii="方正仿宋_GBK" w:eastAsia="方正仿宋_GBK" w:hAnsi="方正仿宋_GBK" w:cs="方正仿宋_GBK" w:hint="eastAsia"/>
          <w:sz w:val="32"/>
          <w:szCs w:val="32"/>
          <w:shd w:val="clear" w:color="auto" w:fill="FFFFFF"/>
        </w:rPr>
        <w:t>：</w:t>
      </w:r>
    </w:p>
    <w:p w:rsidR="00F530A1" w:rsidRDefault="00B77A9E">
      <w:pPr>
        <w:rPr>
          <w:rFonts w:hint="default"/>
        </w:rPr>
      </w:pPr>
      <w:r>
        <w:rPr>
          <w:noProof/>
        </w:rPr>
        <w:drawing>
          <wp:inline distT="0" distB="0" distL="114300" distR="114300">
            <wp:extent cx="9737725" cy="5433060"/>
            <wp:effectExtent l="0" t="0" r="15875" b="152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9737725" cy="5433060"/>
                    </a:xfrm>
                    <a:prstGeom prst="rect">
                      <a:avLst/>
                    </a:prstGeom>
                    <a:noFill/>
                    <a:ln>
                      <a:noFill/>
                    </a:ln>
                  </pic:spPr>
                </pic:pic>
              </a:graphicData>
            </a:graphic>
          </wp:inline>
        </w:drawing>
      </w:r>
    </w:p>
    <w:p w:rsidR="00F530A1" w:rsidRDefault="00F530A1">
      <w:pPr>
        <w:rPr>
          <w:rFonts w:hint="default"/>
        </w:rPr>
      </w:pPr>
    </w:p>
    <w:p w:rsidR="00F530A1" w:rsidRDefault="00F530A1">
      <w:pPr>
        <w:rPr>
          <w:rFonts w:hint="default"/>
        </w:rPr>
      </w:pPr>
    </w:p>
    <w:p w:rsidR="00F530A1" w:rsidRDefault="00F530A1">
      <w:pPr>
        <w:rPr>
          <w:rFonts w:hint="default"/>
        </w:rPr>
      </w:pPr>
    </w:p>
    <w:p w:rsidR="00F530A1" w:rsidRDefault="00F530A1">
      <w:pPr>
        <w:rPr>
          <w:rFonts w:hint="default"/>
        </w:rPr>
      </w:pPr>
    </w:p>
    <w:p w:rsidR="00F530A1" w:rsidRDefault="00B77A9E">
      <w:pPr>
        <w:rPr>
          <w:rFonts w:hint="default"/>
        </w:rPr>
      </w:pPr>
      <w:r>
        <w:rPr>
          <w:noProof/>
        </w:rPr>
        <w:drawing>
          <wp:inline distT="0" distB="0" distL="114300" distR="114300">
            <wp:extent cx="9737725" cy="5433060"/>
            <wp:effectExtent l="0" t="0" r="15875"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9737725" cy="5433060"/>
                    </a:xfrm>
                    <a:prstGeom prst="rect">
                      <a:avLst/>
                    </a:prstGeom>
                    <a:noFill/>
                    <a:ln>
                      <a:noFill/>
                    </a:ln>
                  </pic:spPr>
                </pic:pic>
              </a:graphicData>
            </a:graphic>
          </wp:inline>
        </w:drawing>
      </w:r>
    </w:p>
    <w:p w:rsidR="00F530A1" w:rsidRDefault="00F530A1">
      <w:pPr>
        <w:rPr>
          <w:rFonts w:cs="宋体" w:hint="default"/>
          <w:sz w:val="20"/>
          <w:szCs w:val="20"/>
        </w:rPr>
      </w:pPr>
    </w:p>
    <w:p w:rsidR="00F530A1" w:rsidRDefault="00F530A1">
      <w:pPr>
        <w:rPr>
          <w:rFonts w:cs="宋体" w:hint="default"/>
          <w:sz w:val="20"/>
          <w:szCs w:val="20"/>
        </w:rPr>
      </w:pPr>
    </w:p>
    <w:p w:rsidR="00F530A1" w:rsidRDefault="00F530A1">
      <w:pPr>
        <w:rPr>
          <w:rFonts w:cs="宋体" w:hint="default"/>
          <w:sz w:val="20"/>
          <w:szCs w:val="20"/>
        </w:rPr>
      </w:pPr>
    </w:p>
    <w:p w:rsidR="00F530A1" w:rsidRDefault="00B77A9E">
      <w:pPr>
        <w:rPr>
          <w:rFonts w:hint="default"/>
        </w:rPr>
      </w:pPr>
      <w:r>
        <w:rPr>
          <w:noProof/>
        </w:rPr>
        <w:lastRenderedPageBreak/>
        <w:drawing>
          <wp:inline distT="0" distB="0" distL="114300" distR="114300">
            <wp:extent cx="9737725" cy="5201920"/>
            <wp:effectExtent l="0" t="0" r="1587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9737725" cy="5201920"/>
                    </a:xfrm>
                    <a:prstGeom prst="rect">
                      <a:avLst/>
                    </a:prstGeom>
                    <a:noFill/>
                    <a:ln>
                      <a:noFill/>
                    </a:ln>
                  </pic:spPr>
                </pic:pic>
              </a:graphicData>
            </a:graphic>
          </wp:inline>
        </w:drawing>
      </w:r>
    </w:p>
    <w:p w:rsidR="00F530A1" w:rsidRDefault="00F530A1">
      <w:pPr>
        <w:rPr>
          <w:rFonts w:hint="default"/>
        </w:rPr>
      </w:pPr>
    </w:p>
    <w:p w:rsidR="00F530A1" w:rsidRDefault="00F530A1">
      <w:pPr>
        <w:rPr>
          <w:rFonts w:hint="default"/>
        </w:rPr>
      </w:pPr>
    </w:p>
    <w:p w:rsidR="00F530A1" w:rsidRDefault="00F530A1">
      <w:pPr>
        <w:rPr>
          <w:rFonts w:hint="default"/>
        </w:rPr>
      </w:pPr>
    </w:p>
    <w:p w:rsidR="00F530A1" w:rsidRDefault="00F530A1">
      <w:pPr>
        <w:rPr>
          <w:rFonts w:hint="default"/>
        </w:rPr>
      </w:pPr>
    </w:p>
    <w:p w:rsidR="00F530A1" w:rsidRDefault="00F530A1">
      <w:pPr>
        <w:rPr>
          <w:rFonts w:hint="default"/>
        </w:rPr>
      </w:pPr>
    </w:p>
    <w:p w:rsidR="00F530A1" w:rsidRDefault="00F530A1">
      <w:pPr>
        <w:rPr>
          <w:rFonts w:hint="default"/>
        </w:rPr>
      </w:pPr>
    </w:p>
    <w:p w:rsidR="00F530A1" w:rsidRDefault="00F530A1">
      <w:pPr>
        <w:rPr>
          <w:rFonts w:hint="default"/>
        </w:rPr>
      </w:pPr>
    </w:p>
    <w:p w:rsidR="00F530A1" w:rsidRDefault="00B77A9E">
      <w:pPr>
        <w:rPr>
          <w:rFonts w:hint="default"/>
        </w:rPr>
      </w:pPr>
      <w:r>
        <w:rPr>
          <w:noProof/>
        </w:rPr>
        <w:lastRenderedPageBreak/>
        <w:drawing>
          <wp:inline distT="0" distB="0" distL="114300" distR="114300">
            <wp:extent cx="9737725" cy="5201920"/>
            <wp:effectExtent l="0" t="0" r="1587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9737725" cy="5201920"/>
                    </a:xfrm>
                    <a:prstGeom prst="rect">
                      <a:avLst/>
                    </a:prstGeom>
                    <a:noFill/>
                    <a:ln>
                      <a:noFill/>
                    </a:ln>
                  </pic:spPr>
                </pic:pic>
              </a:graphicData>
            </a:graphic>
          </wp:inline>
        </w:drawing>
      </w:r>
    </w:p>
    <w:p w:rsidR="00F530A1" w:rsidRDefault="00F530A1">
      <w:pPr>
        <w:rPr>
          <w:rFonts w:hint="default"/>
        </w:rPr>
      </w:pPr>
    </w:p>
    <w:p w:rsidR="00F530A1" w:rsidRDefault="00F530A1">
      <w:pPr>
        <w:rPr>
          <w:rFonts w:hint="default"/>
        </w:rPr>
      </w:pPr>
    </w:p>
    <w:p w:rsidR="00F530A1" w:rsidRDefault="00B77A9E">
      <w:pPr>
        <w:rPr>
          <w:rFonts w:hint="default"/>
        </w:rPr>
      </w:pPr>
      <w:r>
        <w:rPr>
          <w:noProof/>
        </w:rPr>
        <w:lastRenderedPageBreak/>
        <w:drawing>
          <wp:inline distT="0" distB="0" distL="114300" distR="114300">
            <wp:extent cx="9737725" cy="5201920"/>
            <wp:effectExtent l="0" t="0" r="15875"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9737725" cy="520192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9737725" cy="520192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9737725" cy="520192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9737725" cy="520192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9737725" cy="520192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433060"/>
            <wp:effectExtent l="0" t="0" r="15875"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9737725" cy="543306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433060"/>
            <wp:effectExtent l="0" t="0" r="15875"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9737725" cy="543306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9737725" cy="5201920"/>
                    </a:xfrm>
                    <a:prstGeom prst="rect">
                      <a:avLst/>
                    </a:prstGeom>
                    <a:noFill/>
                    <a:ln>
                      <a:noFill/>
                    </a:ln>
                  </pic:spPr>
                </pic:pic>
              </a:graphicData>
            </a:graphic>
          </wp:inline>
        </w:drawing>
      </w:r>
    </w:p>
    <w:p w:rsidR="00F530A1" w:rsidRDefault="00F530A1">
      <w:pPr>
        <w:rPr>
          <w:rFonts w:hint="default"/>
        </w:rPr>
      </w:pPr>
    </w:p>
    <w:p w:rsidR="00F530A1" w:rsidRDefault="00B77A9E">
      <w:pPr>
        <w:rPr>
          <w:rFonts w:hint="default"/>
        </w:rPr>
      </w:pPr>
      <w:r>
        <w:rPr>
          <w:noProof/>
        </w:rPr>
        <w:lastRenderedPageBreak/>
        <w:drawing>
          <wp:inline distT="0" distB="0" distL="114300" distR="114300">
            <wp:extent cx="9737725" cy="5201920"/>
            <wp:effectExtent l="0" t="0" r="15875" b="177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1"/>
                    <a:stretch>
                      <a:fillRect/>
                    </a:stretch>
                  </pic:blipFill>
                  <pic:spPr>
                    <a:xfrm>
                      <a:off x="0" y="0"/>
                      <a:ext cx="9737725" cy="520192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2"/>
                    <a:stretch>
                      <a:fillRect/>
                    </a:stretch>
                  </pic:blipFill>
                  <pic:spPr>
                    <a:xfrm>
                      <a:off x="0" y="0"/>
                      <a:ext cx="9737725" cy="520192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433060"/>
            <wp:effectExtent l="0" t="0" r="15875"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9737725" cy="543306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9737725" cy="520192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9737725" cy="520192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433060"/>
            <wp:effectExtent l="0" t="0" r="15875" b="152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6"/>
                    <a:stretch>
                      <a:fillRect/>
                    </a:stretch>
                  </pic:blipFill>
                  <pic:spPr>
                    <a:xfrm>
                      <a:off x="0" y="0"/>
                      <a:ext cx="9737725" cy="543306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7"/>
                    <a:stretch>
                      <a:fillRect/>
                    </a:stretch>
                  </pic:blipFill>
                  <pic:spPr>
                    <a:xfrm>
                      <a:off x="0" y="0"/>
                      <a:ext cx="9737725" cy="520192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433060"/>
            <wp:effectExtent l="0" t="0" r="15875" b="152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8"/>
                    <a:stretch>
                      <a:fillRect/>
                    </a:stretch>
                  </pic:blipFill>
                  <pic:spPr>
                    <a:xfrm>
                      <a:off x="0" y="0"/>
                      <a:ext cx="9737725" cy="543306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9737725" cy="520192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433060"/>
            <wp:effectExtent l="0" t="0" r="15875" b="152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stretch>
                      <a:fillRect/>
                    </a:stretch>
                  </pic:blipFill>
                  <pic:spPr>
                    <a:xfrm>
                      <a:off x="0" y="0"/>
                      <a:ext cx="9737725" cy="5433060"/>
                    </a:xfrm>
                    <a:prstGeom prst="rect">
                      <a:avLst/>
                    </a:prstGeom>
                    <a:noFill/>
                    <a:ln>
                      <a:noFill/>
                    </a:ln>
                  </pic:spPr>
                </pic:pic>
              </a:graphicData>
            </a:graphic>
          </wp:inline>
        </w:drawing>
      </w:r>
    </w:p>
    <w:p w:rsidR="00F530A1" w:rsidRDefault="00F530A1">
      <w:pPr>
        <w:rPr>
          <w:rFonts w:hint="default"/>
        </w:rPr>
      </w:pPr>
    </w:p>
    <w:p w:rsidR="00F530A1" w:rsidRDefault="00B77A9E">
      <w:pPr>
        <w:rPr>
          <w:rFonts w:hint="default"/>
        </w:rPr>
      </w:pPr>
      <w:r>
        <w:rPr>
          <w:noProof/>
        </w:rPr>
        <w:lastRenderedPageBreak/>
        <w:drawing>
          <wp:inline distT="0" distB="0" distL="114300" distR="114300">
            <wp:extent cx="9737725" cy="5433060"/>
            <wp:effectExtent l="0" t="0" r="15875" b="152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9737725" cy="543306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9737725" cy="520192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9737725" cy="520192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9737725" cy="520192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9737725" cy="520192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tretch>
                      <a:fillRect/>
                    </a:stretch>
                  </pic:blipFill>
                  <pic:spPr>
                    <a:xfrm>
                      <a:off x="0" y="0"/>
                      <a:ext cx="9737725" cy="520192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stretch>
                      <a:fillRect/>
                    </a:stretch>
                  </pic:blipFill>
                  <pic:spPr>
                    <a:xfrm>
                      <a:off x="0" y="0"/>
                      <a:ext cx="9737725" cy="5201920"/>
                    </a:xfrm>
                    <a:prstGeom prst="rect">
                      <a:avLst/>
                    </a:prstGeom>
                    <a:noFill/>
                    <a:ln>
                      <a:noFill/>
                    </a:ln>
                  </pic:spPr>
                </pic:pic>
              </a:graphicData>
            </a:graphic>
          </wp:inline>
        </w:drawing>
      </w:r>
    </w:p>
    <w:p w:rsidR="00F530A1" w:rsidRDefault="00F530A1">
      <w:pPr>
        <w:rPr>
          <w:rFonts w:hint="default"/>
        </w:rPr>
      </w:pPr>
    </w:p>
    <w:p w:rsidR="00F530A1" w:rsidRDefault="00B77A9E">
      <w:pPr>
        <w:rPr>
          <w:rFonts w:hint="default"/>
        </w:rPr>
      </w:pPr>
      <w:r>
        <w:rPr>
          <w:noProof/>
        </w:rPr>
        <w:lastRenderedPageBreak/>
        <w:drawing>
          <wp:inline distT="0" distB="0" distL="114300" distR="114300">
            <wp:extent cx="9737725" cy="5433060"/>
            <wp:effectExtent l="0" t="0" r="15875" b="152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8"/>
                    <a:stretch>
                      <a:fillRect/>
                    </a:stretch>
                  </pic:blipFill>
                  <pic:spPr>
                    <a:xfrm>
                      <a:off x="0" y="0"/>
                      <a:ext cx="9737725" cy="543306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433060"/>
            <wp:effectExtent l="0" t="0" r="15875" b="152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9"/>
                    <a:stretch>
                      <a:fillRect/>
                    </a:stretch>
                  </pic:blipFill>
                  <pic:spPr>
                    <a:xfrm>
                      <a:off x="0" y="0"/>
                      <a:ext cx="9737725" cy="543306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0"/>
                    <a:stretch>
                      <a:fillRect/>
                    </a:stretch>
                  </pic:blipFill>
                  <pic:spPr>
                    <a:xfrm>
                      <a:off x="0" y="0"/>
                      <a:ext cx="9737725" cy="5201920"/>
                    </a:xfrm>
                    <a:prstGeom prst="rect">
                      <a:avLst/>
                    </a:prstGeom>
                    <a:noFill/>
                    <a:ln>
                      <a:noFill/>
                    </a:ln>
                  </pic:spPr>
                </pic:pic>
              </a:graphicData>
            </a:graphic>
          </wp:inline>
        </w:drawing>
      </w:r>
    </w:p>
    <w:p w:rsidR="00F530A1" w:rsidRDefault="00F530A1">
      <w:pPr>
        <w:rPr>
          <w:rFonts w:hint="default"/>
        </w:rPr>
      </w:pPr>
    </w:p>
    <w:p w:rsidR="00F530A1" w:rsidRDefault="00B77A9E">
      <w:pPr>
        <w:rPr>
          <w:rFonts w:hint="default"/>
        </w:rPr>
      </w:pPr>
      <w:r>
        <w:rPr>
          <w:noProof/>
        </w:rPr>
        <w:lastRenderedPageBreak/>
        <w:drawing>
          <wp:inline distT="0" distB="0" distL="114300" distR="114300">
            <wp:extent cx="9737725" cy="5433060"/>
            <wp:effectExtent l="0" t="0" r="15875" b="1524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1"/>
                    <a:stretch>
                      <a:fillRect/>
                    </a:stretch>
                  </pic:blipFill>
                  <pic:spPr>
                    <a:xfrm>
                      <a:off x="0" y="0"/>
                      <a:ext cx="9737725" cy="5433060"/>
                    </a:xfrm>
                    <a:prstGeom prst="rect">
                      <a:avLst/>
                    </a:prstGeom>
                    <a:noFill/>
                    <a:ln>
                      <a:noFill/>
                    </a:ln>
                  </pic:spPr>
                </pic:pic>
              </a:graphicData>
            </a:graphic>
          </wp:inline>
        </w:drawing>
      </w:r>
    </w:p>
    <w:p w:rsidR="00F530A1" w:rsidRDefault="00B77A9E">
      <w:pPr>
        <w:rPr>
          <w:rFonts w:hint="default"/>
        </w:rPr>
      </w:pPr>
      <w:r>
        <w:rPr>
          <w:noProof/>
        </w:rPr>
        <w:lastRenderedPageBreak/>
        <w:drawing>
          <wp:inline distT="0" distB="0" distL="114300" distR="114300">
            <wp:extent cx="9737725" cy="5201920"/>
            <wp:effectExtent l="0" t="0" r="15875" b="177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
                    <a:stretch>
                      <a:fillRect/>
                    </a:stretch>
                  </pic:blipFill>
                  <pic:spPr>
                    <a:xfrm>
                      <a:off x="0" y="0"/>
                      <a:ext cx="9737725" cy="5201920"/>
                    </a:xfrm>
                    <a:prstGeom prst="rect">
                      <a:avLst/>
                    </a:prstGeom>
                    <a:noFill/>
                    <a:ln>
                      <a:noFill/>
                    </a:ln>
                  </pic:spPr>
                </pic:pic>
              </a:graphicData>
            </a:graphic>
          </wp:inline>
        </w:drawing>
      </w:r>
    </w:p>
    <w:sectPr w:rsidR="00F530A1">
      <w:headerReference w:type="default" r:id="rId43"/>
      <w:footerReference w:type="default" r:id="rId44"/>
      <w:pgSz w:w="16839" w:h="11907" w:orient="landscape"/>
      <w:pgMar w:top="567" w:right="454" w:bottom="567" w:left="1037" w:header="0" w:footer="283" w:gutter="0"/>
      <w:pgNumType w:fmt="numberInDash"/>
      <w:cols w:space="720"/>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7A9E" w:rsidRDefault="00B77A9E">
      <w:pPr>
        <w:rPr>
          <w:rFonts w:hint="default"/>
        </w:rPr>
      </w:pPr>
      <w:r>
        <w:separator/>
      </w:r>
    </w:p>
  </w:endnote>
  <w:endnote w:type="continuationSeparator" w:id="0">
    <w:p w:rsidR="00B77A9E" w:rsidRDefault="00B77A9E">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方正小标宋_GBK">
    <w:altName w:val="微软雅黑"/>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仿宋_GBK">
    <w:altName w:val="Times New Roman"/>
    <w:charset w:val="00"/>
    <w:family w:val="auto"/>
    <w:pitch w:val="default"/>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0A1" w:rsidRDefault="00B77A9E">
    <w:pPr>
      <w:pStyle w:val="a5"/>
      <w:rPr>
        <w:rFonts w:hint="default"/>
      </w:rPr>
    </w:pPr>
    <w:r>
      <w:rPr>
        <w:rFonts w:hint="default"/>
      </w:rPr>
      <w:pict>
        <v:shapetype id="_x0000_t202" coordsize="21600,21600" o:spt="202" path="m,l,21600r21600,l21600,xe">
          <v:stroke joinstyle="miter"/>
          <v:path gradientshapeok="t" o:connecttype="rect"/>
        </v:shapetype>
        <v:shape id="_x0000_s2050" type="#_x0000_t202" style="position:absolute;margin-left:0;margin-top:0;width:2in;height:2in;z-index:251661312;mso-wrap-style:none;mso-position-horizontal:center;mso-position-horizontal-relative:margin;mso-width-relative:page;mso-height-relative:page" filled="f" stroked="f" strokeweight=".5pt">
          <v:textbox style="mso-fit-shape-to-text:t" inset="0,0,0,0">
            <w:txbxContent>
              <w:p w:rsidR="00F530A1" w:rsidRDefault="00B77A9E">
                <w:pPr>
                  <w:pStyle w:val="a5"/>
                  <w:rPr>
                    <w:rFonts w:hint="default"/>
                  </w:rPr>
                </w:pPr>
                <w:r>
                  <w:fldChar w:fldCharType="begin"/>
                </w:r>
                <w:r>
                  <w:instrText xml:space="preserve"> PAGE  \* MERGEFORMAT </w:instrText>
                </w:r>
                <w:r>
                  <w:fldChar w:fldCharType="separate"/>
                </w:r>
                <w:r w:rsidR="00602E33">
                  <w:rPr>
                    <w:rFonts w:hint="default"/>
                    <w:noProof/>
                  </w:rPr>
                  <w:t>- 7 -</w:t>
                </w:r>
                <w:r>
                  <w:fldChar w:fldCharType="end"/>
                </w:r>
              </w:p>
            </w:txbxContent>
          </v:textbox>
          <w10:wrap anchorx="margin"/>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0A1" w:rsidRDefault="00B77A9E">
    <w:pPr>
      <w:pStyle w:val="a5"/>
      <w:jc w:val="both"/>
      <w:rPr>
        <w:rFonts w:hint="default"/>
      </w:rPr>
    </w:pPr>
    <w:r>
      <w:rPr>
        <w:rFonts w:hint="default"/>
      </w:rP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0288;mso-wrap-style:none;mso-position-horizontal:center;mso-position-horizontal-relative:margin;mso-width-relative:page;mso-height-relative:page" o:allowoverlap="f" filled="f" stroked="f" strokeweight=".5pt">
          <v:textbox style="mso-fit-shape-to-text:t" inset="0,0,0,0">
            <w:txbxContent>
              <w:p w:rsidR="00F530A1" w:rsidRDefault="00B77A9E">
                <w:pPr>
                  <w:pStyle w:val="a5"/>
                  <w:rPr>
                    <w:rFonts w:hint="default"/>
                  </w:rPr>
                </w:pPr>
                <w:r>
                  <w:t xml:space="preserve"> </w:t>
                </w:r>
                <w:r>
                  <w:fldChar w:fldCharType="begin"/>
                </w:r>
                <w:r>
                  <w:instrText>PAGE   \* MERGEFORMAT</w:instrText>
                </w:r>
                <w:r>
                  <w:fldChar w:fldCharType="separate"/>
                </w:r>
                <w:r w:rsidR="00602E33" w:rsidRPr="00602E33">
                  <w:rPr>
                    <w:rFonts w:hint="default"/>
                    <w:noProof/>
                    <w:lang w:val="zh-CN"/>
                  </w:rPr>
                  <w:t>-</w:t>
                </w:r>
                <w:r w:rsidR="00602E33">
                  <w:rPr>
                    <w:rFonts w:hint="default"/>
                    <w:noProof/>
                  </w:rPr>
                  <w:t xml:space="preserve"> 24 -</w:t>
                </w:r>
                <w:r>
                  <w:fldChar w:fldCharType="end"/>
                </w:r>
                <w:r>
                  <w:t xml:space="preserve"> </w:t>
                </w:r>
              </w:p>
            </w:txbxContent>
          </v:textbox>
          <w10:wrap anchorx="margin"/>
        </v:shape>
      </w:pict>
    </w:r>
    <w:r>
      <w:rPr>
        <w:rFonts w:hint="default"/>
      </w:rPr>
      <w:pict>
        <v:shape id="_x0000_s2051" type="#_x0000_t202" style="position:absolute;left:0;text-align:left;margin-left:0;margin-top:1160.4pt;width:2in;height:17.4pt;z-index:251659264;mso-wrap-style:none;mso-position-horizontal:center;mso-position-horizontal-relative:margin;mso-position-vertical-relative:page;mso-width-relative:page;mso-height-relative:page" o:allowoverlap="f" filled="f" stroked="f" strokeweight=".5pt">
          <v:textbox inset="0,0,0,0">
            <w:txbxContent>
              <w:p w:rsidR="00F530A1" w:rsidRDefault="00B77A9E">
                <w:pPr>
                  <w:pStyle w:val="a5"/>
                  <w:jc w:val="both"/>
                  <w:rPr>
                    <w:rFonts w:cs="宋体" w:hint="default"/>
                  </w:rPr>
                </w:pPr>
                <w:r>
                  <w:rPr>
                    <w:rFonts w:cs="宋体"/>
                  </w:rPr>
                  <w:t>—</w:t>
                </w:r>
                <w:r>
                  <w:rPr>
                    <w:rFonts w:cs="宋体"/>
                  </w:rPr>
                  <w:t xml:space="preserve"> 27.1 </w:t>
                </w:r>
                <w:r>
                  <w:rPr>
                    <w:rFonts w:cs="宋体"/>
                  </w:rPr>
                  <w:t>—</w:t>
                </w:r>
              </w:p>
            </w:txbxContent>
          </v:textbox>
          <w10:wrap anchorx="margin"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7A9E" w:rsidRDefault="00B77A9E">
      <w:pPr>
        <w:rPr>
          <w:rFonts w:hint="default"/>
        </w:rPr>
      </w:pPr>
      <w:r>
        <w:separator/>
      </w:r>
    </w:p>
  </w:footnote>
  <w:footnote w:type="continuationSeparator" w:id="0">
    <w:p w:rsidR="00B77A9E" w:rsidRDefault="00B77A9E">
      <w:pPr>
        <w:rPr>
          <w:rFonts w:hint="default"/>
        </w:rPr>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0A1" w:rsidRDefault="00F530A1">
    <w:pPr>
      <w:pStyle w:val="a6"/>
      <w:tabs>
        <w:tab w:val="clear" w:pos="4153"/>
        <w:tab w:val="clear" w:pos="8306"/>
        <w:tab w:val="left" w:pos="1758"/>
      </w:tabs>
      <w:rPr>
        <w:rFonts w:hint="defaul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339A02"/>
    <w:multiLevelType w:val="singleLevel"/>
    <w:tmpl w:val="C5339A02"/>
    <w:lvl w:ilvl="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GQwYWQ1YTE0ZDA0NjgxYzlhMjZlMDExNTFmMWI3MmEifQ=="/>
  </w:docVars>
  <w:rsids>
    <w:rsidRoot w:val="00B03CCD"/>
    <w:rsid w:val="000701B1"/>
    <w:rsid w:val="00095AB4"/>
    <w:rsid w:val="001D3BB7"/>
    <w:rsid w:val="001D527E"/>
    <w:rsid w:val="00277D3B"/>
    <w:rsid w:val="002B254B"/>
    <w:rsid w:val="00466C9B"/>
    <w:rsid w:val="00493247"/>
    <w:rsid w:val="004D2BFC"/>
    <w:rsid w:val="00536313"/>
    <w:rsid w:val="00550ABE"/>
    <w:rsid w:val="00602E33"/>
    <w:rsid w:val="00686B92"/>
    <w:rsid w:val="006D3015"/>
    <w:rsid w:val="006E35FA"/>
    <w:rsid w:val="00770383"/>
    <w:rsid w:val="0077455B"/>
    <w:rsid w:val="007819D4"/>
    <w:rsid w:val="00796D34"/>
    <w:rsid w:val="007B419D"/>
    <w:rsid w:val="007B7C4B"/>
    <w:rsid w:val="007C7C38"/>
    <w:rsid w:val="007D3D39"/>
    <w:rsid w:val="00813EB6"/>
    <w:rsid w:val="008630C6"/>
    <w:rsid w:val="00871AB9"/>
    <w:rsid w:val="008745D9"/>
    <w:rsid w:val="008E37A8"/>
    <w:rsid w:val="009553C4"/>
    <w:rsid w:val="009708E1"/>
    <w:rsid w:val="00981291"/>
    <w:rsid w:val="00994AF7"/>
    <w:rsid w:val="009B67B8"/>
    <w:rsid w:val="009C18EF"/>
    <w:rsid w:val="009D2B67"/>
    <w:rsid w:val="00A160BF"/>
    <w:rsid w:val="00A566F9"/>
    <w:rsid w:val="00AA385E"/>
    <w:rsid w:val="00AF2751"/>
    <w:rsid w:val="00B03CCD"/>
    <w:rsid w:val="00B77A9E"/>
    <w:rsid w:val="00BE2B89"/>
    <w:rsid w:val="00C10E9E"/>
    <w:rsid w:val="00C20C3E"/>
    <w:rsid w:val="00C76F50"/>
    <w:rsid w:val="00CC75C2"/>
    <w:rsid w:val="00D52FC0"/>
    <w:rsid w:val="00DC0FE1"/>
    <w:rsid w:val="00E12E01"/>
    <w:rsid w:val="00EE77AB"/>
    <w:rsid w:val="00F00880"/>
    <w:rsid w:val="00F14C7A"/>
    <w:rsid w:val="00F530A1"/>
    <w:rsid w:val="00F73F90"/>
    <w:rsid w:val="00FC402D"/>
    <w:rsid w:val="01474EBF"/>
    <w:rsid w:val="01F3521E"/>
    <w:rsid w:val="03B87EA0"/>
    <w:rsid w:val="03E3214F"/>
    <w:rsid w:val="044C50BA"/>
    <w:rsid w:val="05BC6D49"/>
    <w:rsid w:val="06194FF1"/>
    <w:rsid w:val="06A2550B"/>
    <w:rsid w:val="06F80EE2"/>
    <w:rsid w:val="07001CCA"/>
    <w:rsid w:val="075678DB"/>
    <w:rsid w:val="079D7CC7"/>
    <w:rsid w:val="08051BCA"/>
    <w:rsid w:val="086C12F4"/>
    <w:rsid w:val="08705944"/>
    <w:rsid w:val="08BA052C"/>
    <w:rsid w:val="08DB07BA"/>
    <w:rsid w:val="0969353F"/>
    <w:rsid w:val="098305D0"/>
    <w:rsid w:val="0A3317EA"/>
    <w:rsid w:val="0A5C4B69"/>
    <w:rsid w:val="0A86124A"/>
    <w:rsid w:val="0AB54CC0"/>
    <w:rsid w:val="0B9335CE"/>
    <w:rsid w:val="0BF2311A"/>
    <w:rsid w:val="0C7927C4"/>
    <w:rsid w:val="0C9B098C"/>
    <w:rsid w:val="0D673E11"/>
    <w:rsid w:val="0DDA54E4"/>
    <w:rsid w:val="0E3A5F83"/>
    <w:rsid w:val="0F836721"/>
    <w:rsid w:val="0FA25D96"/>
    <w:rsid w:val="107B59E5"/>
    <w:rsid w:val="10EC0126"/>
    <w:rsid w:val="10F70B9A"/>
    <w:rsid w:val="111445C7"/>
    <w:rsid w:val="114278C6"/>
    <w:rsid w:val="1158083A"/>
    <w:rsid w:val="11643A4B"/>
    <w:rsid w:val="11ED0F98"/>
    <w:rsid w:val="11F03528"/>
    <w:rsid w:val="12C921C4"/>
    <w:rsid w:val="13871C70"/>
    <w:rsid w:val="13A71CB4"/>
    <w:rsid w:val="13AF1D43"/>
    <w:rsid w:val="13CE1647"/>
    <w:rsid w:val="13FD55AB"/>
    <w:rsid w:val="14200702"/>
    <w:rsid w:val="163A6CEE"/>
    <w:rsid w:val="173708E3"/>
    <w:rsid w:val="17C374FC"/>
    <w:rsid w:val="182E4AB6"/>
    <w:rsid w:val="189079DC"/>
    <w:rsid w:val="189B0D0B"/>
    <w:rsid w:val="18B43F7C"/>
    <w:rsid w:val="194A1770"/>
    <w:rsid w:val="19B906A4"/>
    <w:rsid w:val="1B6F15B6"/>
    <w:rsid w:val="1BAA2EDC"/>
    <w:rsid w:val="1CA55E64"/>
    <w:rsid w:val="1D014A01"/>
    <w:rsid w:val="1D022362"/>
    <w:rsid w:val="1D1B04B0"/>
    <w:rsid w:val="1DA52501"/>
    <w:rsid w:val="1DBD6767"/>
    <w:rsid w:val="1DC52125"/>
    <w:rsid w:val="1DD26311"/>
    <w:rsid w:val="1E374ACB"/>
    <w:rsid w:val="1ECF0A66"/>
    <w:rsid w:val="1EF67CA4"/>
    <w:rsid w:val="1F020D3A"/>
    <w:rsid w:val="1F2C5189"/>
    <w:rsid w:val="1F4B0B02"/>
    <w:rsid w:val="1FBB35CD"/>
    <w:rsid w:val="1FCD26AF"/>
    <w:rsid w:val="20642787"/>
    <w:rsid w:val="21556F04"/>
    <w:rsid w:val="22403BD3"/>
    <w:rsid w:val="24B92327"/>
    <w:rsid w:val="24C14514"/>
    <w:rsid w:val="2533755C"/>
    <w:rsid w:val="25791755"/>
    <w:rsid w:val="26396DF4"/>
    <w:rsid w:val="27167136"/>
    <w:rsid w:val="271B442C"/>
    <w:rsid w:val="27B23302"/>
    <w:rsid w:val="29310A5F"/>
    <w:rsid w:val="29C37A35"/>
    <w:rsid w:val="2A076083"/>
    <w:rsid w:val="2A73162E"/>
    <w:rsid w:val="2B167953"/>
    <w:rsid w:val="2B200583"/>
    <w:rsid w:val="2B8209DE"/>
    <w:rsid w:val="2C636760"/>
    <w:rsid w:val="2C6762A3"/>
    <w:rsid w:val="2DDE5AA8"/>
    <w:rsid w:val="2FCA4B37"/>
    <w:rsid w:val="2FE029D7"/>
    <w:rsid w:val="2FF06E00"/>
    <w:rsid w:val="30586FEC"/>
    <w:rsid w:val="315F0B22"/>
    <w:rsid w:val="31D84415"/>
    <w:rsid w:val="32285F6F"/>
    <w:rsid w:val="32770556"/>
    <w:rsid w:val="329C0913"/>
    <w:rsid w:val="32AA0460"/>
    <w:rsid w:val="3337290D"/>
    <w:rsid w:val="33E31118"/>
    <w:rsid w:val="33EF7674"/>
    <w:rsid w:val="342D7BC6"/>
    <w:rsid w:val="352930DB"/>
    <w:rsid w:val="35573069"/>
    <w:rsid w:val="355F6038"/>
    <w:rsid w:val="358C217E"/>
    <w:rsid w:val="36C9128A"/>
    <w:rsid w:val="37841E99"/>
    <w:rsid w:val="37BF1123"/>
    <w:rsid w:val="383C3F15"/>
    <w:rsid w:val="38BE4696"/>
    <w:rsid w:val="3939115E"/>
    <w:rsid w:val="39B82A39"/>
    <w:rsid w:val="39C42CA8"/>
    <w:rsid w:val="39DC4FD6"/>
    <w:rsid w:val="39F03D7A"/>
    <w:rsid w:val="39F33306"/>
    <w:rsid w:val="3A2C1C67"/>
    <w:rsid w:val="3ADD7F09"/>
    <w:rsid w:val="3B1705E5"/>
    <w:rsid w:val="3B18334B"/>
    <w:rsid w:val="3B36794F"/>
    <w:rsid w:val="3B6F6EE0"/>
    <w:rsid w:val="3C566AD6"/>
    <w:rsid w:val="3C594871"/>
    <w:rsid w:val="3C6A5B02"/>
    <w:rsid w:val="3D2757A1"/>
    <w:rsid w:val="3D3D4FC4"/>
    <w:rsid w:val="3DDF3AB1"/>
    <w:rsid w:val="3E1D0952"/>
    <w:rsid w:val="3E42660A"/>
    <w:rsid w:val="3E7555B1"/>
    <w:rsid w:val="3E787ED9"/>
    <w:rsid w:val="3F032E93"/>
    <w:rsid w:val="3F0527E5"/>
    <w:rsid w:val="3F694D83"/>
    <w:rsid w:val="3F885DCC"/>
    <w:rsid w:val="3FCD675E"/>
    <w:rsid w:val="4004000C"/>
    <w:rsid w:val="40BD5482"/>
    <w:rsid w:val="411B6CE5"/>
    <w:rsid w:val="412070D7"/>
    <w:rsid w:val="41314E40"/>
    <w:rsid w:val="41E0734B"/>
    <w:rsid w:val="426C1EA8"/>
    <w:rsid w:val="42736402"/>
    <w:rsid w:val="428F29A8"/>
    <w:rsid w:val="42E86A87"/>
    <w:rsid w:val="43307B09"/>
    <w:rsid w:val="439A3EB9"/>
    <w:rsid w:val="43BB152F"/>
    <w:rsid w:val="44C37687"/>
    <w:rsid w:val="45CB699A"/>
    <w:rsid w:val="465B470D"/>
    <w:rsid w:val="469D6AD4"/>
    <w:rsid w:val="471E6C84"/>
    <w:rsid w:val="4748792B"/>
    <w:rsid w:val="475D719D"/>
    <w:rsid w:val="47674801"/>
    <w:rsid w:val="48225EF7"/>
    <w:rsid w:val="488F422B"/>
    <w:rsid w:val="48E36915"/>
    <w:rsid w:val="48EB6572"/>
    <w:rsid w:val="495C4A24"/>
    <w:rsid w:val="497135DF"/>
    <w:rsid w:val="4A263DF2"/>
    <w:rsid w:val="4A6F6675"/>
    <w:rsid w:val="4B135857"/>
    <w:rsid w:val="4B7951CB"/>
    <w:rsid w:val="4B7C315C"/>
    <w:rsid w:val="4DAC4ACA"/>
    <w:rsid w:val="4DBE01D2"/>
    <w:rsid w:val="4F0C6BA3"/>
    <w:rsid w:val="4F186D58"/>
    <w:rsid w:val="50F06B6E"/>
    <w:rsid w:val="51114E05"/>
    <w:rsid w:val="51D21804"/>
    <w:rsid w:val="52234D33"/>
    <w:rsid w:val="522F6E0C"/>
    <w:rsid w:val="52463BA1"/>
    <w:rsid w:val="52F163D4"/>
    <w:rsid w:val="531A2DB4"/>
    <w:rsid w:val="53C0244D"/>
    <w:rsid w:val="53DD4D4E"/>
    <w:rsid w:val="53E578CE"/>
    <w:rsid w:val="541330F0"/>
    <w:rsid w:val="54272666"/>
    <w:rsid w:val="543B029D"/>
    <w:rsid w:val="54861779"/>
    <w:rsid w:val="552256E1"/>
    <w:rsid w:val="554E5773"/>
    <w:rsid w:val="555829E0"/>
    <w:rsid w:val="555A3CBC"/>
    <w:rsid w:val="5582012B"/>
    <w:rsid w:val="558E4E05"/>
    <w:rsid w:val="55BE2E85"/>
    <w:rsid w:val="56530F5D"/>
    <w:rsid w:val="567700D3"/>
    <w:rsid w:val="56FF7E9E"/>
    <w:rsid w:val="578867FC"/>
    <w:rsid w:val="5842572D"/>
    <w:rsid w:val="599E2A60"/>
    <w:rsid w:val="5A3B59D6"/>
    <w:rsid w:val="5AD134D8"/>
    <w:rsid w:val="5C263CE4"/>
    <w:rsid w:val="5C5D2777"/>
    <w:rsid w:val="5CF66BF3"/>
    <w:rsid w:val="5D290C69"/>
    <w:rsid w:val="5F2D4A41"/>
    <w:rsid w:val="60C74F6C"/>
    <w:rsid w:val="61025A59"/>
    <w:rsid w:val="613D5BBC"/>
    <w:rsid w:val="61536C39"/>
    <w:rsid w:val="62944DD7"/>
    <w:rsid w:val="6319381F"/>
    <w:rsid w:val="63C25DC5"/>
    <w:rsid w:val="63C62057"/>
    <w:rsid w:val="64571EF5"/>
    <w:rsid w:val="64BC7914"/>
    <w:rsid w:val="64FB113D"/>
    <w:rsid w:val="656152C6"/>
    <w:rsid w:val="6587477F"/>
    <w:rsid w:val="658C3A08"/>
    <w:rsid w:val="65C031CA"/>
    <w:rsid w:val="65CE6852"/>
    <w:rsid w:val="66267C04"/>
    <w:rsid w:val="663F505A"/>
    <w:rsid w:val="66EE5541"/>
    <w:rsid w:val="67924660"/>
    <w:rsid w:val="68407834"/>
    <w:rsid w:val="6883293E"/>
    <w:rsid w:val="688412AD"/>
    <w:rsid w:val="68EB1B71"/>
    <w:rsid w:val="6A6C7940"/>
    <w:rsid w:val="6AAD2300"/>
    <w:rsid w:val="6B474EF5"/>
    <w:rsid w:val="6C0A5AC5"/>
    <w:rsid w:val="6C560CAE"/>
    <w:rsid w:val="6C576495"/>
    <w:rsid w:val="6D903FF5"/>
    <w:rsid w:val="6DA955B8"/>
    <w:rsid w:val="6DE346AB"/>
    <w:rsid w:val="6DE5391A"/>
    <w:rsid w:val="6EFD1324"/>
    <w:rsid w:val="6F5A53AC"/>
    <w:rsid w:val="6FAC003D"/>
    <w:rsid w:val="6FE55E12"/>
    <w:rsid w:val="6FFB2E76"/>
    <w:rsid w:val="708F6F7F"/>
    <w:rsid w:val="70D94BD3"/>
    <w:rsid w:val="71C34D91"/>
    <w:rsid w:val="72DB435C"/>
    <w:rsid w:val="72E2613A"/>
    <w:rsid w:val="72F771F4"/>
    <w:rsid w:val="73934AD2"/>
    <w:rsid w:val="750837F0"/>
    <w:rsid w:val="754758CF"/>
    <w:rsid w:val="764F62AB"/>
    <w:rsid w:val="765C45EC"/>
    <w:rsid w:val="768A7619"/>
    <w:rsid w:val="772E1EBA"/>
    <w:rsid w:val="781926BC"/>
    <w:rsid w:val="796D60A4"/>
    <w:rsid w:val="79A031D5"/>
    <w:rsid w:val="7A1525F7"/>
    <w:rsid w:val="7B420052"/>
    <w:rsid w:val="7BD06A28"/>
    <w:rsid w:val="7C3A7C0B"/>
    <w:rsid w:val="7C5248E4"/>
    <w:rsid w:val="7C566698"/>
    <w:rsid w:val="7C5866A3"/>
    <w:rsid w:val="7C6A70D7"/>
    <w:rsid w:val="7D7406BB"/>
    <w:rsid w:val="7DE94331"/>
    <w:rsid w:val="7F446A19"/>
    <w:rsid w:val="7F7452B9"/>
    <w:rsid w:val="7F814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08F27D26"/>
  <w15:docId w15:val="{8D1AE661-5135-486A-8993-2BAABF573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99"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rPr>
      <w:rFonts w:ascii="宋体" w:hAnsi="宋体" w:hint="eastAs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qFormat/>
    <w:pPr>
      <w:tabs>
        <w:tab w:val="center" w:pos="4153"/>
        <w:tab w:val="right" w:pos="8306"/>
      </w:tabs>
      <w:snapToGrid w:val="0"/>
    </w:pPr>
    <w:rPr>
      <w:sz w:val="18"/>
      <w:szCs w:val="18"/>
    </w:rPr>
  </w:style>
  <w:style w:type="paragraph" w:styleId="a6">
    <w:name w:val="header"/>
    <w:basedOn w:val="a"/>
    <w:qFormat/>
    <w:pPr>
      <w:tabs>
        <w:tab w:val="center" w:pos="4153"/>
        <w:tab w:val="right" w:pos="8306"/>
      </w:tabs>
      <w:snapToGrid w:val="0"/>
      <w:jc w:val="center"/>
    </w:pPr>
    <w:rPr>
      <w:sz w:val="18"/>
      <w:szCs w:val="18"/>
    </w:rPr>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7">
    <w:name w:val="Normal (Web)"/>
    <w:basedOn w:val="a"/>
    <w:uiPriority w:val="99"/>
    <w:unhideWhenUsed/>
    <w:qFormat/>
    <w:pPr>
      <w:spacing w:before="100" w:beforeAutospacing="1" w:after="100" w:afterAutospacing="1"/>
    </w:p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qFormat/>
    <w:rPr>
      <w:b/>
    </w:rPr>
  </w:style>
  <w:style w:type="paragraph" w:customStyle="1" w:styleId="1">
    <w:name w:val="列出段落1"/>
    <w:basedOn w:val="a"/>
    <w:uiPriority w:val="99"/>
    <w:qFormat/>
    <w:pPr>
      <w:ind w:firstLineChars="200" w:firstLine="420"/>
    </w:pPr>
    <w:rPr>
      <w:rFonts w:hint="default"/>
    </w:rPr>
  </w:style>
  <w:style w:type="paragraph" w:customStyle="1" w:styleId="Char">
    <w:name w:val="普通(网站) Char"/>
    <w:qFormat/>
    <w:pPr>
      <w:spacing w:before="100" w:beforeAutospacing="1" w:after="100" w:afterAutospacing="1"/>
    </w:pPr>
    <w:rPr>
      <w:rFonts w:ascii="宋体" w:hAnsi="宋体"/>
      <w:sz w:val="24"/>
      <w:szCs w:val="24"/>
    </w:rPr>
  </w:style>
  <w:style w:type="character" w:customStyle="1" w:styleId="21">
    <w:name w:val="21"/>
    <w:qFormat/>
    <w:rPr>
      <w:rFonts w:ascii="Wingdings" w:hAnsi="Wingdings" w:cs="Wingdings" w:hint="default"/>
      <w:b/>
      <w:bCs/>
    </w:rPr>
  </w:style>
  <w:style w:type="paragraph" w:customStyle="1" w:styleId="2">
    <w:name w:val="列出段落2"/>
    <w:uiPriority w:val="99"/>
    <w:qFormat/>
    <w:pPr>
      <w:ind w:firstLineChars="200" w:firstLine="420"/>
    </w:pPr>
    <w:rPr>
      <w:rFonts w:ascii="宋体" w:hAnsi="宋体"/>
      <w:sz w:val="24"/>
      <w:szCs w:val="24"/>
    </w:rPr>
  </w:style>
  <w:style w:type="character" w:customStyle="1" w:styleId="a4">
    <w:name w:val="批注框文本 字符"/>
    <w:basedOn w:val="a0"/>
    <w:link w:val="a3"/>
    <w:qFormat/>
    <w:rPr>
      <w:rFonts w:ascii="宋体" w:hAnsi="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Info spid="_x0000_s2052"/>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2308</Words>
  <Characters>13162</Characters>
  <Application>Microsoft Office Word</Application>
  <DocSecurity>0</DocSecurity>
  <Lines>109</Lines>
  <Paragraphs>30</Paragraphs>
  <ScaleCrop>false</ScaleCrop>
  <Company/>
  <LinksUpToDate>false</LinksUpToDate>
  <CharactersWithSpaces>15440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30</cp:revision>
  <dcterms:created xsi:type="dcterms:W3CDTF">2024-07-11T02:00:00Z</dcterms:created>
  <dcterms:modified xsi:type="dcterms:W3CDTF">2024-09-23T05:34:00Z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BB46EABDBB2749749395447164B066B3_12</vt:lpwstr>
  </property>
</Properties>
</file>