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重庆市丰都县水天坪幼儿园</w:t>
      </w:r>
    </w:p>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实施学前教育,促进学前教育发展。承担辖区内学前教育;推进课程改革和教法学法改革;提高学生综合素质;培养学生多样化发展;培养学生良好品德;从事学前教育的相关社会服务。</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shd w:val="clear" w:color="auto" w:fill="FFFFFF"/>
        <w:spacing w:line="420" w:lineRule="atLeast"/>
        <w:ind w:firstLine="480"/>
        <w:rPr>
          <w:rFonts w:hint="default" w:ascii="方正仿宋简体" w:hAnsi="方正仿宋简体" w:eastAsia="方正仿宋简体" w:cs="方正仿宋简体"/>
          <w:color w:val="333333"/>
          <w:sz w:val="32"/>
          <w:szCs w:val="32"/>
        </w:rPr>
      </w:pPr>
      <w:r>
        <w:rPr>
          <w:rFonts w:ascii="方正仿宋简体" w:hAnsi="方正仿宋简体" w:eastAsia="方正仿宋简体" w:cs="方正仿宋简体"/>
          <w:color w:val="FF0000"/>
          <w:sz w:val="32"/>
          <w:szCs w:val="32"/>
        </w:rPr>
        <w:t> </w:t>
      </w:r>
      <w:r>
        <w:rPr>
          <w:rFonts w:ascii="方正仿宋_GBK" w:hAnsi="方正仿宋_GBK" w:eastAsia="方正仿宋_GBK" w:cs="方正仿宋_GBK"/>
          <w:sz w:val="32"/>
          <w:szCs w:val="32"/>
          <w:shd w:val="clear" w:color="auto" w:fill="FFFFFF"/>
        </w:rPr>
        <w:t>本单位内部常设机构主要有园长办、党政办、教务处、德育处、后勤处。</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2023年度收入总计373.54万元，支出总计</w:t>
      </w:r>
      <w:r>
        <w:rPr>
          <w:rFonts w:ascii="方正仿宋_GBK" w:hAnsi="方正仿宋_GBK" w:eastAsia="方正仿宋_GBK" w:cs="方正仿宋_GBK"/>
          <w:sz w:val="32"/>
          <w:szCs w:val="32"/>
        </w:rPr>
        <w:t>373.54</w:t>
      </w:r>
      <w:r>
        <w:rPr>
          <w:rFonts w:ascii="方正仿宋_GBK" w:hAnsi="方正仿宋_GBK" w:eastAsia="方正仿宋_GBK" w:cs="方正仿宋_GBK"/>
          <w:sz w:val="32"/>
          <w:szCs w:val="32"/>
          <w:shd w:val="clear" w:color="auto" w:fill="FFFFFF"/>
        </w:rPr>
        <w:t>万元。收支较上年决算数增加85.34万元，增长29.61%，主要原因是人员正常工资增加和统筹返还支出纳入本年决算。</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2023年度收入合计261.75万元，较上年决算数减少11.28万元，下降4.13%，主要原因是学生人数减少。其中：财政拨款收入</w:t>
      </w:r>
      <w:r>
        <w:rPr>
          <w:rFonts w:ascii="方正仿宋_GBK" w:hAnsi="方正仿宋_GBK" w:eastAsia="方正仿宋_GBK" w:cs="方正仿宋_GBK"/>
          <w:sz w:val="32"/>
          <w:szCs w:val="32"/>
        </w:rPr>
        <w:t>154.19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58.91</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100.08</w:t>
      </w:r>
      <w:r>
        <w:rPr>
          <w:rFonts w:ascii="方正仿宋_GBK" w:hAnsi="方正仿宋_GBK" w:eastAsia="方正仿宋_GBK" w:cs="方正仿宋_GBK"/>
          <w:sz w:val="32"/>
          <w:szCs w:val="32"/>
          <w:shd w:val="clear" w:color="auto" w:fill="FFFFFF"/>
        </w:rPr>
        <w:t>万元，占38.23%；经营收入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7.48</w:t>
      </w:r>
      <w:r>
        <w:rPr>
          <w:rFonts w:ascii="方正仿宋_GBK" w:hAnsi="方正仿宋_GBK" w:eastAsia="方正仿宋_GBK" w:cs="方正仿宋_GBK"/>
          <w:sz w:val="32"/>
          <w:szCs w:val="32"/>
          <w:shd w:val="clear" w:color="auto" w:fill="FFFFFF"/>
        </w:rPr>
        <w:t>万元，占2.86%。此外，使用非财政拨款结余和专用结余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111.79</w:t>
      </w:r>
      <w:r>
        <w:rPr>
          <w:rFonts w:ascii="方正仿宋_GBK" w:hAnsi="方正仿宋_GBK" w:eastAsia="方正仿宋_GBK" w:cs="方正仿宋_GBK"/>
          <w:sz w:val="32"/>
          <w:szCs w:val="32"/>
          <w:shd w:val="clear" w:color="auto" w:fill="FFFFFF"/>
        </w:rPr>
        <w:t>万元。</w:t>
      </w:r>
    </w:p>
    <w:p>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335.49</w:t>
      </w:r>
      <w:r>
        <w:rPr>
          <w:rFonts w:ascii="方正仿宋_GBK" w:hAnsi="方正仿宋_GBK" w:eastAsia="方正仿宋_GBK" w:cs="方正仿宋_GBK"/>
          <w:sz w:val="32"/>
          <w:szCs w:val="32"/>
          <w:shd w:val="clear" w:color="auto" w:fill="FFFFFF"/>
        </w:rPr>
        <w:t>万元，较上年决算数增加77.00万元，增长29.79%，主要原因是人员正常工资增加和统筹返还支出纳入本年决算。其中：基本支出</w:t>
      </w:r>
      <w:r>
        <w:rPr>
          <w:rFonts w:ascii="方正仿宋_GBK" w:hAnsi="方正仿宋_GBK" w:eastAsia="方正仿宋_GBK" w:cs="方正仿宋_GBK"/>
          <w:sz w:val="32"/>
          <w:szCs w:val="32"/>
        </w:rPr>
        <w:t>223.07</w:t>
      </w:r>
      <w:r>
        <w:rPr>
          <w:rFonts w:ascii="方正仿宋_GBK" w:hAnsi="方正仿宋_GBK" w:eastAsia="方正仿宋_GBK" w:cs="方正仿宋_GBK"/>
          <w:sz w:val="32"/>
          <w:szCs w:val="32"/>
          <w:shd w:val="clear" w:color="auto" w:fill="FFFFFF"/>
        </w:rPr>
        <w:t>万元，占66.49%；项目支出</w:t>
      </w:r>
      <w:r>
        <w:rPr>
          <w:rFonts w:ascii="方正仿宋_GBK" w:hAnsi="方正仿宋_GBK" w:eastAsia="方正仿宋_GBK" w:cs="方正仿宋_GBK"/>
          <w:sz w:val="32"/>
          <w:szCs w:val="32"/>
        </w:rPr>
        <w:t>112.42</w:t>
      </w:r>
      <w:r>
        <w:rPr>
          <w:rFonts w:ascii="方正仿宋_GBK" w:hAnsi="方正仿宋_GBK" w:eastAsia="方正仿宋_GBK" w:cs="方正仿宋_GBK"/>
          <w:sz w:val="32"/>
          <w:szCs w:val="32"/>
          <w:shd w:val="clear" w:color="auto" w:fill="FFFFFF"/>
        </w:rPr>
        <w:t>万元，占33.51%；经营支出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38.05</w:t>
      </w:r>
      <w:r>
        <w:rPr>
          <w:rFonts w:ascii="方正仿宋_GBK" w:hAnsi="方正仿宋_GBK" w:eastAsia="方正仿宋_GBK" w:cs="方正仿宋_GBK"/>
          <w:sz w:val="32"/>
          <w:szCs w:val="32"/>
          <w:shd w:val="clear" w:color="auto" w:fill="FFFFFF"/>
        </w:rPr>
        <w:t>万元，较上年决算数增加8.34万元，增长28.07%，主要原因是保教保育费收入使用减少。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2023年度财政拨款收、支总计236.28万元。与2022年相比，财政拨款收、支总计各增加63.20万元，增长36.51%。主要原因是人员正常工资增加和统筹返还支出纳入本年决算。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154.19</w:t>
      </w:r>
      <w:r>
        <w:rPr>
          <w:rFonts w:ascii="方正仿宋_GBK" w:hAnsi="方正仿宋_GBK" w:eastAsia="方正仿宋_GBK" w:cs="方正仿宋_GBK"/>
          <w:sz w:val="32"/>
          <w:szCs w:val="32"/>
          <w:shd w:val="clear" w:color="auto" w:fill="FFFFFF"/>
        </w:rPr>
        <w:t>万元，较上年决算数减少18.89万元，下降10.91%。主要原因是学生人数减少。较年初预算数增加55.79万元，增长56.70%。主要原因是人员正常工资增加和年中预算调整项目收入增加。此外，年初财政拨款结转和结余</w:t>
      </w:r>
      <w:r>
        <w:rPr>
          <w:rFonts w:ascii="方正仿宋_GBK" w:hAnsi="方正仿宋_GBK" w:eastAsia="方正仿宋_GBK" w:cs="方正仿宋_GBK"/>
          <w:sz w:val="32"/>
          <w:szCs w:val="32"/>
        </w:rPr>
        <w:t>82.09</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236.28</w:t>
      </w:r>
      <w:r>
        <w:rPr>
          <w:rFonts w:ascii="方正仿宋_GBK" w:hAnsi="方正仿宋_GBK" w:eastAsia="方正仿宋_GBK" w:cs="方正仿宋_GBK"/>
          <w:sz w:val="32"/>
          <w:szCs w:val="32"/>
          <w:shd w:val="clear" w:color="auto" w:fill="FFFFFF"/>
        </w:rPr>
        <w:t>万元，较上年决算数增加63.20万元，增长36.51%。主要原因是人员正常工资增加和统筹返还支出纳入本年决算。较年初预算数增加137.88万元，增长140.12%。主要原因是人员正常工资增加和统筹返还支出纳入本年决算，以及年中预算调整项目收入增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216.90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91.80</w:t>
      </w:r>
      <w:r>
        <w:rPr>
          <w:rFonts w:ascii="方正仿宋_GBK" w:hAnsi="方正仿宋_GBK" w:eastAsia="方正仿宋_GBK" w:cs="方正仿宋_GBK"/>
          <w:sz w:val="32"/>
          <w:szCs w:val="32"/>
          <w:shd w:val="clear" w:color="auto" w:fill="FFFFFF"/>
        </w:rPr>
        <w:t>%，较年初预算数增加137.93万元，增长174.66%，主要原因是人员正常工资增加和统筹返还支出纳入本年决算。</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9.66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4.09</w:t>
      </w:r>
      <w:r>
        <w:rPr>
          <w:rFonts w:ascii="方正仿宋_GBK" w:hAnsi="方正仿宋_GBK" w:eastAsia="方正仿宋_GBK" w:cs="方正仿宋_GBK"/>
          <w:sz w:val="32"/>
          <w:szCs w:val="32"/>
          <w:shd w:val="clear" w:color="auto" w:fill="FFFFFF"/>
        </w:rPr>
        <w:t>%，较年初预算数无增减，主要原因是年内人员无变化。</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4.95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2.09</w:t>
      </w:r>
      <w:r>
        <w:rPr>
          <w:rFonts w:ascii="方正仿宋_GBK" w:hAnsi="方正仿宋_GBK" w:eastAsia="方正仿宋_GBK" w:cs="方正仿宋_GBK"/>
          <w:sz w:val="32"/>
          <w:szCs w:val="32"/>
          <w:shd w:val="clear" w:color="auto" w:fill="FFFFFF"/>
        </w:rPr>
        <w:t>%，较年初预算数无增减，主要原因是年内人员无变化。</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（4）</w:t>
      </w:r>
      <w:r>
        <w:rPr>
          <w:rFonts w:ascii="方正仿宋_GBK" w:hAnsi="方正仿宋_GBK" w:eastAsia="方正仿宋_GBK" w:cs="方正仿宋_GBK"/>
          <w:sz w:val="32"/>
          <w:szCs w:val="32"/>
        </w:rPr>
        <w:t>住房保障支出4.78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2.02</w:t>
      </w:r>
      <w:r>
        <w:rPr>
          <w:rFonts w:ascii="方正仿宋_GBK" w:hAnsi="方正仿宋_GBK" w:eastAsia="方正仿宋_GBK" w:cs="方正仿宋_GBK"/>
          <w:sz w:val="32"/>
          <w:szCs w:val="32"/>
          <w:shd w:val="clear" w:color="auto" w:fill="FFFFFF"/>
        </w:rPr>
        <w:t>%，较年初预算数减少0.05万元，下降1.04%，主要原因是财政追减2021年、2022年多交公积金。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123.86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111.44</w:t>
      </w:r>
      <w:r>
        <w:rPr>
          <w:rFonts w:ascii="方正仿宋_GBK" w:hAnsi="方正仿宋_GBK" w:eastAsia="方正仿宋_GBK" w:cs="方正仿宋_GBK"/>
          <w:sz w:val="32"/>
          <w:szCs w:val="32"/>
          <w:shd w:val="clear" w:color="auto" w:fill="FFFFFF"/>
        </w:rPr>
        <w:t>万元，较上年决算数增加5.98万元，增长5.67%，主要原因是正常工资增长，清算兑现2021年超额绩效。人员经费用途主要包括基本工资、津贴补贴、绩效工资、社会保障缴费、其他福利支出等。公用经费</w:t>
      </w:r>
      <w:r>
        <w:rPr>
          <w:rFonts w:ascii="方正仿宋_GBK" w:hAnsi="方正仿宋_GBK" w:eastAsia="方正仿宋_GBK" w:cs="方正仿宋_GBK"/>
          <w:sz w:val="32"/>
          <w:szCs w:val="32"/>
        </w:rPr>
        <w:t>12.42</w:t>
      </w:r>
      <w:r>
        <w:rPr>
          <w:rFonts w:ascii="方正仿宋_GBK" w:hAnsi="方正仿宋_GBK" w:eastAsia="方正仿宋_GBK" w:cs="方正仿宋_GBK"/>
          <w:sz w:val="32"/>
          <w:szCs w:val="32"/>
          <w:shd w:val="clear" w:color="auto" w:fill="FFFFFF"/>
        </w:rPr>
        <w:t>万元，较上年决算数减少8.31万元，下降40.09%，主要原因是学生人数减少和节约开支。公用经费用途主要包括办公费、印刷费、培训费、劳务费、工会经费、维修费、水费、电费、邮电费等。</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万元，较年初预算数无增减。较上年支出数无增减。</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万元，主要用于接待。费用支出较年初预算数无增减。较上年支出数无增减。</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418" w:firstLineChars="13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万元。本年度培训费支出</w:t>
      </w:r>
      <w:r>
        <w:rPr>
          <w:rFonts w:ascii="方正仿宋_GBK" w:hAnsi="方正仿宋_GBK" w:eastAsia="方正仿宋_GBK" w:cs="方正仿宋_GBK"/>
          <w:sz w:val="32"/>
          <w:szCs w:val="32"/>
        </w:rPr>
        <w:t>1.91</w:t>
      </w:r>
      <w:r>
        <w:rPr>
          <w:rFonts w:ascii="方正仿宋_GBK" w:hAnsi="方正仿宋_GBK" w:eastAsia="方正仿宋_GBK" w:cs="方正仿宋_GBK"/>
          <w:sz w:val="32"/>
          <w:szCs w:val="32"/>
          <w:shd w:val="clear" w:color="auto" w:fill="FFFFFF"/>
        </w:rPr>
        <w:t>万元，较上年决算数增加1.62万元，增长558.62%，主要原因是加大对教师的培训力度。</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11"/>
        <w:autoSpaceDE w:val="0"/>
        <w:ind w:firstLine="640"/>
        <w:rPr>
          <w:rFonts w:ascii="楷体" w:hAnsi="楷体" w:eastAsia="楷体" w:cs="楷体"/>
          <w:b/>
          <w:bCs/>
          <w:sz w:val="32"/>
          <w:szCs w:val="32"/>
          <w:shd w:val="clear" w:color="auto" w:fill="FFFFFF"/>
        </w:rPr>
      </w:pPr>
      <w:r>
        <w:rPr>
          <w:rFonts w:ascii="方正仿宋_GBK" w:hAnsi="方正仿宋_GBK" w:eastAsia="方正仿宋_GBK" w:cs="方正仿宋_GBK"/>
          <w:sz w:val="32"/>
          <w:szCs w:val="32"/>
        </w:rPr>
        <w:t>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numPr>
          <w:ilvl w:val="0"/>
          <w:numId w:val="1"/>
        </w:numPr>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政府采购支出情况说明</w:t>
      </w:r>
    </w:p>
    <w:p>
      <w:pPr>
        <w:pStyle w:val="11"/>
        <w:autoSpaceDE w:val="0"/>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pPr>
        <w:pStyle w:val="6"/>
        <w:numPr>
          <w:ilvl w:val="0"/>
          <w:numId w:val="2"/>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0" w:beforeAutospacing="0" w:line="600" w:lineRule="exact"/>
        <w:ind w:firstLine="640" w:firstLineChars="200"/>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根据预算绩效管理要求，我单位对部门8个二级项目开展了绩效自评，涉及财政拨款项目支出资金58.78万元。</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pPr>
        <w:pStyle w:val="11"/>
        <w:numPr>
          <w:ilvl w:val="0"/>
          <w:numId w:val="3"/>
        </w:numPr>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财政绩效评价情况</w:t>
      </w:r>
    </w:p>
    <w:p>
      <w:pPr>
        <w:pStyle w:val="11"/>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市财政局未委托第三方对我单位开展绩效评价。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ind w:firstLine="320" w:firstLineChars="1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ind w:firstLine="320" w:firstLineChars="100"/>
        <w:rPr>
          <w:rFonts w:hint="default" w:ascii="方正仿宋简体" w:hAnsi="方正仿宋简体" w:eastAsia="方正仿宋简体" w:cs="方正仿宋简体"/>
          <w:sz w:val="32"/>
          <w:szCs w:val="32"/>
        </w:rPr>
      </w:pPr>
      <w:r>
        <w:rPr>
          <w:rFonts w:ascii="方正仿宋简体" w:hAnsi="方正仿宋简体" w:eastAsia="方正仿宋简体" w:cs="方正仿宋简体"/>
          <w:sz w:val="32"/>
          <w:szCs w:val="32"/>
        </w:rPr>
        <w:t xml:space="preserve">李春梅   </w:t>
      </w:r>
      <w:r>
        <w:rPr>
          <w:rFonts w:ascii="方正仿宋简体" w:hAnsi="方正仿宋简体" w:eastAsia="方正仿宋简体" w:cs="方正仿宋简体"/>
          <w:color w:val="333333"/>
          <w:sz w:val="32"/>
          <w:szCs w:val="32"/>
        </w:rPr>
        <w:t>023-70649227</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重庆市丰都县水天坪幼儿园</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154.19</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100.08</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316.11</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7.48</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9.66</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4.95</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4.78</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261.75</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335.49</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111.79</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38.05</w:t>
            </w:r>
            <w:r>
              <w:rPr>
                <w:color w:val="000000"/>
                <w:sz w:val="20"/>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373.54</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373.54</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重庆市丰都县水天坪幼儿园</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261.75</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154.19</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100.08</w:t>
            </w: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100.08</w:t>
            </w: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7.48</w:t>
            </w:r>
            <w:r>
              <w:rPr>
                <w:b/>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242.37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134.81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100.08</w:t>
            </w:r>
            <w:r>
              <w:rPr>
                <w:b/>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100.08</w:t>
            </w:r>
            <w:r>
              <w:rPr>
                <w:b/>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7.48</w:t>
            </w:r>
            <w:r>
              <w:rPr>
                <w:b/>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242.37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134.81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100.08</w:t>
            </w:r>
            <w:r>
              <w:rPr>
                <w:b/>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100.08</w:t>
            </w:r>
            <w:r>
              <w:rPr>
                <w:b/>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7.48</w:t>
            </w:r>
            <w:r>
              <w:rPr>
                <w:b/>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242.37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134.81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100.08</w:t>
            </w: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100.08</w:t>
            </w: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7.48</w:t>
            </w: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408" w:type="dxa"/>
        <w:tblInd w:w="0" w:type="dxa"/>
        <w:tblLayout w:type="fixed"/>
        <w:tblCellMar>
          <w:top w:w="0" w:type="dxa"/>
          <w:left w:w="0" w:type="dxa"/>
          <w:bottom w:w="0" w:type="dxa"/>
          <w:right w:w="0" w:type="dxa"/>
        </w:tblCellMar>
      </w:tblPr>
      <w:tblGrid>
        <w:gridCol w:w="1806"/>
        <w:gridCol w:w="3362"/>
        <w:gridCol w:w="1704"/>
        <w:gridCol w:w="1704"/>
        <w:gridCol w:w="1704"/>
        <w:gridCol w:w="1688"/>
        <w:gridCol w:w="1688"/>
        <w:gridCol w:w="1752"/>
      </w:tblGrid>
      <w:tr>
        <w:tblPrEx>
          <w:tblCellMar>
            <w:top w:w="0" w:type="dxa"/>
            <w:left w:w="0" w:type="dxa"/>
            <w:bottom w:w="0" w:type="dxa"/>
            <w:right w:w="0" w:type="dxa"/>
          </w:tblCellMar>
        </w:tblPrEx>
        <w:trPr>
          <w:trHeight w:val="636" w:hRule="atLeast"/>
        </w:trPr>
        <w:tc>
          <w:tcPr>
            <w:tcW w:w="1540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32" w:hRule="atLeast"/>
        </w:trPr>
        <w:tc>
          <w:tcPr>
            <w:tcW w:w="687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重庆市丰都县水天坪幼儿园 </w:t>
            </w:r>
          </w:p>
        </w:tc>
        <w:tc>
          <w:tcPr>
            <w:tcW w:w="170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5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32" w:hRule="atLeast"/>
        </w:trPr>
        <w:tc>
          <w:tcPr>
            <w:tcW w:w="687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4"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8"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5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52" w:hRule="atLeast"/>
        </w:trPr>
        <w:tc>
          <w:tcPr>
            <w:tcW w:w="516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5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28" w:hRule="atLeast"/>
        </w:trPr>
        <w:tc>
          <w:tcPr>
            <w:tcW w:w="1806"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6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8" w:hRule="atLeast"/>
        </w:trPr>
        <w:tc>
          <w:tcPr>
            <w:tcW w:w="1806"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6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8" w:hRule="atLeast"/>
        </w:trPr>
        <w:tc>
          <w:tcPr>
            <w:tcW w:w="1806"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6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8" w:hRule="atLeast"/>
        </w:trPr>
        <w:tc>
          <w:tcPr>
            <w:tcW w:w="1806"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6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5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52" w:hRule="atLeast"/>
        </w:trPr>
        <w:tc>
          <w:tcPr>
            <w:tcW w:w="516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335.49</w:t>
            </w:r>
            <w:r>
              <w:rPr>
                <w:b/>
                <w:color w:val="000000"/>
                <w:sz w:val="20"/>
              </w:rPr>
              <w:t xml:space="preserve"> </w:t>
            </w:r>
          </w:p>
        </w:tc>
        <w:tc>
          <w:tcPr>
            <w:tcW w:w="1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223.07</w:t>
            </w:r>
            <w:r>
              <w:rPr>
                <w:b/>
                <w:color w:val="000000"/>
                <w:sz w:val="20"/>
              </w:rPr>
              <w:t xml:space="preserve"> </w:t>
            </w:r>
          </w:p>
        </w:tc>
        <w:tc>
          <w:tcPr>
            <w:tcW w:w="170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112.42</w:t>
            </w:r>
            <w:r>
              <w:rPr>
                <w:b/>
                <w:color w:val="000000"/>
                <w:sz w:val="20"/>
              </w:rPr>
              <w:t xml:space="preserve"> </w:t>
            </w:r>
          </w:p>
        </w:tc>
        <w:tc>
          <w:tcPr>
            <w:tcW w:w="16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8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5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71" w:hRule="atLeast"/>
        </w:trPr>
        <w:tc>
          <w:tcPr>
            <w:tcW w:w="18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316.11</w:t>
            </w:r>
            <w:r>
              <w:rPr>
                <w:b/>
                <w:color w:val="000000"/>
                <w:sz w:val="20"/>
              </w:rPr>
              <w:t xml:space="preserve"> </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203.68</w:t>
            </w:r>
            <w:r>
              <w:rPr>
                <w:b/>
                <w:color w:val="000000"/>
                <w:sz w:val="20"/>
              </w:rPr>
              <w:t xml:space="preserve"> </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112.42</w:t>
            </w:r>
            <w:r>
              <w:rPr>
                <w:b/>
                <w:color w:val="000000"/>
                <w:sz w:val="20"/>
              </w:rPr>
              <w:t xml:space="preserve"> </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71" w:hRule="atLeast"/>
        </w:trPr>
        <w:tc>
          <w:tcPr>
            <w:tcW w:w="18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316.11</w:t>
            </w:r>
            <w:r>
              <w:rPr>
                <w:b/>
                <w:color w:val="000000"/>
                <w:sz w:val="20"/>
              </w:rPr>
              <w:t xml:space="preserve"> </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203.68</w:t>
            </w:r>
            <w:r>
              <w:rPr>
                <w:b/>
                <w:color w:val="000000"/>
                <w:sz w:val="20"/>
              </w:rPr>
              <w:t xml:space="preserve"> </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112.42</w:t>
            </w:r>
            <w:r>
              <w:rPr>
                <w:b/>
                <w:color w:val="000000"/>
                <w:sz w:val="20"/>
              </w:rPr>
              <w:t xml:space="preserve"> </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71" w:hRule="atLeast"/>
        </w:trPr>
        <w:tc>
          <w:tcPr>
            <w:tcW w:w="18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316.11</w:t>
            </w:r>
            <w:r>
              <w:rPr>
                <w:color w:val="000000"/>
                <w:sz w:val="20"/>
              </w:rPr>
              <w:t xml:space="preserve"> </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203.68</w:t>
            </w:r>
            <w:r>
              <w:rPr>
                <w:color w:val="000000"/>
                <w:sz w:val="20"/>
              </w:rPr>
              <w:t xml:space="preserve"> </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112.42</w:t>
            </w:r>
            <w:r>
              <w:rPr>
                <w:color w:val="000000"/>
                <w:sz w:val="20"/>
              </w:rPr>
              <w:t xml:space="preserve"> </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71" w:hRule="atLeast"/>
        </w:trPr>
        <w:tc>
          <w:tcPr>
            <w:tcW w:w="18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9.66</w:t>
            </w:r>
            <w:r>
              <w:rPr>
                <w:b/>
                <w:color w:val="000000"/>
                <w:sz w:val="20"/>
              </w:rPr>
              <w:t xml:space="preserve"> </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9.66</w:t>
            </w:r>
            <w:r>
              <w:rPr>
                <w:b/>
                <w:color w:val="000000"/>
                <w:sz w:val="20"/>
              </w:rPr>
              <w:t xml:space="preserve"> </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71" w:hRule="atLeast"/>
        </w:trPr>
        <w:tc>
          <w:tcPr>
            <w:tcW w:w="18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9.66</w:t>
            </w:r>
            <w:r>
              <w:rPr>
                <w:b/>
                <w:color w:val="000000"/>
                <w:sz w:val="20"/>
              </w:rPr>
              <w:t xml:space="preserve"> </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9.66</w:t>
            </w:r>
            <w:r>
              <w:rPr>
                <w:b/>
                <w:color w:val="000000"/>
                <w:sz w:val="20"/>
              </w:rPr>
              <w:t xml:space="preserve"> </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71" w:hRule="atLeast"/>
        </w:trPr>
        <w:tc>
          <w:tcPr>
            <w:tcW w:w="18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6.44</w:t>
            </w:r>
            <w:r>
              <w:rPr>
                <w:color w:val="000000"/>
                <w:sz w:val="20"/>
              </w:rPr>
              <w:t xml:space="preserve"> </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6.44</w:t>
            </w:r>
            <w:r>
              <w:rPr>
                <w:color w:val="000000"/>
                <w:sz w:val="20"/>
              </w:rPr>
              <w:t xml:space="preserve"> </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71" w:hRule="atLeast"/>
        </w:trPr>
        <w:tc>
          <w:tcPr>
            <w:tcW w:w="18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3.22</w:t>
            </w:r>
            <w:r>
              <w:rPr>
                <w:color w:val="000000"/>
                <w:sz w:val="20"/>
              </w:rPr>
              <w:t xml:space="preserve"> </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3.22</w:t>
            </w:r>
            <w:r>
              <w:rPr>
                <w:color w:val="000000"/>
                <w:sz w:val="20"/>
              </w:rPr>
              <w:t xml:space="preserve"> </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71" w:hRule="atLeast"/>
        </w:trPr>
        <w:tc>
          <w:tcPr>
            <w:tcW w:w="18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4.95</w:t>
            </w:r>
            <w:r>
              <w:rPr>
                <w:b/>
                <w:color w:val="000000"/>
                <w:sz w:val="20"/>
              </w:rPr>
              <w:t xml:space="preserve"> </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4.95</w:t>
            </w:r>
            <w:r>
              <w:rPr>
                <w:b/>
                <w:color w:val="000000"/>
                <w:sz w:val="20"/>
              </w:rPr>
              <w:t xml:space="preserve"> </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71" w:hRule="atLeast"/>
        </w:trPr>
        <w:tc>
          <w:tcPr>
            <w:tcW w:w="18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4.95</w:t>
            </w:r>
            <w:r>
              <w:rPr>
                <w:b/>
                <w:color w:val="000000"/>
                <w:sz w:val="20"/>
              </w:rPr>
              <w:t xml:space="preserve"> </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4.95</w:t>
            </w:r>
            <w:r>
              <w:rPr>
                <w:b/>
                <w:color w:val="000000"/>
                <w:sz w:val="20"/>
              </w:rPr>
              <w:t xml:space="preserve"> </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71" w:hRule="atLeast"/>
        </w:trPr>
        <w:tc>
          <w:tcPr>
            <w:tcW w:w="18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3.22</w:t>
            </w:r>
            <w:r>
              <w:rPr>
                <w:color w:val="000000"/>
                <w:sz w:val="20"/>
              </w:rPr>
              <w:t xml:space="preserve"> </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3.22</w:t>
            </w:r>
            <w:r>
              <w:rPr>
                <w:color w:val="000000"/>
                <w:sz w:val="20"/>
              </w:rPr>
              <w:t xml:space="preserve"> </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71" w:hRule="atLeast"/>
        </w:trPr>
        <w:tc>
          <w:tcPr>
            <w:tcW w:w="18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w:t>
            </w:r>
            <w:r>
              <w:rPr>
                <w:color w:val="000000"/>
                <w:sz w:val="20"/>
              </w:rPr>
              <w:t xml:space="preserve"> </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w:t>
            </w:r>
            <w:r>
              <w:rPr>
                <w:color w:val="000000"/>
                <w:sz w:val="20"/>
              </w:rPr>
              <w:t xml:space="preserve"> </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71" w:hRule="atLeast"/>
        </w:trPr>
        <w:tc>
          <w:tcPr>
            <w:tcW w:w="18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4.78</w:t>
            </w:r>
            <w:r>
              <w:rPr>
                <w:b/>
                <w:color w:val="000000"/>
                <w:sz w:val="20"/>
              </w:rPr>
              <w:t xml:space="preserve"> </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4.78</w:t>
            </w:r>
            <w:r>
              <w:rPr>
                <w:b/>
                <w:color w:val="000000"/>
                <w:sz w:val="20"/>
              </w:rPr>
              <w:t xml:space="preserve"> </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71" w:hRule="atLeast"/>
        </w:trPr>
        <w:tc>
          <w:tcPr>
            <w:tcW w:w="18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4.78</w:t>
            </w:r>
            <w:r>
              <w:rPr>
                <w:b/>
                <w:color w:val="000000"/>
                <w:sz w:val="20"/>
              </w:rPr>
              <w:t xml:space="preserve"> </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4.78</w:t>
            </w:r>
            <w:r>
              <w:rPr>
                <w:b/>
                <w:color w:val="000000"/>
                <w:sz w:val="20"/>
              </w:rPr>
              <w:t xml:space="preserve"> </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71" w:hRule="atLeast"/>
        </w:trPr>
        <w:tc>
          <w:tcPr>
            <w:tcW w:w="180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4.78</w:t>
            </w:r>
            <w:r>
              <w:rPr>
                <w:color w:val="000000"/>
                <w:sz w:val="20"/>
              </w:rPr>
              <w:t xml:space="preserve"> </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4.78</w:t>
            </w:r>
            <w:r>
              <w:rPr>
                <w:color w:val="000000"/>
                <w:sz w:val="20"/>
              </w:rPr>
              <w:t xml:space="preserve"> </w:t>
            </w:r>
          </w:p>
        </w:tc>
        <w:tc>
          <w:tcPr>
            <w:tcW w:w="17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重庆市丰都县水天坪幼儿园</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154.19</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216.90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216.90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4.95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154.19</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236.28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236.28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82.09</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82.09</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236.28</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236.28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236.28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重庆市丰都县水天坪幼儿园</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236.28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123.86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112.42</w:t>
            </w:r>
            <w:r>
              <w:rPr>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216.90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104.47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112.42</w:t>
            </w:r>
            <w:r>
              <w:rPr>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216.90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104.47</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112.42</w:t>
            </w:r>
            <w:r>
              <w:rPr>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216.90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104.47</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112.42</w:t>
            </w: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9.66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9.66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9.66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9.66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6.44</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3.22</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4.95</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4.95</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4.95</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4.95</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3.22</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1.73</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1.73</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重庆市丰都县水天坪幼儿园</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bookmarkStart w:id="0" w:name="_GoBack"/>
            <w:bookmarkEnd w:id="0"/>
            <w:r>
              <w:rPr>
                <w:rFonts w:cs="宋体"/>
                <w:b/>
                <w:color w:val="000000"/>
                <w:sz w:val="18"/>
                <w:szCs w:val="18"/>
              </w:rPr>
              <w:t>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111.44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12.42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22.43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56.73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111.44</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12.42</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重庆市丰都县水天坪幼儿园</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重庆市丰都县水天坪幼儿园</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重庆市丰都县水天坪幼儿园</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1.91</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0"/>
          <w:szCs w:val="20"/>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p>
      <w:pPr>
        <w:rPr>
          <w:rFonts w:hint="default" w:cs="宋体"/>
          <w:sz w:val="20"/>
          <w:szCs w:val="20"/>
        </w:rPr>
      </w:pPr>
    </w:p>
    <w:p>
      <w:pPr>
        <w:rPr>
          <w:rFonts w:hint="default" w:cs="宋体"/>
          <w:sz w:val="20"/>
          <w:szCs w:val="20"/>
        </w:rPr>
      </w:pPr>
    </w:p>
    <w:p>
      <w:pPr>
        <w:rPr>
          <w:rFonts w:hint="default"/>
        </w:rPr>
      </w:pPr>
      <w:r>
        <w:drawing>
          <wp:inline distT="0" distB="0" distL="114300" distR="114300">
            <wp:extent cx="9737725" cy="4739005"/>
            <wp:effectExtent l="0" t="0" r="15875"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9737725" cy="4739005"/>
                    </a:xfrm>
                    <a:prstGeom prst="rect">
                      <a:avLst/>
                    </a:prstGeom>
                    <a:noFill/>
                    <a:ln>
                      <a:noFill/>
                    </a:ln>
                  </pic:spPr>
                </pic:pic>
              </a:graphicData>
            </a:graphic>
          </wp:inline>
        </w:drawing>
      </w:r>
    </w:p>
    <w:p>
      <w:pPr>
        <w:rPr>
          <w:rFonts w:hint="default"/>
        </w:rPr>
      </w:pPr>
    </w:p>
    <w:p>
      <w:pPr>
        <w:rPr>
          <w:rFonts w:hint="default"/>
        </w:rPr>
      </w:pPr>
      <w:r>
        <w:drawing>
          <wp:inline distT="0" distB="0" distL="114300" distR="114300">
            <wp:extent cx="9737725" cy="4739005"/>
            <wp:effectExtent l="0" t="0" r="15875" b="444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9737725" cy="4739005"/>
                    </a:xfrm>
                    <a:prstGeom prst="rect">
                      <a:avLst/>
                    </a:prstGeom>
                    <a:noFill/>
                    <a:ln>
                      <a:noFill/>
                    </a:ln>
                  </pic:spPr>
                </pic:pic>
              </a:graphicData>
            </a:graphic>
          </wp:inline>
        </w:drawing>
      </w:r>
    </w:p>
    <w:p>
      <w:pPr>
        <w:rPr>
          <w:rFonts w:hint="default"/>
        </w:rPr>
      </w:pPr>
    </w:p>
    <w:p>
      <w:pPr>
        <w:rPr>
          <w:rFonts w:hint="default"/>
        </w:rPr>
      </w:pPr>
      <w:r>
        <w:drawing>
          <wp:inline distT="0" distB="0" distL="114300" distR="114300">
            <wp:extent cx="9737725" cy="4970145"/>
            <wp:effectExtent l="0" t="0" r="15875" b="190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a:stretch>
                      <a:fillRect/>
                    </a:stretch>
                  </pic:blipFill>
                  <pic:spPr>
                    <a:xfrm>
                      <a:off x="0" y="0"/>
                      <a:ext cx="9737725" cy="4970145"/>
                    </a:xfrm>
                    <a:prstGeom prst="rect">
                      <a:avLst/>
                    </a:prstGeom>
                    <a:noFill/>
                    <a:ln>
                      <a:noFill/>
                    </a:ln>
                  </pic:spPr>
                </pic:pic>
              </a:graphicData>
            </a:graphic>
          </wp:inline>
        </w:drawing>
      </w:r>
    </w:p>
    <w:p>
      <w:pPr>
        <w:rPr>
          <w:rFonts w:hint="default"/>
        </w:rPr>
      </w:pPr>
    </w:p>
    <w:p>
      <w:pPr>
        <w:rPr>
          <w:rFonts w:hint="default"/>
        </w:rPr>
      </w:pPr>
      <w:r>
        <w:drawing>
          <wp:inline distT="0" distB="0" distL="114300" distR="114300">
            <wp:extent cx="9737725" cy="4970145"/>
            <wp:effectExtent l="0" t="0" r="15875" b="190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0"/>
                    <a:stretch>
                      <a:fillRect/>
                    </a:stretch>
                  </pic:blipFill>
                  <pic:spPr>
                    <a:xfrm>
                      <a:off x="0" y="0"/>
                      <a:ext cx="9737725" cy="4970145"/>
                    </a:xfrm>
                    <a:prstGeom prst="rect">
                      <a:avLst/>
                    </a:prstGeom>
                    <a:noFill/>
                    <a:ln>
                      <a:noFill/>
                    </a:ln>
                  </pic:spPr>
                </pic:pic>
              </a:graphicData>
            </a:graphic>
          </wp:inline>
        </w:drawing>
      </w:r>
    </w:p>
    <w:p>
      <w:pPr>
        <w:rPr>
          <w:rFonts w:hint="default"/>
        </w:rPr>
      </w:pPr>
    </w:p>
    <w:p>
      <w:pPr>
        <w:rPr>
          <w:rFonts w:hint="default"/>
        </w:rPr>
      </w:pPr>
      <w:r>
        <w:drawing>
          <wp:inline distT="0" distB="0" distL="114300" distR="114300">
            <wp:extent cx="9737725" cy="4970145"/>
            <wp:effectExtent l="0" t="0" r="15875" b="1905"/>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1"/>
                    <a:stretch>
                      <a:fillRect/>
                    </a:stretch>
                  </pic:blipFill>
                  <pic:spPr>
                    <a:xfrm>
                      <a:off x="0" y="0"/>
                      <a:ext cx="9737725" cy="4970145"/>
                    </a:xfrm>
                    <a:prstGeom prst="rect">
                      <a:avLst/>
                    </a:prstGeom>
                    <a:noFill/>
                    <a:ln>
                      <a:noFill/>
                    </a:ln>
                  </pic:spPr>
                </pic:pic>
              </a:graphicData>
            </a:graphic>
          </wp:inline>
        </w:drawing>
      </w:r>
    </w:p>
    <w:p>
      <w:pPr>
        <w:rPr>
          <w:rFonts w:hint="default"/>
        </w:rPr>
      </w:pPr>
    </w:p>
    <w:p>
      <w:pPr>
        <w:rPr>
          <w:rFonts w:hint="default"/>
        </w:rPr>
      </w:pPr>
      <w:r>
        <w:drawing>
          <wp:inline distT="0" distB="0" distL="114300" distR="114300">
            <wp:extent cx="9737725" cy="4970145"/>
            <wp:effectExtent l="0" t="0" r="15875" b="190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2"/>
                    <a:stretch>
                      <a:fillRect/>
                    </a:stretch>
                  </pic:blipFill>
                  <pic:spPr>
                    <a:xfrm>
                      <a:off x="0" y="0"/>
                      <a:ext cx="9737725" cy="4970145"/>
                    </a:xfrm>
                    <a:prstGeom prst="rect">
                      <a:avLst/>
                    </a:prstGeom>
                    <a:noFill/>
                    <a:ln>
                      <a:noFill/>
                    </a:ln>
                  </pic:spPr>
                </pic:pic>
              </a:graphicData>
            </a:graphic>
          </wp:inline>
        </w:drawing>
      </w:r>
    </w:p>
    <w:p>
      <w:pPr>
        <w:rPr>
          <w:rFonts w:hint="default"/>
        </w:rPr>
      </w:pPr>
    </w:p>
    <w:p>
      <w:pPr>
        <w:rPr>
          <w:rFonts w:hint="default"/>
        </w:rPr>
      </w:pPr>
      <w:r>
        <w:drawing>
          <wp:inline distT="0" distB="0" distL="114300" distR="114300">
            <wp:extent cx="9737725" cy="4739005"/>
            <wp:effectExtent l="0" t="0" r="15875" b="444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3"/>
                    <a:stretch>
                      <a:fillRect/>
                    </a:stretch>
                  </pic:blipFill>
                  <pic:spPr>
                    <a:xfrm>
                      <a:off x="0" y="0"/>
                      <a:ext cx="9737725" cy="4739005"/>
                    </a:xfrm>
                    <a:prstGeom prst="rect">
                      <a:avLst/>
                    </a:prstGeom>
                    <a:noFill/>
                    <a:ln>
                      <a:noFill/>
                    </a:ln>
                  </pic:spPr>
                </pic:pic>
              </a:graphicData>
            </a:graphic>
          </wp:inline>
        </w:drawing>
      </w:r>
    </w:p>
    <w:p>
      <w:pPr>
        <w:rPr>
          <w:rFonts w:hint="default"/>
        </w:rPr>
      </w:pPr>
    </w:p>
    <w:p>
      <w:pPr>
        <w:rPr>
          <w:rFonts w:hint="default" w:cs="宋体"/>
          <w:sz w:val="21"/>
          <w:szCs w:val="21"/>
        </w:rPr>
      </w:pPr>
      <w:r>
        <w:drawing>
          <wp:inline distT="0" distB="0" distL="114300" distR="114300">
            <wp:extent cx="9737725" cy="4739005"/>
            <wp:effectExtent l="0" t="0" r="15875" b="444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4"/>
                    <a:stretch>
                      <a:fillRect/>
                    </a:stretch>
                  </pic:blipFill>
                  <pic:spPr>
                    <a:xfrm>
                      <a:off x="0" y="0"/>
                      <a:ext cx="9737725" cy="4739005"/>
                    </a:xfrm>
                    <a:prstGeom prst="rect">
                      <a:avLst/>
                    </a:prstGeom>
                    <a:noFill/>
                    <a:ln>
                      <a:noFill/>
                    </a:ln>
                  </pic:spPr>
                </pic:pic>
              </a:graphicData>
            </a:graphic>
          </wp:inline>
        </w:draw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19 -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19 -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D473D8EB"/>
    <w:multiLevelType w:val="singleLevel"/>
    <w:tmpl w:val="D473D8EB"/>
    <w:lvl w:ilvl="0" w:tentative="0">
      <w:start w:val="4"/>
      <w:numFmt w:val="chineseCounting"/>
      <w:suff w:val="nothing"/>
      <w:lvlText w:val="（%1）"/>
      <w:lvlJc w:val="left"/>
      <w:rPr>
        <w:rFonts w:hint="eastAsia"/>
      </w:rPr>
    </w:lvl>
  </w:abstractNum>
  <w:abstractNum w:abstractNumId="2">
    <w:nsid w:val="0EEFC15C"/>
    <w:multiLevelType w:val="singleLevel"/>
    <w:tmpl w:val="0EEFC15C"/>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ZjA4MmFkODMzZWExNmM3NDA4MGM4MjBiMzVjMTgifQ=="/>
    <w:docVar w:name="KSO_WPS_MARK_KEY" w:val="4ce7e8c6-a98e-406b-b456-d31891572927"/>
  </w:docVars>
  <w:rsids>
    <w:rsidRoot w:val="00B03CCD"/>
    <w:rsid w:val="000550D9"/>
    <w:rsid w:val="001D3BB7"/>
    <w:rsid w:val="002964A6"/>
    <w:rsid w:val="002B254B"/>
    <w:rsid w:val="00466C9B"/>
    <w:rsid w:val="00550ABE"/>
    <w:rsid w:val="00770383"/>
    <w:rsid w:val="007819D4"/>
    <w:rsid w:val="007B419D"/>
    <w:rsid w:val="007B7C4B"/>
    <w:rsid w:val="007D3D39"/>
    <w:rsid w:val="00994AF7"/>
    <w:rsid w:val="009B67B8"/>
    <w:rsid w:val="009D2B67"/>
    <w:rsid w:val="00A539F5"/>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075546"/>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542CAB"/>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662A7E"/>
    <w:rsid w:val="62944DD7"/>
    <w:rsid w:val="6319381F"/>
    <w:rsid w:val="63C25DC5"/>
    <w:rsid w:val="63C62057"/>
    <w:rsid w:val="64571EF5"/>
    <w:rsid w:val="64FB113D"/>
    <w:rsid w:val="656152C6"/>
    <w:rsid w:val="6587477F"/>
    <w:rsid w:val="658C3A08"/>
    <w:rsid w:val="65C031CA"/>
    <w:rsid w:val="65CE6852"/>
    <w:rsid w:val="66267C04"/>
    <w:rsid w:val="663F505A"/>
    <w:rsid w:val="6695622F"/>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3D01C95"/>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7371</Words>
  <Characters>8947</Characters>
  <Lines>83</Lines>
  <Paragraphs>23</Paragraphs>
  <TotalTime>7</TotalTime>
  <ScaleCrop>false</ScaleCrop>
  <LinksUpToDate>false</LinksUpToDate>
  <CharactersWithSpaces>9962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2024-09-27T08:15:02Z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BB46EABDBB2749749395447164B066B3_12</vt:lpwstr>
  </property>
</Properties>
</file>