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重庆谢家湾学校丰都幸福小学</w:t>
      </w:r>
    </w:p>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Times New Roman" w:hAnsi="Times New Roman" w:eastAsia="方正楷体_GBK"/>
          <w:sz w:val="32"/>
          <w:szCs w:val="32"/>
        </w:rPr>
      </w:pPr>
      <w:r>
        <w:rPr>
          <w:rStyle w:val="10"/>
          <w:rFonts w:ascii="楷体" w:hAnsi="楷体" w:eastAsia="楷体" w:cs="楷体"/>
          <w:sz w:val="32"/>
          <w:szCs w:val="32"/>
          <w:shd w:val="clear" w:color="auto" w:fill="FFFFFF"/>
        </w:rPr>
        <w:t>（一）职能职责。</w:t>
      </w:r>
      <w:r>
        <w:rPr>
          <w:rFonts w:ascii="Times New Roman" w:hAnsi="Times New Roman" w:eastAsia="方正楷体_GBK"/>
          <w:sz w:val="32"/>
          <w:szCs w:val="32"/>
        </w:rPr>
        <w:t>宗旨：实施小学义务教育，促进基础教育发展。主要职责任务：承担辖区内小学义务教育；推进课程改革和教法学法改革：提高学生综合素质；培养学生多样化发展；培养学生良好品德；从事小学义务教育及学前教育的相关社会服务。</w:t>
      </w:r>
    </w:p>
    <w:p>
      <w:pPr>
        <w:spacing w:line="594" w:lineRule="exact"/>
        <w:ind w:firstLine="643" w:firstLineChars="200"/>
        <w:rPr>
          <w:rFonts w:hint="default" w:ascii="Times New Roman" w:hAnsi="Times New Roman" w:eastAsia="方正楷体_GBK"/>
          <w:sz w:val="32"/>
          <w:szCs w:val="32"/>
        </w:rPr>
      </w:pPr>
      <w:r>
        <w:rPr>
          <w:rStyle w:val="10"/>
          <w:rFonts w:ascii="楷体" w:hAnsi="楷体" w:eastAsia="楷体" w:cs="楷体"/>
          <w:sz w:val="32"/>
          <w:szCs w:val="32"/>
          <w:shd w:val="clear" w:color="auto" w:fill="FFFFFF"/>
        </w:rPr>
        <w:t>（二）机构设置。</w:t>
      </w:r>
      <w:r>
        <w:rPr>
          <w:rFonts w:ascii="Times New Roman" w:hAnsi="Times New Roman" w:eastAsia="方正楷体_GBK"/>
          <w:sz w:val="32"/>
          <w:szCs w:val="32"/>
        </w:rPr>
        <w:t>本单位内部机构有朵朵工作站（德育处）、红梅研究室（教导处、教科室）、阳光服务站（办公室、后勤处）。</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2023年度收入总计1383.30万元，支出总计</w:t>
      </w:r>
      <w:r>
        <w:rPr>
          <w:rFonts w:ascii="方正仿宋_GBK" w:hAnsi="方正仿宋_GBK" w:eastAsia="方正仿宋_GBK" w:cs="方正仿宋_GBK"/>
          <w:sz w:val="32"/>
          <w:szCs w:val="32"/>
        </w:rPr>
        <w:t>1383.30</w:t>
      </w:r>
      <w:r>
        <w:rPr>
          <w:rFonts w:ascii="方正仿宋_GBK" w:hAnsi="方正仿宋_GBK" w:eastAsia="方正仿宋_GBK" w:cs="方正仿宋_GBK"/>
          <w:sz w:val="32"/>
          <w:szCs w:val="32"/>
          <w:shd w:val="clear" w:color="auto" w:fill="FFFFFF"/>
        </w:rPr>
        <w:t>万元。收支较上年决算数增加739.30万元，增长114.80%，主要原因是2023年新增教师41人（入城考调教师28人，公招教师13人）；2023年增加学生328人。</w:t>
      </w:r>
    </w:p>
    <w:p>
      <w:pPr>
        <w:pStyle w:val="6"/>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1254.28万元，较上年决算数增加610.28万元，增长94.76%，主要原因是2022年教师25人，2023年教师66人，2023年老师增加41人（其中考调入城教师28人，公招教师13人），2022年学生467人，2023年学生795人，学生增加328人，导致工资待遇和商品服务支出增加。其中：财政拨款收入</w:t>
      </w:r>
      <w:r>
        <w:rPr>
          <w:rFonts w:ascii="方正仿宋_GBK" w:hAnsi="方正仿宋_GBK" w:eastAsia="方正仿宋_GBK" w:cs="方正仿宋_GBK"/>
          <w:sz w:val="32"/>
          <w:szCs w:val="32"/>
        </w:rPr>
        <w:t>1169.15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93.21</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85.13</w:t>
      </w:r>
      <w:r>
        <w:rPr>
          <w:rFonts w:ascii="方正仿宋_GBK" w:hAnsi="方正仿宋_GBK" w:eastAsia="方正仿宋_GBK" w:cs="方正仿宋_GBK"/>
          <w:sz w:val="32"/>
          <w:szCs w:val="32"/>
          <w:shd w:val="clear" w:color="auto" w:fill="FFFFFF"/>
        </w:rPr>
        <w:t>万元，占6.79%。此外，使用非财政拨款结余和专用结余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129.01</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1321.19</w:t>
      </w:r>
      <w:r>
        <w:rPr>
          <w:rFonts w:ascii="方正仿宋_GBK" w:hAnsi="方正仿宋_GBK" w:eastAsia="方正仿宋_GBK" w:cs="方正仿宋_GBK"/>
          <w:sz w:val="32"/>
          <w:szCs w:val="32"/>
          <w:shd w:val="clear" w:color="auto" w:fill="FFFFFF"/>
        </w:rPr>
        <w:t>万元，较上年决算数增加806.21万元，增长156.55%，主要原因是2023年新增教师41人（入城考调教师28人，公招教师13人）；2023年增加学生328人。其中：基本支出</w:t>
      </w:r>
      <w:r>
        <w:rPr>
          <w:rFonts w:ascii="方正仿宋_GBK" w:hAnsi="方正仿宋_GBK" w:eastAsia="方正仿宋_GBK" w:cs="方正仿宋_GBK"/>
          <w:sz w:val="32"/>
          <w:szCs w:val="32"/>
        </w:rPr>
        <w:t>1316.21</w:t>
      </w:r>
      <w:r>
        <w:rPr>
          <w:rFonts w:ascii="方正仿宋_GBK" w:hAnsi="方正仿宋_GBK" w:eastAsia="方正仿宋_GBK" w:cs="方正仿宋_GBK"/>
          <w:sz w:val="32"/>
          <w:szCs w:val="32"/>
          <w:shd w:val="clear" w:color="auto" w:fill="FFFFFF"/>
        </w:rPr>
        <w:t>万元，占99.62%；项目支出</w:t>
      </w:r>
      <w:r>
        <w:rPr>
          <w:rFonts w:ascii="方正仿宋_GBK" w:hAnsi="方正仿宋_GBK" w:eastAsia="方正仿宋_GBK" w:cs="方正仿宋_GBK"/>
          <w:sz w:val="32"/>
          <w:szCs w:val="32"/>
        </w:rPr>
        <w:t>4.98</w:t>
      </w:r>
      <w:r>
        <w:rPr>
          <w:rFonts w:ascii="方正仿宋_GBK" w:hAnsi="方正仿宋_GBK" w:eastAsia="方正仿宋_GBK" w:cs="方正仿宋_GBK"/>
          <w:sz w:val="32"/>
          <w:szCs w:val="32"/>
          <w:shd w:val="clear" w:color="auto" w:fill="FFFFFF"/>
        </w:rPr>
        <w:t>万元，占0.38%；经营支出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62.11</w:t>
      </w:r>
      <w:r>
        <w:rPr>
          <w:rFonts w:ascii="方正仿宋_GBK" w:hAnsi="方正仿宋_GBK" w:eastAsia="方正仿宋_GBK" w:cs="方正仿宋_GBK"/>
          <w:sz w:val="32"/>
          <w:szCs w:val="32"/>
          <w:shd w:val="clear" w:color="auto" w:fill="FFFFFF"/>
        </w:rPr>
        <w:t>万元，较上年决算数减少66.90万元，下降51.86%，主要原因是重庆市人大常委会办公厅划拨信息化项目资金在2023年支出61.76万元，其他支出增加5.14万元。</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2023年度财政拨款收、支总计1169.15万元。与2022年相比，财政拨款收、支总计各增加674.87万元，增长136.54%。主要原因是2023年新增教师41人（入城考调教师28人，公招教师13人）；2023年增加学生328人。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1169.15</w:t>
      </w:r>
      <w:r>
        <w:rPr>
          <w:rFonts w:ascii="方正仿宋_GBK" w:hAnsi="方正仿宋_GBK" w:eastAsia="方正仿宋_GBK" w:cs="方正仿宋_GBK"/>
          <w:sz w:val="32"/>
          <w:szCs w:val="32"/>
          <w:shd w:val="clear" w:color="auto" w:fill="FFFFFF"/>
        </w:rPr>
        <w:t>万元，较上年决算数增加674.87万元，增长136.54%。主要原因是2023年新增教师41人（入城考调教师28人，公招教师13人）；2023年增加学生328人。较年初预算数增加764.22万元，增长188.73%。主要原因是2023年新增教师41人（入城考调教师28人，公招教师13人）；2023年增加学生328人。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1169.15</w:t>
      </w:r>
      <w:r>
        <w:rPr>
          <w:rFonts w:ascii="方正仿宋_GBK" w:hAnsi="方正仿宋_GBK" w:eastAsia="方正仿宋_GBK" w:cs="方正仿宋_GBK"/>
          <w:sz w:val="32"/>
          <w:szCs w:val="32"/>
          <w:shd w:val="clear" w:color="auto" w:fill="FFFFFF"/>
        </w:rPr>
        <w:t>万元，较上年决算数增加674.87万元，增长136.54%。主要原因是2023年新增教师41人（入城考调教师28人，公招教师13人）；2023年增加学生328人。较年初预算数增加764.22万元，增长188.73%。主要原因是2023年新增教师41人（入城考调教师28人，公招教师13人）；2023年增加学生328人。</w:t>
      </w: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1071.09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91.61</w:t>
      </w:r>
      <w:r>
        <w:rPr>
          <w:rFonts w:ascii="方正仿宋_GBK" w:hAnsi="方正仿宋_GBK" w:eastAsia="方正仿宋_GBK" w:cs="方正仿宋_GBK"/>
          <w:sz w:val="32"/>
          <w:szCs w:val="32"/>
          <w:shd w:val="clear" w:color="auto" w:fill="FFFFFF"/>
        </w:rPr>
        <w:t>%，较年初预算数增加757.56万元，增长241.62%，主要原因是2023年新增教师41人（入城考调教师28人，公招教师13人）。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50.33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4.30</w:t>
      </w:r>
      <w:r>
        <w:rPr>
          <w:rFonts w:ascii="方正仿宋_GBK" w:hAnsi="方正仿宋_GBK" w:eastAsia="方正仿宋_GBK" w:cs="方正仿宋_GBK"/>
          <w:sz w:val="32"/>
          <w:szCs w:val="32"/>
          <w:shd w:val="clear" w:color="auto" w:fill="FFFFFF"/>
        </w:rPr>
        <w:t>%，较年初预算数增加5.03万元，增长11.10%，主要原因是2023年新增教师41人（入城考调教师28人，公招教师13人）。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24.93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2.13</w:t>
      </w:r>
      <w:r>
        <w:rPr>
          <w:rFonts w:ascii="方正仿宋_GBK" w:hAnsi="方正仿宋_GBK" w:eastAsia="方正仿宋_GBK" w:cs="方正仿宋_GBK"/>
          <w:sz w:val="32"/>
          <w:szCs w:val="32"/>
          <w:shd w:val="clear" w:color="auto" w:fill="FFFFFF"/>
        </w:rPr>
        <w:t>%，较年初预算数增加1.49万元，增长6.36%，主要原因是2023年新增教师41人（入城考调教师28人，公招教师13人）。</w:t>
      </w:r>
    </w:p>
    <w:p>
      <w:pPr>
        <w:pStyle w:val="6"/>
        <w:shd w:val="clear" w:color="auto" w:fill="FFFFFF"/>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（4）</w:t>
      </w:r>
      <w:r>
        <w:rPr>
          <w:rFonts w:ascii="方正仿宋_GBK" w:hAnsi="方正仿宋_GBK" w:eastAsia="方正仿宋_GBK" w:cs="方正仿宋_GBK"/>
          <w:sz w:val="32"/>
          <w:szCs w:val="32"/>
        </w:rPr>
        <w:t>住房保障支出22.80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1.95</w:t>
      </w:r>
      <w:r>
        <w:rPr>
          <w:rFonts w:ascii="方正仿宋_GBK" w:hAnsi="方正仿宋_GBK" w:eastAsia="方正仿宋_GBK" w:cs="方正仿宋_GBK"/>
          <w:sz w:val="32"/>
          <w:szCs w:val="32"/>
          <w:shd w:val="clear" w:color="auto" w:fill="FFFFFF"/>
        </w:rPr>
        <w:t>%，较年初预算数增加0.15万元，增长0.66%，主要原因是2022年清算公积金，补缴公积金，2023年新增教师41人（入城考调教师28人，公招教师13人）。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1164.18</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848.74</w:t>
      </w:r>
      <w:r>
        <w:rPr>
          <w:rFonts w:ascii="方正仿宋_GBK" w:hAnsi="方正仿宋_GBK" w:eastAsia="方正仿宋_GBK" w:cs="方正仿宋_GBK"/>
          <w:sz w:val="32"/>
          <w:szCs w:val="32"/>
          <w:shd w:val="clear" w:color="auto" w:fill="FFFFFF"/>
        </w:rPr>
        <w:t>万元，较上年决算数增加677.34万元，增长395.18%，主要原因是2023年新增教师41人（入城考调教师28人，公招教师13人），人员经费用途主要包括教师2023年的所有工资，社保，公积金，绩效等支出，还有重庆谢家湾学校派驻教师的所有工资待遇。公用经费</w:t>
      </w:r>
      <w:r>
        <w:rPr>
          <w:rFonts w:ascii="方正仿宋_GBK" w:hAnsi="方正仿宋_GBK" w:eastAsia="方正仿宋_GBK" w:cs="方正仿宋_GBK"/>
          <w:sz w:val="32"/>
          <w:szCs w:val="32"/>
        </w:rPr>
        <w:t>315.44</w:t>
      </w:r>
      <w:r>
        <w:rPr>
          <w:rFonts w:ascii="方正仿宋_GBK" w:hAnsi="方正仿宋_GBK" w:eastAsia="方正仿宋_GBK" w:cs="方正仿宋_GBK"/>
          <w:sz w:val="32"/>
          <w:szCs w:val="32"/>
          <w:shd w:val="clear" w:color="auto" w:fill="FFFFFF"/>
        </w:rPr>
        <w:t>万元，较上年决算数减少7.44万元，下降2.30%，主要原因是本年度学校未聘请清洁公司做大面积的清洁和学校文化设计有适量的减少；公用经费用途主要包括学校的一切非人员工资支出，例如：整年的水费、电费、燃气费等。</w:t>
      </w:r>
    </w:p>
    <w:p>
      <w:pPr>
        <w:pStyle w:val="11"/>
        <w:numPr>
          <w:ilvl w:val="0"/>
          <w:numId w:val="1"/>
        </w:numPr>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政府性基金预算收支决算情况说明</w:t>
      </w:r>
    </w:p>
    <w:p>
      <w:pPr>
        <w:pStyle w:val="11"/>
        <w:autoSpaceDE w:val="0"/>
        <w:ind w:firstLine="640"/>
        <w:rPr>
          <w:rFonts w:ascii="楷体" w:hAnsi="楷体" w:eastAsia="楷体" w:cs="楷体"/>
          <w:b/>
          <w:bCs/>
          <w:sz w:val="32"/>
          <w:szCs w:val="32"/>
          <w:shd w:val="clear" w:color="auto" w:fill="FFFFFF"/>
        </w:rPr>
      </w:pPr>
      <w:r>
        <w:rPr>
          <w:rFonts w:hint="eastAsia" w:ascii="Times New Roman" w:hAnsi="Times New Roman" w:eastAsia="方正楷体_GBK"/>
          <w:kern w:val="2"/>
          <w:sz w:val="32"/>
          <w:szCs w:val="32"/>
        </w:rPr>
        <w:t>备注：</w:t>
      </w:r>
      <w:r>
        <w:rPr>
          <w:rFonts w:ascii="Times New Roman" w:hAnsi="Times New Roman" w:eastAsia="方正楷体_GBK"/>
          <w:kern w:val="2"/>
          <w:sz w:val="32"/>
          <w:szCs w:val="32"/>
        </w:rPr>
        <w:t>本部门202</w:t>
      </w:r>
      <w:r>
        <w:rPr>
          <w:rFonts w:hint="eastAsia" w:ascii="Times New Roman" w:hAnsi="Times New Roman" w:eastAsia="方正楷体_GBK"/>
          <w:kern w:val="2"/>
          <w:sz w:val="32"/>
          <w:szCs w:val="32"/>
        </w:rPr>
        <w:t>3</w:t>
      </w:r>
      <w:r>
        <w:rPr>
          <w:rFonts w:ascii="Times New Roman" w:hAnsi="Times New Roman" w:eastAsia="方正楷体_GBK"/>
          <w:kern w:val="2"/>
          <w:sz w:val="32"/>
          <w:szCs w:val="32"/>
        </w:rPr>
        <w:t>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hd w:val="clear" w:color="auto" w:fill="FFFFFF"/>
        <w:spacing w:before="0" w:beforeAutospacing="0" w:after="0" w:afterAutospacing="0" w:line="594" w:lineRule="exact"/>
        <w:ind w:firstLine="640" w:firstLineChars="200"/>
        <w:rPr>
          <w:rFonts w:hint="default" w:ascii="Times New Roman" w:hAnsi="Times New Roman" w:eastAsia="方正楷体_GBK"/>
          <w:kern w:val="2"/>
          <w:sz w:val="32"/>
          <w:szCs w:val="32"/>
        </w:rPr>
      </w:pPr>
      <w:r>
        <w:rPr>
          <w:rFonts w:ascii="Times New Roman" w:hAnsi="Times New Roman" w:eastAsia="方正楷体_GBK"/>
          <w:kern w:val="2"/>
          <w:sz w:val="32"/>
          <w:szCs w:val="32"/>
        </w:rPr>
        <w:t>备注：</w:t>
      </w:r>
      <w:r>
        <w:rPr>
          <w:rFonts w:ascii="Times New Roman" w:hAnsi="Times New Roman"/>
          <w:sz w:val="27"/>
          <w:szCs w:val="27"/>
        </w:rPr>
        <w:t xml:space="preserve"> </w:t>
      </w:r>
      <w:r>
        <w:rPr>
          <w:rFonts w:ascii="Times New Roman" w:hAnsi="Times New Roman" w:eastAsia="方正楷体_GBK"/>
          <w:kern w:val="2"/>
          <w:sz w:val="32"/>
          <w:szCs w:val="32"/>
        </w:rPr>
        <w:t>本部门2023年度无国有资本经营预算财政拨款支出。</w:t>
      </w:r>
    </w:p>
    <w:p>
      <w:pPr>
        <w:pStyle w:val="6"/>
        <w:snapToGrid w:val="0"/>
        <w:spacing w:before="0" w:beforeAutospacing="0" w:after="0" w:afterAutospacing="0" w:line="600" w:lineRule="exact"/>
        <w:jc w:val="both"/>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6"/>
        <w:shd w:val="clear" w:color="auto" w:fill="FFFFFF"/>
        <w:spacing w:before="0" w:beforeAutospacing="0" w:after="0" w:afterAutospacing="0" w:line="594" w:lineRule="exact"/>
        <w:ind w:firstLine="640" w:firstLineChars="200"/>
        <w:rPr>
          <w:rFonts w:hint="default" w:ascii="方正楷体_GBK" w:hAnsi="Times New Roman" w:eastAsia="方正楷体_GBK"/>
          <w:kern w:val="2"/>
          <w:sz w:val="32"/>
          <w:szCs w:val="32"/>
        </w:rPr>
      </w:pPr>
      <w:r>
        <w:rPr>
          <w:rFonts w:ascii="方正楷体_GBK" w:hAnsi="Times New Roman" w:eastAsia="方正楷体_GBK"/>
          <w:kern w:val="2"/>
          <w:sz w:val="32"/>
          <w:szCs w:val="32"/>
        </w:rPr>
        <w:t>备注：本单位2023年度未发生“三公”经费支出。我单位属于一类公益事业单位，财政未保障我单位“三公”经费。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万元，较年初预算数无增减。较上年支出数无增减。</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万元，主要用于.....(由单位根据实际情况补充车辆用途)。费用支出较年初预算数无增减。较上年支出数无增减。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万元，较上年决算数无增减，主要原因是学校未承担大型会议。本年度培训费支出</w:t>
      </w:r>
      <w:r>
        <w:rPr>
          <w:rFonts w:ascii="方正仿宋_GBK" w:hAnsi="方正仿宋_GBK" w:eastAsia="方正仿宋_GBK" w:cs="方正仿宋_GBK"/>
          <w:sz w:val="32"/>
          <w:szCs w:val="32"/>
        </w:rPr>
        <w:t>6.16</w:t>
      </w:r>
      <w:r>
        <w:rPr>
          <w:rFonts w:ascii="方正仿宋_GBK" w:hAnsi="方正仿宋_GBK" w:eastAsia="方正仿宋_GBK" w:cs="方正仿宋_GBK"/>
          <w:sz w:val="32"/>
          <w:szCs w:val="32"/>
          <w:shd w:val="clear" w:color="auto" w:fill="FFFFFF"/>
        </w:rPr>
        <w:t>万元，较上年决算数增加6.16万元，增长100.00%，主要原因是今年教师增加41人（考调进城28人，公招教师13人），因此培训费增加。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hd w:val="clear" w:color="auto" w:fill="FFFFFF"/>
        <w:spacing w:before="0" w:beforeAutospacing="0" w:after="0" w:afterAutospacing="0" w:line="594" w:lineRule="exact"/>
        <w:ind w:firstLine="640" w:firstLineChars="200"/>
        <w:rPr>
          <w:rFonts w:hint="default" w:ascii="Times New Roman" w:hAnsi="Times New Roman" w:eastAsia="方正仿宋_GBK"/>
          <w:kern w:val="2"/>
          <w:sz w:val="32"/>
          <w:szCs w:val="32"/>
        </w:rPr>
      </w:pPr>
      <w:r>
        <w:rPr>
          <w:rFonts w:ascii="Times New Roman" w:hAnsi="Times New Roman" w:eastAsia="方正仿宋_GBK"/>
          <w:kern w:val="2"/>
          <w:sz w:val="32"/>
          <w:szCs w:val="32"/>
        </w:rPr>
        <w:t>按照部门决算列报口径，我单位不在机关运行经费统计范围之内。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6"/>
        <w:shd w:val="clear" w:color="auto" w:fill="FFFFFF"/>
        <w:spacing w:before="0" w:beforeAutospacing="0" w:after="0" w:afterAutospacing="0" w:line="594" w:lineRule="exact"/>
        <w:ind w:firstLine="640" w:firstLineChars="200"/>
        <w:rPr>
          <w:rFonts w:hint="default" w:ascii="Times New Roman" w:hAnsi="Times New Roman" w:eastAsia="方正仿宋_GBK"/>
          <w:b/>
          <w:bCs/>
          <w:sz w:val="32"/>
          <w:szCs w:val="32"/>
        </w:rPr>
      </w:pPr>
      <w:r>
        <w:rPr>
          <w:rFonts w:ascii="Times New Roman" w:hAnsi="Times New Roman" w:eastAsia="方正仿宋_GBK"/>
          <w:kern w:val="2"/>
          <w:sz w:val="32"/>
          <w:szCs w:val="32"/>
        </w:rPr>
        <w:t>备注：因本单位为一类公益事业单位，我单位没有公用车辆。</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2023年度我单位未发生政府采购事项，无相关经费支出。</w:t>
      </w:r>
    </w:p>
    <w:p>
      <w:pPr>
        <w:pStyle w:val="6"/>
        <w:numPr>
          <w:ilvl w:val="0"/>
          <w:numId w:val="2"/>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spacing w:line="594" w:lineRule="exact"/>
        <w:ind w:firstLine="640" w:firstLineChars="200"/>
        <w:rPr>
          <w:rFonts w:hint="default" w:ascii="Times New Roman" w:hAnsi="Times New Roman" w:eastAsia="方正楷体_GBK"/>
          <w:sz w:val="32"/>
          <w:szCs w:val="32"/>
        </w:rPr>
      </w:pPr>
      <w:r>
        <w:rPr>
          <w:rFonts w:ascii="Times New Roman" w:hAnsi="Times New Roman" w:eastAsia="方正楷体_GBK"/>
          <w:sz w:val="32"/>
          <w:szCs w:val="32"/>
        </w:rPr>
        <w:t>（一）预算绩效管理工作开展情况。</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2"/>
        <w:autoSpaceDE w:val="0"/>
        <w:spacing w:before="0" w:beforeAutospacing="0" w:line="600" w:lineRule="exact"/>
        <w:ind w:firstLine="640" w:firstLineChars="200"/>
        <w:rPr>
          <w:rFonts w:ascii="方正仿宋_GBK" w:hAnsi="方正仿宋_GBK" w:eastAsia="方正仿宋_GBK" w:cs="方正仿宋_GBK"/>
          <w:sz w:val="32"/>
          <w:szCs w:val="32"/>
          <w:highlight w:val="yellow"/>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根据预算绩效管理要求，我单位对0个一级项目、9个二级项目开展了绩效自评，涉及财政拨款项目支出资金</w:t>
      </w:r>
      <w:r>
        <w:rPr>
          <w:rFonts w:ascii="方正仿宋_GBK" w:hAnsi="方正仿宋_GBK" w:eastAsia="方正仿宋_GBK" w:cs="方正仿宋_GBK"/>
          <w:sz w:val="32"/>
          <w:szCs w:val="32"/>
          <w:shd w:val="clear" w:color="auto" w:fill="FFFFFF"/>
        </w:rPr>
        <w:t>733.17</w:t>
      </w:r>
      <w:r>
        <w:rPr>
          <w:rFonts w:hint="eastAsia" w:ascii="方正仿宋_GBK" w:hAnsi="方正仿宋_GBK" w:eastAsia="方正仿宋_GBK" w:cs="方正仿宋_GBK"/>
          <w:sz w:val="32"/>
          <w:szCs w:val="32"/>
          <w:shd w:val="clear" w:color="auto" w:fill="FFFFFF"/>
        </w:rPr>
        <w:t xml:space="preserve"> 万元。</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4"/>
        <w:autoSpaceDE w:val="0"/>
        <w:ind w:firstLine="960" w:firstLineChars="3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pPr>
        <w:pStyle w:val="11"/>
        <w:autoSpaceDE w:val="0"/>
        <w:ind w:firstLine="643"/>
        <w:rPr>
          <w:rFonts w:ascii="楷体" w:hAnsi="楷体" w:eastAsia="楷体" w:cs="楷体"/>
          <w:b/>
          <w:bCs/>
          <w:sz w:val="32"/>
          <w:szCs w:val="32"/>
          <w:highlight w:val="yellow"/>
          <w:shd w:val="clear" w:color="auto" w:fill="FFFFFF"/>
        </w:rPr>
      </w:pPr>
      <w:r>
        <w:rPr>
          <w:rFonts w:hint="eastAsia" w:ascii="楷体" w:hAnsi="楷体" w:eastAsia="楷体" w:cs="楷体"/>
          <w:b/>
          <w:bCs/>
          <w:sz w:val="32"/>
          <w:szCs w:val="32"/>
          <w:shd w:val="clear" w:color="auto" w:fill="FFFFFF"/>
        </w:rPr>
        <w:t>（三）财政绩效评价情况</w:t>
      </w:r>
    </w:p>
    <w:p>
      <w:pPr>
        <w:pStyle w:val="11"/>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市财政局未委托第三方对我单位开展绩效评价。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ascii="楷体" w:hAnsi="楷体" w:eastAsia="楷体" w:cs="楷体"/>
          <w:sz w:val="32"/>
          <w:szCs w:val="32"/>
          <w:shd w:val="clear" w:color="auto" w:fill="FFFFFF"/>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left="638" w:leftChars="266" w:firstLine="0" w:firstLineChars="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left="319" w:leftChars="133" w:firstLine="321" w:firstLineChars="100"/>
        <w:jc w:val="both"/>
        <w:rPr>
          <w:rFonts w:ascii="楷体" w:hAnsi="楷体" w:eastAsia="楷体" w:cs="楷体"/>
          <w:sz w:val="32"/>
          <w:szCs w:val="32"/>
          <w:shd w:val="clear" w:color="auto" w:fill="FFFFFF"/>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spacing w:line="570" w:lineRule="exact"/>
        <w:ind w:firstLine="640" w:firstLineChars="200"/>
        <w:rPr>
          <w:rFonts w:hint="default" w:ascii="Times New Roman" w:hAnsi="Times New Roman" w:eastAsia="方正仿宋_GBK"/>
          <w:sz w:val="32"/>
          <w:szCs w:val="32"/>
        </w:rPr>
        <w:sectPr>
          <w:pgSz w:w="11906" w:h="16838"/>
          <w:pgMar w:top="2098" w:right="1531" w:bottom="1984" w:left="1531" w:header="851" w:footer="992" w:gutter="0"/>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本单位决算公开信息反馈和联系方式：罗凤</w:t>
      </w:r>
      <w:r>
        <w:rPr>
          <w:rFonts w:ascii="Times New Roman" w:hAnsi="Times New Roman" w:eastAsia="方正仿宋_GBK"/>
          <w:sz w:val="32"/>
          <w:szCs w:val="32"/>
        </w:rPr>
        <w:t xml:space="preserve">  023-70608683</w:t>
      </w:r>
    </w:p>
    <w:p>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重庆谢家湾学校丰都幸福小学</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1,169.15</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1,223.12</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85.13</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50.33</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24.93</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22.80</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1,254.28</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1,321.19</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129.01</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62.11</w:t>
            </w:r>
            <w:r>
              <w:rPr>
                <w:color w:val="000000"/>
                <w:sz w:val="20"/>
              </w:rPr>
              <w:t xml:space="preserve"> </w:t>
            </w:r>
          </w:p>
        </w:tc>
      </w:tr>
      <w:tr>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1,383.30</w:t>
            </w:r>
            <w:r>
              <w:rPr>
                <w:color w:val="000000"/>
                <w:sz w:val="20"/>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1,383.30</w:t>
            </w:r>
            <w:r>
              <w:rPr>
                <w:color w:val="000000"/>
                <w:sz w:val="20"/>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重庆谢家湾学校丰都幸福小学</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1,254.28</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1,169.15</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85.13</w:t>
            </w:r>
            <w:r>
              <w:rPr>
                <w:b/>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1,156.22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1,071.09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85.13</w:t>
            </w:r>
            <w:r>
              <w:rPr>
                <w:b/>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1,156.22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1,071.09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85.13</w:t>
            </w:r>
            <w:r>
              <w:rPr>
                <w:b/>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1,156.22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1,071.09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85.13</w:t>
            </w: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50.33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50.33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50.33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50.33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35.23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35.23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15.10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15.10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24.93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24.93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24.93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24.93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17.47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17.47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22.80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22.80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22.80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22.80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85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重庆谢家湾学校丰都幸福小学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685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57"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8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5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1,321.19</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1,316.21</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4.98</w:t>
            </w: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1,223.12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1,218.15</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4.98</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1,223.12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1,218.15</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4.98</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1,223.12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1,218.15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4.98</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50.33</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50.33</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50.33</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50.33</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35.23</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35.23</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15.10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15.10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24.93</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24.93</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24.93</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24.93</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17.47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17.47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22.80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22.80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22.80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22.80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重庆谢家湾学校丰都幸福小学</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1,169.15</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1,071.09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1,071.09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50.33</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50.33</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24.93</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24.93</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22.80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22.80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1,169.15</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1,169.15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1,169.15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1,169.15</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1,169.15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1,169.15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重庆谢家湾学校丰都幸福小学</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1,169.15</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1,164.18</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4.98</w:t>
            </w:r>
            <w:r>
              <w:rPr>
                <w:b/>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1,071.09</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1,066.11</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4.98</w:t>
            </w:r>
            <w:r>
              <w:rPr>
                <w:b/>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1,071.09</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1,066.11</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4.98</w:t>
            </w:r>
            <w:r>
              <w:rPr>
                <w:b/>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1,071.09</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1,066.11</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4.98</w:t>
            </w: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50.33</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50.33</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50.33</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50.33</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35.23</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35.23</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15.10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15.10</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24.93</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24.93</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24.93</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24.93</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17.47</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17.47</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7.47</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7.47</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22.80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22.80</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22.80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22.80</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22.80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22.80</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重庆谢家湾学校丰都幸福小学</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bookmarkStart w:id="0" w:name="_GoBack"/>
            <w:bookmarkEnd w:id="0"/>
            <w:r>
              <w:rPr>
                <w:rFonts w:cs="宋体"/>
                <w:b/>
                <w:color w:val="000000"/>
                <w:sz w:val="18"/>
                <w:szCs w:val="18"/>
              </w:rPr>
              <w:t>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821.06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315.44</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506.98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196.99</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4.03</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0.08</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198.43</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38.72</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13.83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16.87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21.44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22.80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0.84</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9.04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1.18</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27.68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23.68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54.62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6.17</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15.76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0.31</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848.74</w:t>
            </w:r>
            <w:r>
              <w:rPr>
                <w:color w:val="000000"/>
                <w:sz w:val="18"/>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315.44</w:t>
            </w:r>
            <w:r>
              <w:rPr>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重庆谢家湾学校丰都幸福小学</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重庆谢家湾学校丰都幸福小学</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重庆谢家湾学校丰都幸福小学</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6.16</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0"/>
          <w:szCs w:val="20"/>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w:t>
      </w:r>
      <w:r>
        <w:drawing>
          <wp:inline distT="0" distB="0" distL="114300" distR="114300">
            <wp:extent cx="9737725" cy="5811520"/>
            <wp:effectExtent l="0" t="0" r="15875" b="17780"/>
            <wp:docPr id="181" name="图片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179"/>
                    <pic:cNvPicPr>
                      <a:picLocks noChangeAspect="1"/>
                    </pic:cNvPicPr>
                  </pic:nvPicPr>
                  <pic:blipFill>
                    <a:blip r:embed="rId6"/>
                    <a:stretch>
                      <a:fillRect/>
                    </a:stretch>
                  </pic:blipFill>
                  <pic:spPr>
                    <a:xfrm>
                      <a:off x="0" y="0"/>
                      <a:ext cx="9737725" cy="5811520"/>
                    </a:xfrm>
                    <a:prstGeom prst="rect">
                      <a:avLst/>
                    </a:prstGeom>
                    <a:noFill/>
                    <a:ln>
                      <a:noFill/>
                    </a:ln>
                  </pic:spPr>
                </pic:pic>
              </a:graphicData>
            </a:graphic>
          </wp:inline>
        </w:drawing>
      </w:r>
      <w:r>
        <w:rPr>
          <w:rFonts w:cs="宋体"/>
          <w:sz w:val="20"/>
          <w:szCs w:val="20"/>
        </w:rPr>
        <w:t>套报表金额单位转换时可能存在尾数误差。</w:t>
      </w:r>
    </w:p>
    <w:p>
      <w:pPr>
        <w:rPr>
          <w:rFonts w:hint="default"/>
        </w:rPr>
      </w:pPr>
      <w:r>
        <w:rPr>
          <w:rFonts w:cs="宋体"/>
          <w:sz w:val="20"/>
          <w:szCs w:val="20"/>
        </w:rPr>
        <w:br w:type="textWrapping"/>
      </w:r>
      <w:r>
        <w:rPr>
          <w:rFonts w:cs="宋体"/>
          <w:sz w:val="20"/>
          <w:szCs w:val="20"/>
        </w:rPr>
        <w:br w:type="textWrapping"/>
      </w:r>
      <w:r>
        <w:drawing>
          <wp:inline distT="0" distB="0" distL="114300" distR="114300">
            <wp:extent cx="9737725" cy="5433060"/>
            <wp:effectExtent l="0" t="0" r="15875" b="15240"/>
            <wp:docPr id="182" name="图片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80"/>
                    <pic:cNvPicPr>
                      <a:picLocks noChangeAspect="1"/>
                    </pic:cNvPicPr>
                  </pic:nvPicPr>
                  <pic:blipFill>
                    <a:blip r:embed="rId7"/>
                    <a:stretch>
                      <a:fillRect/>
                    </a:stretch>
                  </pic:blipFill>
                  <pic:spPr>
                    <a:xfrm>
                      <a:off x="0" y="0"/>
                      <a:ext cx="9737725" cy="5433060"/>
                    </a:xfrm>
                    <a:prstGeom prst="rect">
                      <a:avLst/>
                    </a:prstGeom>
                    <a:noFill/>
                    <a:ln>
                      <a:noFill/>
                    </a:ln>
                  </pic:spPr>
                </pic:pic>
              </a:graphicData>
            </a:graphic>
          </wp:inline>
        </w:drawing>
      </w:r>
    </w:p>
    <w:p>
      <w:pPr>
        <w:rPr>
          <w:rFonts w:hint="default"/>
        </w:rPr>
      </w:pPr>
      <w:r>
        <w:drawing>
          <wp:inline distT="0" distB="0" distL="114300" distR="114300">
            <wp:extent cx="9737725" cy="5433060"/>
            <wp:effectExtent l="0" t="0" r="15875" b="15240"/>
            <wp:docPr id="183" name="图片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81"/>
                    <pic:cNvPicPr>
                      <a:picLocks noChangeAspect="1"/>
                    </pic:cNvPicPr>
                  </pic:nvPicPr>
                  <pic:blipFill>
                    <a:blip r:embed="rId8"/>
                    <a:stretch>
                      <a:fillRect/>
                    </a:stretch>
                  </pic:blipFill>
                  <pic:spPr>
                    <a:xfrm>
                      <a:off x="0" y="0"/>
                      <a:ext cx="9737725" cy="5433060"/>
                    </a:xfrm>
                    <a:prstGeom prst="rect">
                      <a:avLst/>
                    </a:prstGeom>
                    <a:noFill/>
                    <a:ln>
                      <a:noFill/>
                    </a:ln>
                  </pic:spPr>
                </pic:pic>
              </a:graphicData>
            </a:graphic>
          </wp:inline>
        </w:drawing>
      </w:r>
    </w:p>
    <w:p>
      <w:pPr>
        <w:rPr>
          <w:rFonts w:hint="default"/>
        </w:rPr>
      </w:pPr>
      <w:r>
        <w:drawing>
          <wp:inline distT="0" distB="0" distL="114300" distR="114300">
            <wp:extent cx="9737725" cy="5433060"/>
            <wp:effectExtent l="0" t="0" r="15875" b="15240"/>
            <wp:docPr id="184" name="图片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82"/>
                    <pic:cNvPicPr>
                      <a:picLocks noChangeAspect="1"/>
                    </pic:cNvPicPr>
                  </pic:nvPicPr>
                  <pic:blipFill>
                    <a:blip r:embed="rId9"/>
                    <a:stretch>
                      <a:fillRect/>
                    </a:stretch>
                  </pic:blipFill>
                  <pic:spPr>
                    <a:xfrm>
                      <a:off x="0" y="0"/>
                      <a:ext cx="9737725" cy="5433060"/>
                    </a:xfrm>
                    <a:prstGeom prst="rect">
                      <a:avLst/>
                    </a:prstGeom>
                    <a:noFill/>
                    <a:ln>
                      <a:noFill/>
                    </a:ln>
                  </pic:spPr>
                </pic:pic>
              </a:graphicData>
            </a:graphic>
          </wp:inline>
        </w:drawing>
      </w:r>
    </w:p>
    <w:p>
      <w:pPr>
        <w:rPr>
          <w:rFonts w:hint="default"/>
        </w:rPr>
      </w:pPr>
      <w:r>
        <w:drawing>
          <wp:inline distT="0" distB="0" distL="114300" distR="114300">
            <wp:extent cx="9737725" cy="5433060"/>
            <wp:effectExtent l="0" t="0" r="15875" b="15240"/>
            <wp:docPr id="185" name="图片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3"/>
                    <pic:cNvPicPr>
                      <a:picLocks noChangeAspect="1"/>
                    </pic:cNvPicPr>
                  </pic:nvPicPr>
                  <pic:blipFill>
                    <a:blip r:embed="rId10"/>
                    <a:stretch>
                      <a:fillRect/>
                    </a:stretch>
                  </pic:blipFill>
                  <pic:spPr>
                    <a:xfrm>
                      <a:off x="0" y="0"/>
                      <a:ext cx="9737725" cy="5433060"/>
                    </a:xfrm>
                    <a:prstGeom prst="rect">
                      <a:avLst/>
                    </a:prstGeom>
                    <a:noFill/>
                    <a:ln>
                      <a:noFill/>
                    </a:ln>
                  </pic:spPr>
                </pic:pic>
              </a:graphicData>
            </a:graphic>
          </wp:inline>
        </w:drawing>
      </w:r>
    </w:p>
    <w:p>
      <w:pPr>
        <w:rPr>
          <w:rFonts w:hint="default"/>
        </w:rPr>
      </w:pPr>
      <w:r>
        <w:drawing>
          <wp:inline distT="0" distB="0" distL="114300" distR="114300">
            <wp:extent cx="9737725" cy="5433060"/>
            <wp:effectExtent l="0" t="0" r="15875" b="15240"/>
            <wp:docPr id="186" name="图片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84"/>
                    <pic:cNvPicPr>
                      <a:picLocks noChangeAspect="1"/>
                    </pic:cNvPicPr>
                  </pic:nvPicPr>
                  <pic:blipFill>
                    <a:blip r:embed="rId11"/>
                    <a:stretch>
                      <a:fillRect/>
                    </a:stretch>
                  </pic:blipFill>
                  <pic:spPr>
                    <a:xfrm>
                      <a:off x="0" y="0"/>
                      <a:ext cx="9737725" cy="5433060"/>
                    </a:xfrm>
                    <a:prstGeom prst="rect">
                      <a:avLst/>
                    </a:prstGeom>
                    <a:noFill/>
                    <a:ln>
                      <a:noFill/>
                    </a:ln>
                  </pic:spPr>
                </pic:pic>
              </a:graphicData>
            </a:graphic>
          </wp:inline>
        </w:drawing>
      </w:r>
    </w:p>
    <w:p>
      <w:pPr>
        <w:rPr>
          <w:rFonts w:hint="default"/>
        </w:rPr>
      </w:pPr>
      <w:r>
        <w:drawing>
          <wp:inline distT="0" distB="0" distL="114300" distR="114300">
            <wp:extent cx="9737725" cy="5201920"/>
            <wp:effectExtent l="0" t="0" r="15875" b="17780"/>
            <wp:docPr id="187"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185"/>
                    <pic:cNvPicPr>
                      <a:picLocks noChangeAspect="1"/>
                    </pic:cNvPicPr>
                  </pic:nvPicPr>
                  <pic:blipFill>
                    <a:blip r:embed="rId12"/>
                    <a:stretch>
                      <a:fillRect/>
                    </a:stretch>
                  </pic:blipFill>
                  <pic:spPr>
                    <a:xfrm>
                      <a:off x="0" y="0"/>
                      <a:ext cx="9737725" cy="5201920"/>
                    </a:xfrm>
                    <a:prstGeom prst="rect">
                      <a:avLst/>
                    </a:prstGeom>
                    <a:noFill/>
                    <a:ln>
                      <a:noFill/>
                    </a:ln>
                  </pic:spPr>
                </pic:pic>
              </a:graphicData>
            </a:graphic>
          </wp:inline>
        </w:drawing>
      </w:r>
    </w:p>
    <w:p>
      <w:pPr>
        <w:rPr>
          <w:rFonts w:hint="default"/>
        </w:rPr>
      </w:pPr>
      <w:r>
        <w:drawing>
          <wp:inline distT="0" distB="0" distL="114300" distR="114300">
            <wp:extent cx="9737725" cy="5433060"/>
            <wp:effectExtent l="0" t="0" r="15875" b="15240"/>
            <wp:docPr id="188" name="图片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86"/>
                    <pic:cNvPicPr>
                      <a:picLocks noChangeAspect="1"/>
                    </pic:cNvPicPr>
                  </pic:nvPicPr>
                  <pic:blipFill>
                    <a:blip r:embed="rId13"/>
                    <a:stretch>
                      <a:fillRect/>
                    </a:stretch>
                  </pic:blipFill>
                  <pic:spPr>
                    <a:xfrm>
                      <a:off x="0" y="0"/>
                      <a:ext cx="9737725" cy="5433060"/>
                    </a:xfrm>
                    <a:prstGeom prst="rect">
                      <a:avLst/>
                    </a:prstGeom>
                    <a:noFill/>
                    <a:ln>
                      <a:noFill/>
                    </a:ln>
                  </pic:spPr>
                </pic:pic>
              </a:graphicData>
            </a:graphic>
          </wp:inline>
        </w:drawing>
      </w:r>
    </w:p>
    <w:p>
      <w:pPr>
        <w:rPr>
          <w:rFonts w:hint="default"/>
        </w:rPr>
      </w:pPr>
      <w:r>
        <w:drawing>
          <wp:inline distT="0" distB="0" distL="114300" distR="114300">
            <wp:extent cx="9737725" cy="5433060"/>
            <wp:effectExtent l="0" t="0" r="15875" b="15240"/>
            <wp:docPr id="189" name="图片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87"/>
                    <pic:cNvPicPr>
                      <a:picLocks noChangeAspect="1"/>
                    </pic:cNvPicPr>
                  </pic:nvPicPr>
                  <pic:blipFill>
                    <a:blip r:embed="rId14"/>
                    <a:stretch>
                      <a:fillRect/>
                    </a:stretch>
                  </pic:blipFill>
                  <pic:spPr>
                    <a:xfrm>
                      <a:off x="0" y="0"/>
                      <a:ext cx="9737725" cy="5433060"/>
                    </a:xfrm>
                    <a:prstGeom prst="rect">
                      <a:avLst/>
                    </a:prstGeom>
                    <a:noFill/>
                    <a:ln>
                      <a:noFill/>
                    </a:ln>
                  </pic:spPr>
                </pic:pic>
              </a:graphicData>
            </a:graphic>
          </wp:inline>
        </w:drawing>
      </w:r>
    </w:p>
    <w:sectPr>
      <w:headerReference r:id="rId3" w:type="default"/>
      <w:footerReference r:id="rId4"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140855B2"/>
    <w:multiLevelType w:val="singleLevel"/>
    <w:tmpl w:val="140855B2"/>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ZjA4MmFkODMzZWExNmM3NDA4MGM4MjBiMzVjMTgifQ=="/>
    <w:docVar w:name="KSO_WPS_MARK_KEY" w:val="bf1fa618-8ce1-47ea-98ae-780a6f92a074"/>
  </w:docVars>
  <w:rsids>
    <w:rsidRoot w:val="00B03CCD"/>
    <w:rsid w:val="0001042F"/>
    <w:rsid w:val="000D568E"/>
    <w:rsid w:val="001D3BB7"/>
    <w:rsid w:val="002B254B"/>
    <w:rsid w:val="003E26F2"/>
    <w:rsid w:val="00466C9B"/>
    <w:rsid w:val="00550ABE"/>
    <w:rsid w:val="00770383"/>
    <w:rsid w:val="007819D4"/>
    <w:rsid w:val="007B419D"/>
    <w:rsid w:val="007B7C4B"/>
    <w:rsid w:val="007D3D39"/>
    <w:rsid w:val="00994AF7"/>
    <w:rsid w:val="009B67B8"/>
    <w:rsid w:val="009B7216"/>
    <w:rsid w:val="009D2B67"/>
    <w:rsid w:val="00A566F9"/>
    <w:rsid w:val="00AF2751"/>
    <w:rsid w:val="00B03CCD"/>
    <w:rsid w:val="00BE2B89"/>
    <w:rsid w:val="00C10E9E"/>
    <w:rsid w:val="00C20C3E"/>
    <w:rsid w:val="00CE3D20"/>
    <w:rsid w:val="00D2014A"/>
    <w:rsid w:val="00E5249F"/>
    <w:rsid w:val="00E86464"/>
    <w:rsid w:val="00F73F90"/>
    <w:rsid w:val="01474EBF"/>
    <w:rsid w:val="01F3521E"/>
    <w:rsid w:val="0351786F"/>
    <w:rsid w:val="03B87EA0"/>
    <w:rsid w:val="03E3214F"/>
    <w:rsid w:val="044C50BA"/>
    <w:rsid w:val="045C4C64"/>
    <w:rsid w:val="05BC6D49"/>
    <w:rsid w:val="06194FF1"/>
    <w:rsid w:val="06A2550B"/>
    <w:rsid w:val="06F80EE2"/>
    <w:rsid w:val="07001CCA"/>
    <w:rsid w:val="075678DB"/>
    <w:rsid w:val="07725CBF"/>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C9D24BA"/>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2F1E2E"/>
    <w:rsid w:val="13871C70"/>
    <w:rsid w:val="13A71CB4"/>
    <w:rsid w:val="13AF1D43"/>
    <w:rsid w:val="13CE1647"/>
    <w:rsid w:val="13FD55AB"/>
    <w:rsid w:val="14200702"/>
    <w:rsid w:val="15527901"/>
    <w:rsid w:val="163A6CEE"/>
    <w:rsid w:val="173708E3"/>
    <w:rsid w:val="17C374FC"/>
    <w:rsid w:val="182E4AB6"/>
    <w:rsid w:val="189079DC"/>
    <w:rsid w:val="189B0D0B"/>
    <w:rsid w:val="18B43F7C"/>
    <w:rsid w:val="194A1770"/>
    <w:rsid w:val="19B906A4"/>
    <w:rsid w:val="1B6F15B6"/>
    <w:rsid w:val="1B764D9C"/>
    <w:rsid w:val="1BAA2EDC"/>
    <w:rsid w:val="1CA55E64"/>
    <w:rsid w:val="1D014A01"/>
    <w:rsid w:val="1D022362"/>
    <w:rsid w:val="1D1B04B0"/>
    <w:rsid w:val="1DA52501"/>
    <w:rsid w:val="1DBD6767"/>
    <w:rsid w:val="1DC52125"/>
    <w:rsid w:val="1DD26311"/>
    <w:rsid w:val="1E374ACB"/>
    <w:rsid w:val="1ECF0A66"/>
    <w:rsid w:val="1EF67CA4"/>
    <w:rsid w:val="1F020D3A"/>
    <w:rsid w:val="1F1E48F0"/>
    <w:rsid w:val="1F2C5189"/>
    <w:rsid w:val="1F4B0B02"/>
    <w:rsid w:val="1FBB35CD"/>
    <w:rsid w:val="1FCD26AF"/>
    <w:rsid w:val="20642787"/>
    <w:rsid w:val="215044D5"/>
    <w:rsid w:val="21556F04"/>
    <w:rsid w:val="22403BD3"/>
    <w:rsid w:val="23954BB4"/>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3FE778BC"/>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773108"/>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7996E43"/>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9015CE"/>
    <w:rsid w:val="64FB113D"/>
    <w:rsid w:val="656152C6"/>
    <w:rsid w:val="6587477F"/>
    <w:rsid w:val="658C3A08"/>
    <w:rsid w:val="65C031CA"/>
    <w:rsid w:val="65CE6852"/>
    <w:rsid w:val="66267C04"/>
    <w:rsid w:val="663F505A"/>
    <w:rsid w:val="66EE5541"/>
    <w:rsid w:val="67924660"/>
    <w:rsid w:val="68407834"/>
    <w:rsid w:val="68621741"/>
    <w:rsid w:val="6883293E"/>
    <w:rsid w:val="688412AD"/>
    <w:rsid w:val="68EB1B71"/>
    <w:rsid w:val="6A5B18D0"/>
    <w:rsid w:val="6A6C7940"/>
    <w:rsid w:val="6AAD2300"/>
    <w:rsid w:val="6B474EF5"/>
    <w:rsid w:val="6C0A5AC5"/>
    <w:rsid w:val="6C560CAE"/>
    <w:rsid w:val="6C576495"/>
    <w:rsid w:val="6D903FF5"/>
    <w:rsid w:val="6DA955B8"/>
    <w:rsid w:val="6DE346AB"/>
    <w:rsid w:val="6DE5391A"/>
    <w:rsid w:val="6EFD1324"/>
    <w:rsid w:val="6F0D3F47"/>
    <w:rsid w:val="6F5A53AC"/>
    <w:rsid w:val="6FAC003D"/>
    <w:rsid w:val="6FE55E12"/>
    <w:rsid w:val="6FFB2E76"/>
    <w:rsid w:val="708F6F7F"/>
    <w:rsid w:val="70D94BD3"/>
    <w:rsid w:val="712D2CB1"/>
    <w:rsid w:val="71C34D91"/>
    <w:rsid w:val="72DB435C"/>
    <w:rsid w:val="72E2613A"/>
    <w:rsid w:val="72F771F4"/>
    <w:rsid w:val="730647BE"/>
    <w:rsid w:val="73934AD2"/>
    <w:rsid w:val="750837F0"/>
    <w:rsid w:val="754758CF"/>
    <w:rsid w:val="764F62AB"/>
    <w:rsid w:val="765C45EC"/>
    <w:rsid w:val="768A7619"/>
    <w:rsid w:val="772E1EBA"/>
    <w:rsid w:val="781926BC"/>
    <w:rsid w:val="796D60A4"/>
    <w:rsid w:val="79A031D5"/>
    <w:rsid w:val="7A1525F7"/>
    <w:rsid w:val="7AC708C5"/>
    <w:rsid w:val="7B420052"/>
    <w:rsid w:val="7B6F730F"/>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7945</Words>
  <Characters>9825</Characters>
  <Lines>89</Lines>
  <Paragraphs>25</Paragraphs>
  <TotalTime>9</TotalTime>
  <ScaleCrop>false</ScaleCrop>
  <LinksUpToDate>false</LinksUpToDate>
  <CharactersWithSpaces>10846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2024-09-27T08:13:15Z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B4A5726F1BF34F59971DD08282F0EE9F_13</vt:lpwstr>
  </property>
</Properties>
</file>