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重庆市丰都县湛普镇中心学校</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湛普镇中心学校是义务教育公办学校，实施小学和初中阶段义务教育及幼儿园学前教育，承担本辖区内义务教育和学前教育工作，提高学生的综合素质，培养学生多样化发展及良好品德，从事中小学义务教育及幼儿园学前教育相关社会服务。</w:t>
      </w:r>
    </w:p>
    <w:p>
      <w:pPr>
        <w:pStyle w:val="6"/>
        <w:shd w:val="clear" w:color="auto" w:fill="FFFFFF"/>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丰都县湛普镇中心学校现设书记校长、专职副书记、教务处、教科室、德育处、总务处、安全保卫科等。幼儿园为附属园。</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2023年度收入总计1433.00万元，支出总计</w:t>
      </w:r>
      <w:r>
        <w:rPr>
          <w:rFonts w:ascii="方正仿宋_GBK" w:hAnsi="方正仿宋_GBK" w:eastAsia="方正仿宋_GBK" w:cs="方正仿宋_GBK"/>
          <w:sz w:val="32"/>
          <w:szCs w:val="32"/>
        </w:rPr>
        <w:t>1433.00</w:t>
      </w:r>
      <w:r>
        <w:rPr>
          <w:rFonts w:ascii="方正仿宋_GBK" w:hAnsi="方正仿宋_GBK" w:eastAsia="方正仿宋_GBK" w:cs="方正仿宋_GBK"/>
          <w:sz w:val="32"/>
          <w:szCs w:val="32"/>
          <w:shd w:val="clear" w:color="auto" w:fill="FFFFFF"/>
        </w:rPr>
        <w:t>万元。收支较上年决算数增加231.41万元，增长19.26%，主要原因是对2022年超额绩效进行了清算补发。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2023年度收入合计1364.74万元，较上年决算数增加163.15万元，增长13.58%，主要原因是对2022年超额绩效进行了清算补发。其中：财政拨款收入</w:t>
      </w:r>
      <w:r>
        <w:rPr>
          <w:rFonts w:ascii="方正仿宋_GBK" w:hAnsi="方正仿宋_GBK" w:eastAsia="方正仿宋_GBK" w:cs="方正仿宋_GBK"/>
          <w:sz w:val="32"/>
          <w:szCs w:val="32"/>
        </w:rPr>
        <w:t>1345.35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98.58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万元，占0.36%；经营收入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14.44</w:t>
      </w:r>
      <w:r>
        <w:rPr>
          <w:rFonts w:ascii="方正仿宋_GBK" w:hAnsi="方正仿宋_GBK" w:eastAsia="方正仿宋_GBK" w:cs="方正仿宋_GBK"/>
          <w:sz w:val="32"/>
          <w:szCs w:val="32"/>
          <w:shd w:val="clear" w:color="auto" w:fill="FFFFFF"/>
        </w:rPr>
        <w:t>万元，占1.06%。此外，使用非财政拨款结余和专用结余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68.26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1421.47</w:t>
      </w:r>
      <w:r>
        <w:rPr>
          <w:rFonts w:ascii="方正仿宋_GBK" w:hAnsi="方正仿宋_GBK" w:eastAsia="方正仿宋_GBK" w:cs="方正仿宋_GBK"/>
          <w:sz w:val="32"/>
          <w:szCs w:val="32"/>
          <w:shd w:val="clear" w:color="auto" w:fill="FFFFFF"/>
        </w:rPr>
        <w:t>万元，较上年决算数增加231.91万元，增长19.50%，主要原因是主要原因是对2022年超额绩效进行了清算补发。其中：基本支出</w:t>
      </w:r>
      <w:r>
        <w:rPr>
          <w:rFonts w:ascii="方正仿宋_GBK" w:hAnsi="方正仿宋_GBK" w:eastAsia="方正仿宋_GBK" w:cs="方正仿宋_GBK"/>
          <w:sz w:val="32"/>
          <w:szCs w:val="32"/>
        </w:rPr>
        <w:t>1359.90</w:t>
      </w:r>
      <w:r>
        <w:rPr>
          <w:rFonts w:ascii="方正仿宋_GBK" w:hAnsi="方正仿宋_GBK" w:eastAsia="方正仿宋_GBK" w:cs="方正仿宋_GBK"/>
          <w:sz w:val="32"/>
          <w:szCs w:val="32"/>
          <w:shd w:val="clear" w:color="auto" w:fill="FFFFFF"/>
        </w:rPr>
        <w:t>万元，占95.67%；项目支出</w:t>
      </w:r>
      <w:r>
        <w:rPr>
          <w:rFonts w:ascii="方正仿宋_GBK" w:hAnsi="方正仿宋_GBK" w:eastAsia="方正仿宋_GBK" w:cs="方正仿宋_GBK"/>
          <w:sz w:val="32"/>
          <w:szCs w:val="32"/>
        </w:rPr>
        <w:t>61.56</w:t>
      </w:r>
      <w:r>
        <w:rPr>
          <w:rFonts w:ascii="方正仿宋_GBK" w:hAnsi="方正仿宋_GBK" w:eastAsia="方正仿宋_GBK" w:cs="方正仿宋_GBK"/>
          <w:sz w:val="32"/>
          <w:szCs w:val="32"/>
          <w:shd w:val="clear" w:color="auto" w:fill="FFFFFF"/>
        </w:rPr>
        <w:t>万元，占4.33%；经营支出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11.53</w:t>
      </w:r>
      <w:r>
        <w:rPr>
          <w:rFonts w:ascii="方正仿宋_GBK" w:hAnsi="方正仿宋_GBK" w:eastAsia="方正仿宋_GBK" w:cs="方正仿宋_GBK"/>
          <w:sz w:val="32"/>
          <w:szCs w:val="32"/>
          <w:shd w:val="clear" w:color="auto" w:fill="FFFFFF"/>
        </w:rPr>
        <w:t>万元，较上年决算数减少0.50万元，下降4.16%，主要原因是学前幼儿人数减少，保育教育费收入减少，而对以前年度结余进行部分支出。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2023年度财政拨款收、支总计1401.57万元。与2022年相比，财政拨款收、支总计各增加214.32万元，增长18.05%。主要原因是对2022年超额绩效进行了清算补发。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1345.35</w:t>
      </w:r>
      <w:r>
        <w:rPr>
          <w:rFonts w:ascii="方正仿宋_GBK" w:hAnsi="方正仿宋_GBK" w:eastAsia="方正仿宋_GBK" w:cs="方正仿宋_GBK"/>
          <w:sz w:val="32"/>
          <w:szCs w:val="32"/>
          <w:shd w:val="clear" w:color="auto" w:fill="FFFFFF"/>
        </w:rPr>
        <w:t>万元，较上年决算数增加158.10万元，增长13.32%。主要原因是对2022年超额绩效进行了清算补发。较年初预算数增加270.45万元，增长25.16%。主要原因是根据渝财新</w:t>
      </w:r>
      <w:r>
        <w:rPr>
          <w:rFonts w:ascii="方正仿宋_GBK" w:hAnsi="方正仿宋_GBK" w:eastAsia="方正仿宋_GBK" w:cs="方正仿宋_GBK"/>
          <w:sz w:val="32"/>
          <w:szCs w:val="32"/>
          <w:shd w:val="clear" w:color="auto" w:fill="FFFFFF"/>
          <w:lang w:eastAsia="zh-Hans"/>
        </w:rPr>
        <w:t>〔202</w:t>
      </w: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lang w:eastAsia="zh-Hans"/>
        </w:rPr>
        <w:t>〕</w:t>
      </w:r>
      <w:r>
        <w:rPr>
          <w:rFonts w:ascii="方正仿宋_GBK" w:hAnsi="方正仿宋_GBK" w:eastAsia="方正仿宋_GBK" w:cs="方正仿宋_GBK"/>
          <w:sz w:val="32"/>
          <w:szCs w:val="32"/>
          <w:shd w:val="clear" w:color="auto" w:fill="FFFFFF"/>
        </w:rPr>
        <w:t>182号及财政预算大本要求，中央及市级资金根据文件进行追加。此外，年初财政拨款结转和结余</w:t>
      </w:r>
      <w:r>
        <w:rPr>
          <w:rFonts w:ascii="方正仿宋_GBK" w:hAnsi="方正仿宋_GBK" w:eastAsia="方正仿宋_GBK" w:cs="方正仿宋_GBK"/>
          <w:sz w:val="32"/>
          <w:szCs w:val="32"/>
        </w:rPr>
        <w:t>56.23</w:t>
      </w:r>
      <w:r>
        <w:rPr>
          <w:rFonts w:ascii="方正仿宋_GBK" w:hAnsi="方正仿宋_GBK" w:eastAsia="方正仿宋_GBK" w:cs="方正仿宋_GBK"/>
          <w:sz w:val="32"/>
          <w:szCs w:val="32"/>
          <w:shd w:val="clear" w:color="auto" w:fill="FFFFFF"/>
        </w:rPr>
        <w:t>万元。</w:t>
      </w:r>
    </w:p>
    <w:p>
      <w:pPr>
        <w:pStyle w:val="6"/>
        <w:widowControl w:val="0"/>
        <w:shd w:val="clear" w:color="auto" w:fill="FFFFFF"/>
        <w:adjustRightInd w:val="0"/>
        <w:snapToGrid w:val="0"/>
        <w:spacing w:before="0" w:beforeAutospacing="0" w:after="0" w:afterAutospacing="0" w:line="360" w:lineRule="auto"/>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1401.57</w:t>
      </w:r>
      <w:r>
        <w:rPr>
          <w:rFonts w:ascii="方正仿宋_GBK" w:hAnsi="方正仿宋_GBK" w:eastAsia="方正仿宋_GBK" w:cs="方正仿宋_GBK"/>
          <w:sz w:val="32"/>
          <w:szCs w:val="32"/>
          <w:shd w:val="clear" w:color="auto" w:fill="FFFFFF"/>
        </w:rPr>
        <w:t>万元，较上年决算数增加214.32万元，增长18.05%。主要原因是主要原因是对2022年超额绩效进行了清算补发。较年初预算数增加326.67万元，增长30.39%。主要原因是</w:t>
      </w:r>
      <w:r>
        <w:rPr>
          <w:rFonts w:ascii="方正仿宋_GBK" w:hAnsi="方正仿宋_GBK" w:eastAsia="方正仿宋_GBK" w:cs="方正仿宋_GBK"/>
          <w:sz w:val="32"/>
          <w:szCs w:val="32"/>
          <w:shd w:val="clear" w:color="auto" w:fill="FFFFFF"/>
          <w:lang w:eastAsia="zh-Hans"/>
        </w:rPr>
        <w:t>中市划拨的日常公业务费和食堂营养及运行费用年初没有纳入年初预算</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hAnsi="方正仿宋_GBK" w:eastAsia="方正仿宋_GBK" w:cs="方正仿宋_GBK"/>
          <w:sz w:val="32"/>
          <w:szCs w:val="32"/>
          <w:shd w:val="clear" w:color="auto" w:fill="FFFFFF"/>
          <w:lang w:eastAsia="zh-Hans"/>
        </w:rPr>
        <w:t>本年无结转结余。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adjustRightInd w:val="0"/>
        <w:snapToGrid w:val="0"/>
        <w:spacing w:before="0" w:beforeAutospacing="0" w:afterAutospacing="0"/>
        <w:ind w:firstLine="640" w:firstLineChars="200"/>
        <w:rPr>
          <w:rFonts w:hint="default" w:ascii="方正仿宋_GBK" w:hAnsi="方正仿宋_GBK" w:eastAsia="方正仿宋_GBK" w:cs="方正仿宋_GBK"/>
          <w:sz w:val="32"/>
          <w:szCs w:val="32"/>
          <w:shd w:val="clear" w:color="auto" w:fill="FFFFFF"/>
          <w:lang w:eastAsia="zh-Hans"/>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1042.87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74.41</w:t>
      </w:r>
      <w:r>
        <w:rPr>
          <w:rFonts w:ascii="方正仿宋_GBK" w:hAnsi="方正仿宋_GBK" w:eastAsia="方正仿宋_GBK" w:cs="方正仿宋_GBK"/>
          <w:sz w:val="32"/>
          <w:szCs w:val="32"/>
          <w:shd w:val="clear" w:color="auto" w:fill="FFFFFF"/>
        </w:rPr>
        <w:t>%，较年初预算数增加294.98万元，增长39.44%，主要原因是</w:t>
      </w:r>
      <w:r>
        <w:rPr>
          <w:rFonts w:ascii="方正仿宋_GBK" w:hAnsi="方正仿宋_GBK" w:eastAsia="方正仿宋_GBK" w:cs="方正仿宋_GBK"/>
          <w:sz w:val="32"/>
          <w:szCs w:val="32"/>
          <w:shd w:val="clear" w:color="auto" w:fill="FFFFFF"/>
          <w:lang w:eastAsia="zh-Hans"/>
        </w:rPr>
        <w:t>在编人员绩效增资、维修项目、贫困生生活补助、营养午餐等项目费用没用纳入预算。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245.50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17.52</w:t>
      </w:r>
      <w:r>
        <w:rPr>
          <w:rFonts w:ascii="方正仿宋_GBK" w:hAnsi="方正仿宋_GBK" w:eastAsia="方正仿宋_GBK" w:cs="方正仿宋_GBK"/>
          <w:sz w:val="32"/>
          <w:szCs w:val="32"/>
          <w:shd w:val="clear" w:color="auto" w:fill="FFFFFF"/>
        </w:rPr>
        <w:t>%，较年初预算数增加34.70万元，增长16.46%，主要原因是主要原因是</w:t>
      </w:r>
      <w:r>
        <w:rPr>
          <w:rFonts w:ascii="方正仿宋_GBK" w:hAnsi="方正仿宋_GBK" w:eastAsia="方正仿宋_GBK" w:cs="方正仿宋_GBK"/>
          <w:sz w:val="32"/>
          <w:szCs w:val="32"/>
          <w:shd w:val="clear" w:color="auto" w:fill="FFFFFF"/>
          <w:lang w:eastAsia="zh-Hans"/>
        </w:rPr>
        <w:t>在职人员基本工资调整增加,缴费基数增加。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61.77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4.41</w:t>
      </w:r>
      <w:r>
        <w:rPr>
          <w:rFonts w:ascii="方正仿宋_GBK" w:hAnsi="方正仿宋_GBK" w:eastAsia="方正仿宋_GBK" w:cs="方正仿宋_GBK"/>
          <w:sz w:val="32"/>
          <w:szCs w:val="32"/>
          <w:shd w:val="clear" w:color="auto" w:fill="FFFFFF"/>
        </w:rPr>
        <w:t>%，较年初预算数减少0.80万元，下降1.28%，主要原因是卫生健康根据实际缴费进行调整预。</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住房保障支出51.43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3.67</w:t>
      </w:r>
      <w:r>
        <w:rPr>
          <w:rFonts w:ascii="方正仿宋_GBK" w:hAnsi="方正仿宋_GBK" w:eastAsia="方正仿宋_GBK" w:cs="方正仿宋_GBK"/>
          <w:sz w:val="32"/>
          <w:szCs w:val="32"/>
          <w:shd w:val="clear" w:color="auto" w:fill="FFFFFF"/>
        </w:rPr>
        <w:t>%，较年初预算数减少2.22万元，下降4.14%，主要原因是2022年清算补缴，2023年正常缴纳。</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1340.01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1245.06</w:t>
      </w:r>
      <w:r>
        <w:rPr>
          <w:rFonts w:ascii="方正仿宋_GBK" w:hAnsi="方正仿宋_GBK" w:eastAsia="方正仿宋_GBK" w:cs="方正仿宋_GBK"/>
          <w:sz w:val="32"/>
          <w:szCs w:val="32"/>
          <w:shd w:val="clear" w:color="auto" w:fill="FFFFFF"/>
        </w:rPr>
        <w:t>万元，较上年决算数增加120.52万元，增长10.72%，主要原因是</w:t>
      </w:r>
      <w:r>
        <w:rPr>
          <w:rFonts w:ascii="方正仿宋_GBK" w:hAnsi="方正仿宋_GBK" w:eastAsia="方正仿宋_GBK" w:cs="方正仿宋_GBK"/>
          <w:sz w:val="32"/>
          <w:szCs w:val="32"/>
          <w:shd w:val="clear" w:color="auto" w:fill="FFFFFF"/>
          <w:lang w:eastAsia="zh-Hans"/>
        </w:rPr>
        <w:t>要原因是人员工资调整和超额绩效增加导致一般公共预算基本支出增长。人员经费用途主要包括基本工资、津贴补贴、绩效工资、社会保障缴费、其他福利支出等。</w:t>
      </w:r>
      <w:r>
        <w:rPr>
          <w:rFonts w:ascii="方正仿宋_GBK" w:hAnsi="方正仿宋_GBK" w:eastAsia="方正仿宋_GBK" w:cs="方正仿宋_GBK"/>
          <w:sz w:val="32"/>
          <w:szCs w:val="32"/>
          <w:shd w:val="clear" w:color="auto" w:fill="FFFFFF"/>
        </w:rPr>
        <w:t>公用经费94.94万元，较上年决算数增加54.17万元，增长132.87%，主要原因是教职工差旅费和临聘人员工资纳入劳务费，导致公用经费较去年有所增加。公用经费用途主要包括</w:t>
      </w:r>
      <w:r>
        <w:rPr>
          <w:rFonts w:ascii="方正仿宋_GBK" w:hAnsi="方正仿宋_GBK" w:eastAsia="方正仿宋_GBK" w:cs="方正仿宋_GBK"/>
          <w:sz w:val="32"/>
          <w:szCs w:val="32"/>
          <w:shd w:val="clear" w:color="auto" w:fill="FFFFFF"/>
          <w:lang w:eastAsia="zh-Hans"/>
        </w:rPr>
        <w:t>办公费、印刷费、差旅费、培训费、劳务费、工会经费、维修费、水费、电费、邮电费</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shd w:val="clear" w:color="auto" w:fill="FFFFFF"/>
          <w:lang w:eastAsia="zh-Hans"/>
        </w:rPr>
        <w:t>本年度无“三公”经费支出,与年初预算数持平。</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ascii="方正仿宋_GBK" w:hAnsi="方正仿宋_GBK" w:eastAsia="方正仿宋_GBK" w:cs="方正仿宋_GBK"/>
          <w:sz w:val="32"/>
          <w:szCs w:val="32"/>
          <w:shd w:val="clear" w:color="auto" w:fill="FFFFFF"/>
          <w:lang w:eastAsia="zh-Hans"/>
        </w:rPr>
        <w:t>本单位</w:t>
      </w:r>
      <w:r>
        <w:rPr>
          <w:rFonts w:ascii="方正仿宋_GBK" w:hAnsi="方正仿宋_GBK" w:eastAsia="方正仿宋_GBK" w:cs="方正仿宋_GBK"/>
          <w:sz w:val="32"/>
          <w:szCs w:val="32"/>
          <w:shd w:val="clear" w:color="auto" w:fill="FFFFFF"/>
        </w:rPr>
        <w:t>2023</w:t>
      </w:r>
      <w:r>
        <w:rPr>
          <w:rFonts w:ascii="方正仿宋_GBK" w:hAnsi="方正仿宋_GBK" w:eastAsia="方正仿宋_GBK" w:cs="方正仿宋_GBK"/>
          <w:sz w:val="32"/>
          <w:szCs w:val="32"/>
          <w:shd w:val="clear" w:color="auto" w:fill="FFFFFF"/>
          <w:lang w:eastAsia="zh-Hans"/>
        </w:rPr>
        <w:t>年度发生因公出国(境)经费支出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eastAsia="zh-Hans"/>
        </w:rPr>
        <w:t>是本单位</w:t>
      </w:r>
      <w:r>
        <w:rPr>
          <w:rFonts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lang w:eastAsia="zh-Hans"/>
        </w:rPr>
        <w:t>年度未发生因公出国(境)经费支出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eastAsia="zh-Hans"/>
        </w:rPr>
        <w:t>是本单位</w:t>
      </w:r>
      <w:r>
        <w:rPr>
          <w:rFonts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lang w:eastAsia="zh-Hans"/>
        </w:rPr>
        <w:t>年度未发生因公出国(境)经费支出</w:t>
      </w:r>
      <w:r>
        <w:rPr>
          <w:rFonts w:ascii="仿宋-GB2312" w:hAnsi="仿宋-GB2312" w:eastAsia="仿宋-GB2312" w:cs="仿宋-GB2312"/>
          <w:sz w:val="32"/>
          <w:szCs w:val="32"/>
          <w:lang w:bidi="ar"/>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万元，主要用于本单位公务车购置。费用支出较年初预算数无增减，主要原因是本单位无公务车。较上年支出数无增减，主要原因是本单位无公务车。</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万元，主要用于本单位公务车的运行维护。费用支出较年初预算数无增减，主要原因是本单位无公务车。较上年支出数无增减，主要原因是本单位无公务车。</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万元，主要用于接待本单位的日常公务接待。费用支出较年初预算数无增减，主要原因是本单位2023年度无公务接待。较上年支出数无增减，主要原因是本单位2023年度无公务接待。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rPr>
        <w:t>财政未保障我单位会议费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9.10</w:t>
      </w:r>
      <w:r>
        <w:rPr>
          <w:rFonts w:ascii="方正仿宋_GBK" w:hAnsi="方正仿宋_GBK" w:eastAsia="方正仿宋_GBK" w:cs="方正仿宋_GBK"/>
          <w:sz w:val="32"/>
          <w:szCs w:val="32"/>
          <w:shd w:val="clear" w:color="auto" w:fill="FFFFFF"/>
        </w:rPr>
        <w:t>万元，较上年决算数增加6.44万元，增长242.11%，主要原因是加大对教职工的业务能力培训，增加外出学习培训机会。</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根据预算绩效管理要求，我单位对14个二级项目开展了绩效自评，涉及财政拨款项目支出资金121.39万元。</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详见后面附件：丰都县湛普镇中心学校2023年度绩效自评表</w:t>
      </w:r>
    </w:p>
    <w:p>
      <w:pPr>
        <w:pStyle w:val="11"/>
        <w:numPr>
          <w:ilvl w:val="0"/>
          <w:numId w:val="2"/>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1"/>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秦光军   023-70630010</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重庆市丰都县湛普镇中心学校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1,345.35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1,062.77</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245.50</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61.77</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51.43</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1,364.74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1,421.47</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68.26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11.53</w:t>
            </w: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1,433.00</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1,433.00</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260" w:type="dxa"/>
        <w:tblInd w:w="0" w:type="dxa"/>
        <w:tblLayout w:type="fixed"/>
        <w:tblCellMar>
          <w:top w:w="0" w:type="dxa"/>
          <w:left w:w="0" w:type="dxa"/>
          <w:bottom w:w="0" w:type="dxa"/>
          <w:right w:w="0" w:type="dxa"/>
        </w:tblCellMar>
      </w:tblPr>
      <w:tblGrid>
        <w:gridCol w:w="1689"/>
        <w:gridCol w:w="3252"/>
        <w:gridCol w:w="1118"/>
        <w:gridCol w:w="1224"/>
        <w:gridCol w:w="1223"/>
        <w:gridCol w:w="1224"/>
        <w:gridCol w:w="1356"/>
        <w:gridCol w:w="1296"/>
        <w:gridCol w:w="1428"/>
        <w:gridCol w:w="1450"/>
      </w:tblGrid>
      <w:tr>
        <w:tblPrEx>
          <w:tblCellMar>
            <w:top w:w="0" w:type="dxa"/>
            <w:left w:w="0" w:type="dxa"/>
            <w:bottom w:w="0" w:type="dxa"/>
            <w:right w:w="0" w:type="dxa"/>
          </w:tblCellMar>
        </w:tblPrEx>
        <w:trPr>
          <w:trHeight w:val="616" w:hRule="atLeast"/>
        </w:trPr>
        <w:tc>
          <w:tcPr>
            <w:tcW w:w="1526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15" w:hRule="atLeast"/>
        </w:trPr>
        <w:tc>
          <w:tcPr>
            <w:tcW w:w="60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重庆市丰都县湛普镇中心学校</w:t>
            </w: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15" w:hRule="atLeast"/>
        </w:trPr>
        <w:tc>
          <w:tcPr>
            <w:tcW w:w="60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48" w:hRule="atLeast"/>
        </w:trPr>
        <w:tc>
          <w:tcPr>
            <w:tcW w:w="4941"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26" w:hRule="atLeast"/>
        </w:trPr>
        <w:tc>
          <w:tcPr>
            <w:tcW w:w="1689"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52"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5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5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5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4" w:hRule="atLeast"/>
        </w:trPr>
        <w:tc>
          <w:tcPr>
            <w:tcW w:w="494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1,364.74</w:t>
            </w:r>
            <w:r>
              <w:rPr>
                <w:b/>
                <w:color w:val="000000"/>
                <w:sz w:val="20"/>
              </w:rPr>
              <w:t xml:space="preserve"> </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1,345.35</w:t>
            </w:r>
            <w:r>
              <w:rPr>
                <w:b/>
                <w:color w:val="000000"/>
                <w:sz w:val="20"/>
              </w:rPr>
              <w:t xml:space="preserve"> </w:t>
            </w:r>
          </w:p>
        </w:tc>
        <w:tc>
          <w:tcPr>
            <w:tcW w:w="12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4.95</w:t>
            </w:r>
            <w:r>
              <w:rPr>
                <w:b/>
                <w:color w:val="000000"/>
                <w:sz w:val="20"/>
              </w:rPr>
              <w:t xml:space="preserve"> </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14.44</w:t>
            </w:r>
            <w:r>
              <w:rPr>
                <w:b/>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1,006.04</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986.65</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w:t>
            </w:r>
            <w:r>
              <w:rPr>
                <w:b/>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1,006.04</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986.65</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w:t>
            </w:r>
            <w:r>
              <w:rPr>
                <w:b/>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w:t>
            </w: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999.17</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984.73</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245.50</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245.50</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245.50</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245.50</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3"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69.67</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69.67</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72.24</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72.24</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103.59</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103.59</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61.77</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61.77</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61.77</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61.77</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34.97</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34.97</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26.80</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26.80</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51.43</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51.43</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51.43</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51.43</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54"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51.43</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51.43</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7"/>
        <w:tblW w:w="15279" w:type="dxa"/>
        <w:tblInd w:w="0" w:type="dxa"/>
        <w:tblLayout w:type="fixed"/>
        <w:tblCellMar>
          <w:top w:w="0" w:type="dxa"/>
          <w:left w:w="0" w:type="dxa"/>
          <w:bottom w:w="0" w:type="dxa"/>
          <w:right w:w="0" w:type="dxa"/>
        </w:tblCellMar>
      </w:tblPr>
      <w:tblGrid>
        <w:gridCol w:w="1791"/>
        <w:gridCol w:w="3333"/>
        <w:gridCol w:w="1691"/>
        <w:gridCol w:w="1690"/>
        <w:gridCol w:w="1690"/>
        <w:gridCol w:w="1673"/>
        <w:gridCol w:w="1674"/>
        <w:gridCol w:w="1737"/>
      </w:tblGrid>
      <w:tr>
        <w:tblPrEx>
          <w:tblCellMar>
            <w:top w:w="0" w:type="dxa"/>
            <w:left w:w="0" w:type="dxa"/>
            <w:bottom w:w="0" w:type="dxa"/>
            <w:right w:w="0" w:type="dxa"/>
          </w:tblCellMar>
        </w:tblPrEx>
        <w:trPr>
          <w:trHeight w:val="596" w:hRule="atLeast"/>
        </w:trPr>
        <w:tc>
          <w:tcPr>
            <w:tcW w:w="15279"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18" w:hRule="atLeast"/>
        </w:trPr>
        <w:tc>
          <w:tcPr>
            <w:tcW w:w="681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重庆市丰都县湛普镇中心学校 </w:t>
            </w: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18" w:hRule="atLeast"/>
        </w:trPr>
        <w:tc>
          <w:tcPr>
            <w:tcW w:w="68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45" w:hRule="atLeast"/>
        </w:trPr>
        <w:tc>
          <w:tcPr>
            <w:tcW w:w="51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26" w:hRule="atLeast"/>
        </w:trPr>
        <w:tc>
          <w:tcPr>
            <w:tcW w:w="179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32"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3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3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3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45" w:hRule="atLeast"/>
        </w:trPr>
        <w:tc>
          <w:tcPr>
            <w:tcW w:w="512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1,421.47</w:t>
            </w:r>
            <w:r>
              <w:rPr>
                <w:b/>
                <w:color w:val="000000"/>
                <w:sz w:val="20"/>
              </w:rPr>
              <w:t xml:space="preserve"> </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1,359.90</w:t>
            </w:r>
            <w:r>
              <w:rPr>
                <w:b/>
                <w:color w:val="000000"/>
                <w:sz w:val="20"/>
              </w:rPr>
              <w:t xml:space="preserve"> </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61.56</w:t>
            </w:r>
            <w:r>
              <w:rPr>
                <w:b/>
                <w:color w:val="000000"/>
                <w:sz w:val="20"/>
              </w:rPr>
              <w:t xml:space="preserve"> </w:t>
            </w:r>
          </w:p>
        </w:tc>
        <w:tc>
          <w:tcPr>
            <w:tcW w:w="16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1,062.77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1,001.20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61.56</w:t>
            </w:r>
            <w:r>
              <w:rPr>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1,062.77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1,001.20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61.56</w:t>
            </w:r>
            <w:r>
              <w:rPr>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21.38</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8.92</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12.46</w:t>
            </w: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1,041.39</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992.28</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49.10</w:t>
            </w: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245.50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245.50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245.50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245.50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72.24</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72.24</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103.59</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103.59</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13"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38"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13"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51.43</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51.43</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13"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51.43</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51.43</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51.43</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51.43</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重庆市丰都县湛普镇中心学校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1,345.35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1,042.87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1,042.87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1,345.35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1,401.57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1,401.57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1,401.57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1,401.57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1,401.57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重庆市丰都县湛普镇中心学校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1,401.57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1,340.01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61.56</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1,042.87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981.31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61.56</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1,042.87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981.31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61.56</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12.46</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1,027.81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978.71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49.10</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245.50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245.50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245.50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245.50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69.67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69.67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72.24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72.24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103.59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103.59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61.77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61.77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34.97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34.97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51.43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51.43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重庆市丰都县湛普镇中心学校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bookmarkStart w:id="0" w:name="_GoBack"/>
            <w:bookmarkEnd w:id="0"/>
            <w:r>
              <w:rPr>
                <w:rFonts w:cs="宋体"/>
                <w:b/>
                <w:color w:val="000000"/>
                <w:sz w:val="18"/>
                <w:szCs w:val="18"/>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1,131.20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94.94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277.65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550.87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69.67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72.24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113.86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1,245.06</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94.94</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重庆市丰都县湛普镇中心学校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重庆市丰都县湛普镇中心学校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重庆市丰都县湛普镇中心学校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9.10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p>
      <w:pPr>
        <w:rPr>
          <w:rFonts w:hint="default"/>
        </w:rPr>
      </w:pPr>
      <w:r>
        <w:drawing>
          <wp:inline distT="0" distB="0" distL="114300" distR="114300">
            <wp:extent cx="8855710" cy="5739130"/>
            <wp:effectExtent l="0" t="0" r="254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855710" cy="5739130"/>
                    </a:xfrm>
                    <a:prstGeom prst="rect">
                      <a:avLst/>
                    </a:prstGeom>
                    <a:noFill/>
                    <a:ln>
                      <a:noFill/>
                    </a:ln>
                  </pic:spPr>
                </pic:pic>
              </a:graphicData>
            </a:graphic>
          </wp:inline>
        </w:drawing>
      </w:r>
    </w:p>
    <w:p>
      <w:pPr>
        <w:rPr>
          <w:rFonts w:hint="default"/>
        </w:rPr>
      </w:pPr>
      <w:r>
        <w:drawing>
          <wp:inline distT="0" distB="0" distL="114300" distR="114300">
            <wp:extent cx="8858885" cy="5060315"/>
            <wp:effectExtent l="0" t="0" r="184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858885" cy="5060315"/>
                    </a:xfrm>
                    <a:prstGeom prst="rect">
                      <a:avLst/>
                    </a:prstGeom>
                    <a:noFill/>
                    <a:ln>
                      <a:noFill/>
                    </a:ln>
                  </pic:spPr>
                </pic:pic>
              </a:graphicData>
            </a:graphic>
          </wp:inline>
        </w:drawing>
      </w:r>
    </w:p>
    <w:p>
      <w:pPr>
        <w:rPr>
          <w:rFonts w:hint="default"/>
        </w:rPr>
      </w:pPr>
      <w:r>
        <w:drawing>
          <wp:inline distT="0" distB="0" distL="114300" distR="114300">
            <wp:extent cx="8862060" cy="5753100"/>
            <wp:effectExtent l="0" t="0" r="152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862060" cy="5753100"/>
                    </a:xfrm>
                    <a:prstGeom prst="rect">
                      <a:avLst/>
                    </a:prstGeom>
                    <a:noFill/>
                    <a:ln>
                      <a:noFill/>
                    </a:ln>
                  </pic:spPr>
                </pic:pic>
              </a:graphicData>
            </a:graphic>
          </wp:inline>
        </w:drawing>
      </w:r>
    </w:p>
    <w:p>
      <w:pPr>
        <w:rPr>
          <w:rFonts w:hint="default"/>
        </w:rPr>
      </w:pPr>
      <w:r>
        <w:drawing>
          <wp:inline distT="0" distB="0" distL="114300" distR="114300">
            <wp:extent cx="8859520" cy="5618480"/>
            <wp:effectExtent l="0" t="0" r="1778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859520" cy="5618480"/>
                    </a:xfrm>
                    <a:prstGeom prst="rect">
                      <a:avLst/>
                    </a:prstGeom>
                    <a:noFill/>
                    <a:ln>
                      <a:noFill/>
                    </a:ln>
                  </pic:spPr>
                </pic:pic>
              </a:graphicData>
            </a:graphic>
          </wp:inline>
        </w:drawing>
      </w:r>
    </w:p>
    <w:p>
      <w:pPr>
        <w:rPr>
          <w:rFonts w:hint="default"/>
        </w:rPr>
      </w:pPr>
      <w:r>
        <w:drawing>
          <wp:inline distT="0" distB="0" distL="114300" distR="114300">
            <wp:extent cx="8862060" cy="5385435"/>
            <wp:effectExtent l="0" t="0" r="1524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8862060" cy="5385435"/>
                    </a:xfrm>
                    <a:prstGeom prst="rect">
                      <a:avLst/>
                    </a:prstGeom>
                    <a:noFill/>
                    <a:ln>
                      <a:noFill/>
                    </a:ln>
                  </pic:spPr>
                </pic:pic>
              </a:graphicData>
            </a:graphic>
          </wp:inline>
        </w:drawing>
      </w:r>
    </w:p>
    <w:p>
      <w:pPr>
        <w:rPr>
          <w:rFonts w:hint="default"/>
        </w:rPr>
      </w:pPr>
      <w:r>
        <w:drawing>
          <wp:inline distT="0" distB="0" distL="114300" distR="114300">
            <wp:extent cx="8860790" cy="5823585"/>
            <wp:effectExtent l="0" t="0" r="1651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8860790" cy="5823585"/>
                    </a:xfrm>
                    <a:prstGeom prst="rect">
                      <a:avLst/>
                    </a:prstGeom>
                    <a:noFill/>
                    <a:ln>
                      <a:noFill/>
                    </a:ln>
                  </pic:spPr>
                </pic:pic>
              </a:graphicData>
            </a:graphic>
          </wp:inline>
        </w:drawing>
      </w:r>
    </w:p>
    <w:p>
      <w:pPr>
        <w:rPr>
          <w:rFonts w:hint="default"/>
        </w:rPr>
      </w:pPr>
      <w:r>
        <w:drawing>
          <wp:inline distT="0" distB="0" distL="114300" distR="114300">
            <wp:extent cx="8852535" cy="5590540"/>
            <wp:effectExtent l="0" t="0" r="571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8852535" cy="5590540"/>
                    </a:xfrm>
                    <a:prstGeom prst="rect">
                      <a:avLst/>
                    </a:prstGeom>
                    <a:noFill/>
                    <a:ln>
                      <a:noFill/>
                    </a:ln>
                  </pic:spPr>
                </pic:pic>
              </a:graphicData>
            </a:graphic>
          </wp:inline>
        </w:drawing>
      </w:r>
    </w:p>
    <w:p>
      <w:pPr>
        <w:rPr>
          <w:rFonts w:hint="default"/>
        </w:rPr>
      </w:pPr>
      <w:r>
        <w:drawing>
          <wp:inline distT="0" distB="0" distL="114300" distR="114300">
            <wp:extent cx="8852535" cy="5520055"/>
            <wp:effectExtent l="0" t="0" r="571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8852535" cy="5520055"/>
                    </a:xfrm>
                    <a:prstGeom prst="rect">
                      <a:avLst/>
                    </a:prstGeom>
                    <a:noFill/>
                    <a:ln>
                      <a:noFill/>
                    </a:ln>
                  </pic:spPr>
                </pic:pic>
              </a:graphicData>
            </a:graphic>
          </wp:inline>
        </w:drawing>
      </w:r>
    </w:p>
    <w:p>
      <w:pPr>
        <w:rPr>
          <w:rFonts w:hint="default"/>
        </w:rPr>
      </w:pPr>
      <w:r>
        <w:drawing>
          <wp:inline distT="0" distB="0" distL="114300" distR="114300">
            <wp:extent cx="8854440" cy="5866130"/>
            <wp:effectExtent l="0" t="0" r="381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8854440" cy="5866130"/>
                    </a:xfrm>
                    <a:prstGeom prst="rect">
                      <a:avLst/>
                    </a:prstGeom>
                    <a:noFill/>
                    <a:ln>
                      <a:noFill/>
                    </a:ln>
                  </pic:spPr>
                </pic:pic>
              </a:graphicData>
            </a:graphic>
          </wp:inline>
        </w:drawing>
      </w:r>
    </w:p>
    <w:p>
      <w:pPr>
        <w:rPr>
          <w:rFonts w:hint="default"/>
        </w:rPr>
      </w:pPr>
      <w:r>
        <w:drawing>
          <wp:inline distT="0" distB="0" distL="114300" distR="114300">
            <wp:extent cx="8855075" cy="5703570"/>
            <wp:effectExtent l="0" t="0" r="3175"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8855075" cy="5703570"/>
                    </a:xfrm>
                    <a:prstGeom prst="rect">
                      <a:avLst/>
                    </a:prstGeom>
                    <a:noFill/>
                    <a:ln>
                      <a:noFill/>
                    </a:ln>
                  </pic:spPr>
                </pic:pic>
              </a:graphicData>
            </a:graphic>
          </wp:inline>
        </w:drawing>
      </w:r>
    </w:p>
    <w:p>
      <w:pPr>
        <w:rPr>
          <w:rFonts w:hint="default"/>
        </w:rPr>
      </w:pPr>
      <w:r>
        <w:drawing>
          <wp:inline distT="0" distB="0" distL="114300" distR="114300">
            <wp:extent cx="8857615" cy="5915660"/>
            <wp:effectExtent l="0" t="0" r="63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8857615" cy="5915660"/>
                    </a:xfrm>
                    <a:prstGeom prst="rect">
                      <a:avLst/>
                    </a:prstGeom>
                    <a:noFill/>
                    <a:ln>
                      <a:noFill/>
                    </a:ln>
                  </pic:spPr>
                </pic:pic>
              </a:graphicData>
            </a:graphic>
          </wp:inline>
        </w:drawing>
      </w:r>
    </w:p>
    <w:p>
      <w:pPr>
        <w:rPr>
          <w:rFonts w:hint="default"/>
        </w:rPr>
      </w:pPr>
      <w:r>
        <w:drawing>
          <wp:inline distT="0" distB="0" distL="114300" distR="114300">
            <wp:extent cx="8856345" cy="5830570"/>
            <wp:effectExtent l="0" t="0" r="1905" b="177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8856345" cy="5830570"/>
                    </a:xfrm>
                    <a:prstGeom prst="rect">
                      <a:avLst/>
                    </a:prstGeom>
                    <a:noFill/>
                    <a:ln>
                      <a:noFill/>
                    </a:ln>
                  </pic:spPr>
                </pic:pic>
              </a:graphicData>
            </a:graphic>
          </wp:inline>
        </w:drawing>
      </w:r>
    </w:p>
    <w:p>
      <w:pPr>
        <w:rPr>
          <w:rFonts w:hint="default"/>
        </w:rPr>
      </w:pPr>
      <w:r>
        <w:drawing>
          <wp:inline distT="0" distB="0" distL="114300" distR="114300">
            <wp:extent cx="8853805" cy="6021705"/>
            <wp:effectExtent l="0" t="0" r="4445" b="171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8853805" cy="6021705"/>
                    </a:xfrm>
                    <a:prstGeom prst="rect">
                      <a:avLst/>
                    </a:prstGeom>
                    <a:noFill/>
                    <a:ln>
                      <a:noFill/>
                    </a:ln>
                  </pic:spPr>
                </pic:pic>
              </a:graphicData>
            </a:graphic>
          </wp:inline>
        </w:drawing>
      </w:r>
    </w:p>
    <w:p>
      <w:pPr>
        <w:rPr>
          <w:rFonts w:hint="default"/>
        </w:rPr>
      </w:pPr>
      <w:r>
        <w:drawing>
          <wp:inline distT="0" distB="0" distL="114300" distR="114300">
            <wp:extent cx="8854440" cy="5866130"/>
            <wp:effectExtent l="0" t="0" r="381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8854440" cy="5866130"/>
                    </a:xfrm>
                    <a:prstGeom prst="rect">
                      <a:avLst/>
                    </a:prstGeom>
                    <a:noFill/>
                    <a:ln>
                      <a:noFill/>
                    </a:ln>
                  </pic:spPr>
                </pic:pic>
              </a:graphicData>
            </a:graphic>
          </wp:inline>
        </w:drawing>
      </w:r>
    </w:p>
    <w:p>
      <w:pPr>
        <w:rPr>
          <w:rFonts w:hint="default" w:cs="宋体"/>
          <w:sz w:val="20"/>
          <w:szCs w:val="20"/>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F014873A"/>
    <w:multiLevelType w:val="singleLevel"/>
    <w:tmpl w:val="F014873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jA4MmFkODMzZWExNmM3NDA4MGM4MjBiMzVjMTgifQ=="/>
    <w:docVar w:name="KSO_WPS_MARK_KEY" w:val="5fc7d2b6-f43a-4224-9ab3-398043a48b75"/>
  </w:docVars>
  <w:rsids>
    <w:rsidRoot w:val="00B03CCD"/>
    <w:rsid w:val="00181EC7"/>
    <w:rsid w:val="001D3BB7"/>
    <w:rsid w:val="002B254B"/>
    <w:rsid w:val="003F0C86"/>
    <w:rsid w:val="00466C9B"/>
    <w:rsid w:val="00550ABE"/>
    <w:rsid w:val="005D3B1B"/>
    <w:rsid w:val="005E766D"/>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0FF58F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B56369"/>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EC648E"/>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13028F"/>
    <w:rsid w:val="383C3F15"/>
    <w:rsid w:val="38BE4696"/>
    <w:rsid w:val="3939115E"/>
    <w:rsid w:val="39B82A39"/>
    <w:rsid w:val="39C42CA8"/>
    <w:rsid w:val="39DC4FD6"/>
    <w:rsid w:val="39F03D7A"/>
    <w:rsid w:val="39F33306"/>
    <w:rsid w:val="3A2C1C67"/>
    <w:rsid w:val="3ADD7F09"/>
    <w:rsid w:val="3B1705E5"/>
    <w:rsid w:val="3B18334B"/>
    <w:rsid w:val="3B36794F"/>
    <w:rsid w:val="3B6F6EE0"/>
    <w:rsid w:val="3BF74E42"/>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2E5641"/>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5F7870"/>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6E3B2B"/>
    <w:rsid w:val="750837F0"/>
    <w:rsid w:val="754758CF"/>
    <w:rsid w:val="764F62AB"/>
    <w:rsid w:val="765C45EC"/>
    <w:rsid w:val="768A7619"/>
    <w:rsid w:val="772E1EBA"/>
    <w:rsid w:val="781926BC"/>
    <w:rsid w:val="796D60A4"/>
    <w:rsid w:val="79A031D5"/>
    <w:rsid w:val="7A1525F7"/>
    <w:rsid w:val="7B420052"/>
    <w:rsid w:val="7BB51D37"/>
    <w:rsid w:val="7BD06A28"/>
    <w:rsid w:val="7C3A7C0B"/>
    <w:rsid w:val="7C5248E4"/>
    <w:rsid w:val="7C566698"/>
    <w:rsid w:val="7C5866A3"/>
    <w:rsid w:val="7D7406BB"/>
    <w:rsid w:val="7DE94331"/>
    <w:rsid w:val="7F446A19"/>
    <w:rsid w:val="7F731748"/>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7793</Words>
  <Characters>9692</Characters>
  <Lines>39</Lines>
  <Paragraphs>25</Paragraphs>
  <TotalTime>3</TotalTime>
  <ScaleCrop>false</ScaleCrop>
  <LinksUpToDate>false</LinksUpToDate>
  <CharactersWithSpaces>10740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2024-09-20T08:24:00Z</dcterms:created>
  <dc:creator>Administrator</dc:creator>
  <cp:lastModifiedBy>Administrator</cp:lastModifiedBy>
  <dcterms:modified xsi:type="dcterms:W3CDTF">2024-09-27T08:02:21Z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