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jc w:val="center"/>
        <w:rPr>
          <w:rFonts w:hint="default"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丰都县三建乡中心学校</w:t>
      </w:r>
    </w:p>
    <w:p>
      <w:pPr>
        <w:shd w:val="solid" w:color="FFFFFF" w:fill="auto"/>
        <w:autoSpaceDN w:val="0"/>
        <w:jc w:val="center"/>
        <w:rPr>
          <w:rFonts w:hint="default" w:ascii="Times New Roman" w:hAnsi="Times New Roman" w:eastAsia="方正小标宋简体"/>
          <w:bCs/>
          <w:sz w:val="44"/>
          <w:szCs w:val="44"/>
          <w:shd w:val="clear" w:color="auto" w:fill="FFFFFF"/>
        </w:rPr>
      </w:pPr>
      <w:r>
        <w:rPr>
          <w:rFonts w:ascii="Times New Roman" w:hAnsi="Times New Roman" w:eastAsia="方正小标宋简体"/>
          <w:bCs/>
          <w:sz w:val="44"/>
          <w:szCs w:val="44"/>
          <w:shd w:val="clear" w:color="auto" w:fill="FFFFFF"/>
        </w:rPr>
        <w:t>2023年度决算公开说明</w:t>
      </w:r>
    </w:p>
    <w:p>
      <w:pPr>
        <w:pStyle w:val="6"/>
        <w:shd w:val="clear" w:color="auto" w:fill="FFFFFF"/>
        <w:spacing w:beforeAutospacing="0" w:afterAutospacing="0"/>
        <w:ind w:firstLine="640" w:firstLineChars="20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一、单位基本情况</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（一）职能职责</w:t>
      </w:r>
    </w:p>
    <w:p>
      <w:pPr>
        <w:pStyle w:val="6"/>
        <w:shd w:val="clear" w:color="auto" w:fill="FFFFFF"/>
        <w:spacing w:beforeAutospacing="0" w:afterAutospacing="0"/>
        <w:ind w:firstLine="640" w:firstLineChars="200"/>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实施中小学义务教育,促进基础教育发展。承担辖区内中小学教育;推进课程改革和教法学法改革;提高学生综合素质;培养学生多样化发展;培养学生良好品德;从事中小学义务教育及学前教育的相关社会服务。</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（二）机构设置</w:t>
      </w:r>
    </w:p>
    <w:p>
      <w:pPr>
        <w:pStyle w:val="6"/>
        <w:shd w:val="clear" w:color="auto" w:fill="FFFFFF"/>
        <w:spacing w:beforeAutospacing="0" w:afterAutospacing="0"/>
        <w:ind w:firstLine="640" w:firstLineChars="200"/>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学校设有办公室、德育处、教务处、教科研、后勤处。</w:t>
      </w:r>
    </w:p>
    <w:p>
      <w:pPr>
        <w:pStyle w:val="6"/>
        <w:shd w:val="clear" w:color="auto" w:fill="FFFFFF"/>
        <w:spacing w:beforeAutospacing="0" w:afterAutospacing="0"/>
        <w:ind w:firstLine="640" w:firstLineChars="20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二、单位决算情况说明</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（一）收入支出决算总体情况说明。</w:t>
      </w:r>
    </w:p>
    <w:p>
      <w:pPr>
        <w:pStyle w:val="6"/>
        <w:shd w:val="clear" w:color="auto" w:fill="FFFFFF"/>
        <w:spacing w:beforeAutospacing="0" w:afterAutospacing="0"/>
        <w:ind w:firstLine="643" w:firstLineChars="200"/>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1.总体情况。</w:t>
      </w:r>
      <w:r>
        <w:rPr>
          <w:rFonts w:ascii="仿宋_GB2312" w:hAnsi="仿宋_GB2312" w:eastAsia="仿宋_GB2312" w:cs="仿宋_GB2312"/>
          <w:sz w:val="32"/>
          <w:szCs w:val="32"/>
          <w:shd w:val="clear" w:color="auto" w:fill="FFFFFF"/>
        </w:rPr>
        <w:t>2023年度收入总计1820.42万元，支出总计</w:t>
      </w:r>
      <w:r>
        <w:rPr>
          <w:rFonts w:ascii="仿宋_GB2312" w:hAnsi="仿宋_GB2312" w:eastAsia="仿宋_GB2312" w:cs="仿宋_GB2312"/>
          <w:sz w:val="32"/>
          <w:szCs w:val="32"/>
        </w:rPr>
        <w:t>1820.42</w:t>
      </w:r>
      <w:r>
        <w:rPr>
          <w:rFonts w:ascii="仿宋_GB2312" w:hAnsi="仿宋_GB2312" w:eastAsia="仿宋_GB2312" w:cs="仿宋_GB2312"/>
          <w:sz w:val="32"/>
          <w:szCs w:val="32"/>
          <w:shd w:val="clear" w:color="auto" w:fill="FFFFFF"/>
        </w:rPr>
        <w:t>万元。收支较上年决算数增加229.14万元，增长14.40%，主要原因是清算2022年超额绩效和社会保险基数调高。</w:t>
      </w:r>
    </w:p>
    <w:p>
      <w:pPr>
        <w:pStyle w:val="6"/>
        <w:shd w:val="clear" w:color="auto" w:fill="FFFFFF"/>
        <w:spacing w:beforeAutospacing="0" w:afterAutospacing="0"/>
        <w:ind w:firstLine="643" w:firstLineChars="200"/>
        <w:rPr>
          <w:rFonts w:hint="default" w:ascii="仿宋_GB2312" w:hAnsi="仿宋_GB2312" w:eastAsia="仿宋_GB2312" w:cs="仿宋_GB2312"/>
          <w:sz w:val="32"/>
          <w:szCs w:val="32"/>
          <w:shd w:val="clear" w:color="auto" w:fill="FFFFFF"/>
        </w:rPr>
      </w:pPr>
      <w:r>
        <w:rPr>
          <w:rStyle w:val="10"/>
          <w:rFonts w:ascii="仿宋_GB2312" w:hAnsi="仿宋_GB2312" w:eastAsia="仿宋_GB2312" w:cs="仿宋_GB2312"/>
          <w:sz w:val="32"/>
          <w:szCs w:val="32"/>
          <w:shd w:val="clear" w:color="auto" w:fill="FFFFFF"/>
        </w:rPr>
        <w:t>2.收入情况。</w:t>
      </w:r>
      <w:r>
        <w:rPr>
          <w:rFonts w:ascii="仿宋_GB2312" w:hAnsi="仿宋_GB2312" w:eastAsia="仿宋_GB2312" w:cs="仿宋_GB2312"/>
          <w:sz w:val="32"/>
          <w:szCs w:val="32"/>
          <w:shd w:val="clear" w:color="auto" w:fill="FFFFFF"/>
        </w:rPr>
        <w:t>2023年度收入合计1777.73万元，较上年决算数增加186.45万元，增长11.72%，主要原因是清算2022年超额绩效和社会保险基数调高。其中：财政拨款收入</w:t>
      </w:r>
      <w:r>
        <w:rPr>
          <w:rFonts w:ascii="仿宋_GB2312" w:hAnsi="仿宋_GB2312" w:eastAsia="仿宋_GB2312" w:cs="仿宋_GB2312"/>
          <w:sz w:val="32"/>
          <w:szCs w:val="32"/>
        </w:rPr>
        <w:t>1721.12</w:t>
      </w:r>
      <w:r>
        <w:rPr>
          <w:rFonts w:ascii="仿宋_GB2312" w:hAnsi="仿宋_GB2312" w:eastAsia="仿宋_GB2312" w:cs="仿宋_GB2312"/>
          <w:sz w:val="32"/>
          <w:szCs w:val="32"/>
          <w:shd w:val="clear" w:color="auto" w:fill="FFFFFF"/>
        </w:rPr>
        <w:t>万元，占</w:t>
      </w:r>
      <w:r>
        <w:rPr>
          <w:rFonts w:ascii="仿宋_GB2312" w:hAnsi="仿宋_GB2312" w:eastAsia="仿宋_GB2312" w:cs="仿宋_GB2312"/>
          <w:sz w:val="32"/>
          <w:szCs w:val="32"/>
        </w:rPr>
        <w:t>96.82</w:t>
      </w:r>
      <w:r>
        <w:rPr>
          <w:rFonts w:ascii="仿宋_GB2312" w:hAnsi="仿宋_GB2312" w:eastAsia="仿宋_GB2312" w:cs="仿宋_GB2312"/>
          <w:sz w:val="32"/>
          <w:szCs w:val="32"/>
          <w:shd w:val="clear" w:color="auto" w:fill="FFFFFF"/>
        </w:rPr>
        <w:t>%；事业收入</w:t>
      </w:r>
      <w:r>
        <w:rPr>
          <w:rFonts w:ascii="仿宋_GB2312" w:hAnsi="仿宋_GB2312" w:eastAsia="仿宋_GB2312" w:cs="仿宋_GB2312"/>
          <w:sz w:val="32"/>
          <w:szCs w:val="32"/>
        </w:rPr>
        <w:t>26.56</w:t>
      </w:r>
      <w:r>
        <w:rPr>
          <w:rFonts w:ascii="仿宋_GB2312" w:hAnsi="仿宋_GB2312" w:eastAsia="仿宋_GB2312" w:cs="仿宋_GB2312"/>
          <w:sz w:val="32"/>
          <w:szCs w:val="32"/>
          <w:shd w:val="clear" w:color="auto" w:fill="FFFFFF"/>
        </w:rPr>
        <w:t>万元，占1.49%；经营收入</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万元，占0.00%；其他收入</w:t>
      </w:r>
      <w:r>
        <w:rPr>
          <w:rFonts w:ascii="仿宋_GB2312" w:hAnsi="仿宋_GB2312" w:eastAsia="仿宋_GB2312" w:cs="仿宋_GB2312"/>
          <w:sz w:val="32"/>
          <w:szCs w:val="32"/>
        </w:rPr>
        <w:t>30.05</w:t>
      </w:r>
      <w:r>
        <w:rPr>
          <w:rFonts w:ascii="仿宋_GB2312" w:hAnsi="仿宋_GB2312" w:eastAsia="仿宋_GB2312" w:cs="仿宋_GB2312"/>
          <w:sz w:val="32"/>
          <w:szCs w:val="32"/>
          <w:shd w:val="clear" w:color="auto" w:fill="FFFFFF"/>
        </w:rPr>
        <w:t>万元，占1.69%。此外，使用非财政拨款结余和专用结余</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万元，年初结转和结余</w:t>
      </w:r>
      <w:r>
        <w:rPr>
          <w:rFonts w:ascii="仿宋_GB2312" w:hAnsi="仿宋_GB2312" w:eastAsia="仿宋_GB2312" w:cs="仿宋_GB2312"/>
          <w:sz w:val="32"/>
          <w:szCs w:val="32"/>
        </w:rPr>
        <w:t>42.70</w:t>
      </w:r>
      <w:r>
        <w:rPr>
          <w:rFonts w:ascii="仿宋_GB2312" w:hAnsi="仿宋_GB2312" w:eastAsia="仿宋_GB2312" w:cs="仿宋_GB2312"/>
          <w:sz w:val="32"/>
          <w:szCs w:val="32"/>
          <w:shd w:val="clear" w:color="auto" w:fill="FFFFFF"/>
        </w:rPr>
        <w:t>万元。</w:t>
      </w:r>
    </w:p>
    <w:p>
      <w:pPr>
        <w:pStyle w:val="6"/>
        <w:shd w:val="clear" w:color="auto" w:fill="FFFFFF"/>
        <w:spacing w:beforeAutospacing="0" w:afterAutospacing="0"/>
        <w:ind w:firstLine="643" w:firstLineChars="200"/>
        <w:rPr>
          <w:rFonts w:hint="default" w:ascii="仿宋_GB2312" w:hAnsi="仿宋_GB2312" w:eastAsia="仿宋_GB2312" w:cs="仿宋_GB2312"/>
          <w:sz w:val="32"/>
          <w:szCs w:val="32"/>
          <w:shd w:val="clear" w:color="auto" w:fill="FFFFFF"/>
        </w:rPr>
      </w:pPr>
      <w:r>
        <w:rPr>
          <w:rStyle w:val="10"/>
          <w:rFonts w:ascii="仿宋_GB2312" w:hAnsi="仿宋_GB2312" w:eastAsia="仿宋_GB2312" w:cs="仿宋_GB2312"/>
          <w:sz w:val="32"/>
          <w:szCs w:val="32"/>
          <w:shd w:val="clear" w:color="auto" w:fill="FFFFFF"/>
        </w:rPr>
        <w:t>3.支出情况。</w:t>
      </w:r>
      <w:r>
        <w:rPr>
          <w:rFonts w:ascii="仿宋_GB2312" w:hAnsi="仿宋_GB2312" w:eastAsia="仿宋_GB2312" w:cs="仿宋_GB2312"/>
          <w:sz w:val="32"/>
          <w:szCs w:val="32"/>
          <w:shd w:val="clear" w:color="auto" w:fill="FFFFFF"/>
        </w:rPr>
        <w:t>2023年度支出合计</w:t>
      </w:r>
      <w:r>
        <w:rPr>
          <w:rFonts w:ascii="仿宋_GB2312" w:hAnsi="仿宋_GB2312" w:eastAsia="仿宋_GB2312" w:cs="仿宋_GB2312"/>
          <w:sz w:val="32"/>
          <w:szCs w:val="32"/>
        </w:rPr>
        <w:t>1797.22</w:t>
      </w:r>
      <w:r>
        <w:rPr>
          <w:rFonts w:ascii="仿宋_GB2312" w:hAnsi="仿宋_GB2312" w:eastAsia="仿宋_GB2312" w:cs="仿宋_GB2312"/>
          <w:sz w:val="32"/>
          <w:szCs w:val="32"/>
          <w:shd w:val="clear" w:color="auto" w:fill="FFFFFF"/>
        </w:rPr>
        <w:t>万元，较上年决算数增加217.19万元，增长13.75%，主要原因是清算2022年超额绩效和社会保险基数调高。其中：基本支出</w:t>
      </w:r>
      <w:r>
        <w:rPr>
          <w:rFonts w:ascii="仿宋_GB2312" w:hAnsi="仿宋_GB2312" w:eastAsia="仿宋_GB2312" w:cs="仿宋_GB2312"/>
          <w:sz w:val="32"/>
          <w:szCs w:val="32"/>
        </w:rPr>
        <w:t>1623.11</w:t>
      </w:r>
      <w:r>
        <w:rPr>
          <w:rFonts w:ascii="仿宋_GB2312" w:hAnsi="仿宋_GB2312" w:eastAsia="仿宋_GB2312" w:cs="仿宋_GB2312"/>
          <w:sz w:val="32"/>
          <w:szCs w:val="32"/>
          <w:shd w:val="clear" w:color="auto" w:fill="FFFFFF"/>
        </w:rPr>
        <w:t>万元，占90.31%；项目支出</w:t>
      </w:r>
      <w:r>
        <w:rPr>
          <w:rFonts w:ascii="仿宋_GB2312" w:hAnsi="仿宋_GB2312" w:eastAsia="仿宋_GB2312" w:cs="仿宋_GB2312"/>
          <w:sz w:val="32"/>
          <w:szCs w:val="32"/>
        </w:rPr>
        <w:t>174.11</w:t>
      </w:r>
      <w:r>
        <w:rPr>
          <w:rFonts w:ascii="仿宋_GB2312" w:hAnsi="仿宋_GB2312" w:eastAsia="仿宋_GB2312" w:cs="仿宋_GB2312"/>
          <w:sz w:val="32"/>
          <w:szCs w:val="32"/>
          <w:shd w:val="clear" w:color="auto" w:fill="FFFFFF"/>
        </w:rPr>
        <w:t>万元，占9.69%；经营支出</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万元，占0.00%。此外，结余分配</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4.结转结余情况。</w:t>
      </w:r>
      <w:r>
        <w:rPr>
          <w:rFonts w:ascii="仿宋_GB2312" w:hAnsi="仿宋_GB2312" w:eastAsia="仿宋_GB2312" w:cs="仿宋_GB2312"/>
          <w:sz w:val="32"/>
          <w:szCs w:val="32"/>
          <w:shd w:val="clear" w:color="auto" w:fill="FFFFFF"/>
        </w:rPr>
        <w:t>2023年度年末结转和结余</w:t>
      </w:r>
      <w:r>
        <w:rPr>
          <w:rFonts w:ascii="仿宋_GB2312" w:hAnsi="仿宋_GB2312" w:eastAsia="仿宋_GB2312" w:cs="仿宋_GB2312"/>
          <w:sz w:val="32"/>
          <w:szCs w:val="32"/>
        </w:rPr>
        <w:t>23.20</w:t>
      </w:r>
      <w:r>
        <w:rPr>
          <w:rFonts w:ascii="仿宋_GB2312" w:hAnsi="仿宋_GB2312" w:eastAsia="仿宋_GB2312" w:cs="仿宋_GB2312"/>
          <w:sz w:val="32"/>
          <w:szCs w:val="32"/>
          <w:shd w:val="clear" w:color="auto" w:fill="FFFFFF"/>
        </w:rPr>
        <w:t>万元，较上年决算数增加11.96万元，增长106.41%，主要原因是财政未及时审核造成未及时支付。</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（二）财政拨款收入支出决算总体情况说明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2023年度财政拨款收、支总计1752.58万元。与2022年相比，财政拨款收、支总计各增加239.00万元，增长15.79%。主要原因是清算2022年超额绩效和社会保险基数调高。</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（三）一般公共预算财政拨款收入支出决算情况说明</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1.收入情况。</w:t>
      </w:r>
      <w:r>
        <w:rPr>
          <w:rFonts w:ascii="仿宋_GB2312" w:hAnsi="仿宋_GB2312" w:eastAsia="仿宋_GB2312" w:cs="仿宋_GB2312"/>
          <w:sz w:val="32"/>
          <w:szCs w:val="32"/>
          <w:shd w:val="clear" w:color="auto" w:fill="FFFFFF"/>
        </w:rPr>
        <w:t>2023年度一般公共预算财政拨款收入</w:t>
      </w:r>
      <w:r>
        <w:rPr>
          <w:rFonts w:ascii="仿宋_GB2312" w:hAnsi="仿宋_GB2312" w:eastAsia="仿宋_GB2312" w:cs="仿宋_GB2312"/>
          <w:sz w:val="32"/>
          <w:szCs w:val="32"/>
        </w:rPr>
        <w:t>1721.12</w:t>
      </w:r>
      <w:r>
        <w:rPr>
          <w:rFonts w:ascii="仿宋_GB2312" w:hAnsi="仿宋_GB2312" w:eastAsia="仿宋_GB2312" w:cs="仿宋_GB2312"/>
          <w:sz w:val="32"/>
          <w:szCs w:val="32"/>
          <w:shd w:val="clear" w:color="auto" w:fill="FFFFFF"/>
        </w:rPr>
        <w:t>万元，较上年决算数增加207.54万元，增长13.71%。主要原因是幼儿园保育保缴费收费标准提高，财政清算2022年超额绩效。较年初预算数增加486.66万元，增长39.42%。主要原因是幼儿园保育保缴费收费标准提高，财政清算2022年超额绩效。此外，年初财政拨款结转和结余</w:t>
      </w:r>
      <w:r>
        <w:rPr>
          <w:rFonts w:ascii="仿宋_GB2312" w:hAnsi="仿宋_GB2312" w:eastAsia="仿宋_GB2312" w:cs="仿宋_GB2312"/>
          <w:sz w:val="32"/>
          <w:szCs w:val="32"/>
        </w:rPr>
        <w:t>31.45</w:t>
      </w:r>
      <w:r>
        <w:rPr>
          <w:rFonts w:ascii="仿宋_GB2312" w:hAnsi="仿宋_GB2312" w:eastAsia="仿宋_GB2312" w:cs="仿宋_GB2312"/>
          <w:sz w:val="32"/>
          <w:szCs w:val="32"/>
          <w:shd w:val="clear" w:color="auto" w:fill="FFFFFF"/>
        </w:rPr>
        <w:t>万元。</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2.支出情况。</w:t>
      </w:r>
      <w:r>
        <w:rPr>
          <w:rFonts w:ascii="仿宋_GB2312" w:hAnsi="仿宋_GB2312" w:eastAsia="仿宋_GB2312" w:cs="仿宋_GB2312"/>
          <w:sz w:val="32"/>
          <w:szCs w:val="32"/>
          <w:shd w:val="clear" w:color="auto" w:fill="FFFFFF"/>
        </w:rPr>
        <w:t>2023年度一般公共预算财政拨款支出</w:t>
      </w:r>
      <w:r>
        <w:rPr>
          <w:rFonts w:ascii="仿宋_GB2312" w:hAnsi="仿宋_GB2312" w:eastAsia="仿宋_GB2312" w:cs="仿宋_GB2312"/>
          <w:sz w:val="32"/>
          <w:szCs w:val="32"/>
        </w:rPr>
        <w:t>1752.58</w:t>
      </w:r>
      <w:r>
        <w:rPr>
          <w:rFonts w:ascii="仿宋_GB2312" w:hAnsi="仿宋_GB2312" w:eastAsia="仿宋_GB2312" w:cs="仿宋_GB2312"/>
          <w:sz w:val="32"/>
          <w:szCs w:val="32"/>
          <w:shd w:val="clear" w:color="auto" w:fill="FFFFFF"/>
        </w:rPr>
        <w:t>万元，较上年决算数增加239.00万元，增长15.79%。主要原因是清算2022年超额绩效和社会保险基数调高。较年初预算数增加518.12万元，增长41.97%。主要原因是清算2022年超额绩效和社会保险基数调高。</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3.结转结余情况。</w:t>
      </w:r>
      <w:r>
        <w:rPr>
          <w:rFonts w:ascii="仿宋_GB2312" w:hAnsi="仿宋_GB2312" w:eastAsia="仿宋_GB2312" w:cs="仿宋_GB2312"/>
          <w:sz w:val="32"/>
          <w:szCs w:val="32"/>
          <w:shd w:val="clear" w:color="auto" w:fill="FFFFFF"/>
        </w:rPr>
        <w:t>2023年度年末一般公共预算财政拨款结转和结余</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万元，较上年决算数无增减，与上年决算数持平。</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highlight w:val="cyan"/>
          <w:shd w:val="clear" w:color="auto" w:fill="FFFFFF"/>
        </w:rPr>
      </w:pPr>
      <w:r>
        <w:rPr>
          <w:rStyle w:val="10"/>
          <w:rFonts w:ascii="仿宋_GB2312" w:hAnsi="仿宋_GB2312" w:eastAsia="仿宋_GB2312" w:cs="仿宋_GB2312"/>
          <w:sz w:val="32"/>
          <w:szCs w:val="32"/>
          <w:shd w:val="clear" w:color="auto" w:fill="FFFFFF"/>
        </w:rPr>
        <w:t>4.比较情况。</w:t>
      </w:r>
      <w:r>
        <w:rPr>
          <w:rFonts w:ascii="仿宋_GB2312" w:hAnsi="仿宋_GB2312" w:eastAsia="仿宋_GB2312" w:cs="仿宋_GB2312"/>
          <w:sz w:val="32"/>
          <w:szCs w:val="32"/>
          <w:shd w:val="clear" w:color="auto" w:fill="FFFFFF"/>
        </w:rPr>
        <w:t>本单位2023年度一般公共预算财政拨款支出主要用于以下几个方面：</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（1）教育支出</w:t>
      </w:r>
      <w:r>
        <w:rPr>
          <w:rFonts w:ascii="仿宋_GB2312" w:hAnsi="仿宋_GB2312" w:eastAsia="仿宋_GB2312" w:cs="仿宋_GB2312"/>
          <w:sz w:val="32"/>
          <w:szCs w:val="32"/>
        </w:rPr>
        <w:t>1356.30</w:t>
      </w:r>
      <w:r>
        <w:rPr>
          <w:rFonts w:ascii="仿宋_GB2312" w:hAnsi="仿宋_GB2312" w:eastAsia="仿宋_GB2312" w:cs="仿宋_GB2312"/>
          <w:sz w:val="32"/>
          <w:szCs w:val="32"/>
          <w:shd w:val="clear" w:color="auto" w:fill="FFFFFF"/>
        </w:rPr>
        <w:t>万元，占</w:t>
      </w:r>
      <w:r>
        <w:rPr>
          <w:rFonts w:ascii="仿宋_GB2312" w:hAnsi="仿宋_GB2312" w:eastAsia="仿宋_GB2312" w:cs="仿宋_GB2312"/>
          <w:sz w:val="32"/>
          <w:szCs w:val="32"/>
        </w:rPr>
        <w:t>77.39</w:t>
      </w:r>
      <w:r>
        <w:rPr>
          <w:rFonts w:ascii="仿宋_GB2312" w:hAnsi="仿宋_GB2312" w:eastAsia="仿宋_GB2312" w:cs="仿宋_GB2312"/>
          <w:sz w:val="32"/>
          <w:szCs w:val="32"/>
          <w:shd w:val="clear" w:color="auto" w:fill="FFFFFF"/>
        </w:rPr>
        <w:t>%，较年初预算数增加461.42万元，增长51.56%，主要原因是人员工资调整、财政清算2022年超额绩效增加导致一般公共预算财政拨款收入增长。</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（2）社会保障与就业支出</w:t>
      </w:r>
      <w:r>
        <w:rPr>
          <w:rFonts w:ascii="仿宋_GB2312" w:hAnsi="仿宋_GB2312" w:eastAsia="仿宋_GB2312" w:cs="仿宋_GB2312"/>
          <w:sz w:val="32"/>
          <w:szCs w:val="32"/>
        </w:rPr>
        <w:t>261.64</w:t>
      </w:r>
      <w:r>
        <w:rPr>
          <w:rFonts w:ascii="仿宋_GB2312" w:hAnsi="仿宋_GB2312" w:eastAsia="仿宋_GB2312" w:cs="仿宋_GB2312"/>
          <w:sz w:val="32"/>
          <w:szCs w:val="32"/>
          <w:shd w:val="clear" w:color="auto" w:fill="FFFFFF"/>
        </w:rPr>
        <w:t>万元，占</w:t>
      </w:r>
      <w:r>
        <w:rPr>
          <w:rFonts w:ascii="仿宋_GB2312" w:hAnsi="仿宋_GB2312" w:eastAsia="仿宋_GB2312" w:cs="仿宋_GB2312"/>
          <w:sz w:val="32"/>
          <w:szCs w:val="32"/>
        </w:rPr>
        <w:t>14.93</w:t>
      </w:r>
      <w:r>
        <w:rPr>
          <w:rFonts w:ascii="仿宋_GB2312" w:hAnsi="仿宋_GB2312" w:eastAsia="仿宋_GB2312" w:cs="仿宋_GB2312"/>
          <w:sz w:val="32"/>
          <w:szCs w:val="32"/>
          <w:shd w:val="clear" w:color="auto" w:fill="FFFFFF"/>
        </w:rPr>
        <w:t>%，较年初预算数增加60.55万元，增长30.11%，主要原因是人员工资调整、社会保险基数增加导致一般公共预算财政拨款收入增长。</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（3）卫生健康支出</w:t>
      </w:r>
      <w:r>
        <w:rPr>
          <w:rFonts w:ascii="仿宋_GB2312" w:hAnsi="仿宋_GB2312" w:eastAsia="仿宋_GB2312" w:cs="仿宋_GB2312"/>
          <w:sz w:val="32"/>
          <w:szCs w:val="32"/>
        </w:rPr>
        <w:t>71.20</w:t>
      </w:r>
      <w:r>
        <w:rPr>
          <w:rFonts w:ascii="仿宋_GB2312" w:hAnsi="仿宋_GB2312" w:eastAsia="仿宋_GB2312" w:cs="仿宋_GB2312"/>
          <w:sz w:val="32"/>
          <w:szCs w:val="32"/>
          <w:shd w:val="clear" w:color="auto" w:fill="FFFFFF"/>
        </w:rPr>
        <w:t>万元，占</w:t>
      </w:r>
      <w:r>
        <w:rPr>
          <w:rFonts w:ascii="仿宋_GB2312" w:hAnsi="仿宋_GB2312" w:eastAsia="仿宋_GB2312" w:cs="仿宋_GB2312"/>
          <w:sz w:val="32"/>
          <w:szCs w:val="32"/>
        </w:rPr>
        <w:t>4.06</w:t>
      </w:r>
      <w:r>
        <w:rPr>
          <w:rFonts w:ascii="仿宋_GB2312" w:hAnsi="仿宋_GB2312" w:eastAsia="仿宋_GB2312" w:cs="仿宋_GB2312"/>
          <w:sz w:val="32"/>
          <w:szCs w:val="32"/>
          <w:shd w:val="clear" w:color="auto" w:fill="FFFFFF"/>
        </w:rPr>
        <w:t>%，较年初预算数减少1.25万元，下降1.73%，主要原因是人员工资调整、社会保险基数增加导致一般公共预算财政拨款收入增长。</w:t>
      </w:r>
    </w:p>
    <w:p>
      <w:pPr>
        <w:ind w:firstLine="640" w:firstLineChars="200"/>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（4）</w:t>
      </w:r>
      <w:r>
        <w:rPr>
          <w:rFonts w:ascii="仿宋_GB2312" w:hAnsi="仿宋_GB2312" w:eastAsia="仿宋_GB2312" w:cs="仿宋_GB2312"/>
          <w:sz w:val="32"/>
          <w:szCs w:val="32"/>
        </w:rPr>
        <w:t>住房保障支出63.44</w:t>
      </w:r>
      <w:r>
        <w:rPr>
          <w:rFonts w:ascii="仿宋_GB2312" w:hAnsi="仿宋_GB2312" w:eastAsia="仿宋_GB2312" w:cs="仿宋_GB2312"/>
          <w:sz w:val="32"/>
          <w:szCs w:val="32"/>
          <w:shd w:val="clear" w:color="auto" w:fill="FFFFFF"/>
        </w:rPr>
        <w:t>万元，占</w:t>
      </w:r>
      <w:r>
        <w:rPr>
          <w:rFonts w:ascii="仿宋_GB2312" w:hAnsi="仿宋_GB2312" w:eastAsia="仿宋_GB2312" w:cs="仿宋_GB2312"/>
          <w:sz w:val="32"/>
          <w:szCs w:val="32"/>
        </w:rPr>
        <w:t>3.62</w:t>
      </w:r>
      <w:r>
        <w:rPr>
          <w:rFonts w:ascii="仿宋_GB2312" w:hAnsi="仿宋_GB2312" w:eastAsia="仿宋_GB2312" w:cs="仿宋_GB2312"/>
          <w:sz w:val="32"/>
          <w:szCs w:val="32"/>
          <w:shd w:val="clear" w:color="auto" w:fill="FFFFFF"/>
        </w:rPr>
        <w:t>%，较年初预算数减少2.60万元，下降3.94%，主要原因是2022年清算补缴，2023年正常缴纳。</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（四）一般公共预算财政拨款基本支出决算情况说明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2023年度一般公共财政拨款基本支出</w:t>
      </w:r>
      <w:r>
        <w:rPr>
          <w:rFonts w:ascii="仿宋_GB2312" w:hAnsi="仿宋_GB2312" w:eastAsia="仿宋_GB2312" w:cs="仿宋_GB2312"/>
          <w:sz w:val="32"/>
          <w:szCs w:val="32"/>
        </w:rPr>
        <w:t>1578.46</w:t>
      </w:r>
      <w:r>
        <w:rPr>
          <w:rFonts w:ascii="仿宋_GB2312" w:hAnsi="仿宋_GB2312" w:eastAsia="仿宋_GB2312" w:cs="仿宋_GB2312"/>
          <w:sz w:val="32"/>
          <w:szCs w:val="32"/>
          <w:shd w:val="clear" w:color="auto" w:fill="FFFFFF"/>
        </w:rPr>
        <w:t>万元。其中：人员经费</w:t>
      </w:r>
      <w:r>
        <w:rPr>
          <w:rFonts w:ascii="仿宋_GB2312" w:hAnsi="仿宋_GB2312" w:eastAsia="仿宋_GB2312" w:cs="仿宋_GB2312"/>
          <w:sz w:val="32"/>
          <w:szCs w:val="32"/>
        </w:rPr>
        <w:t>1491.98</w:t>
      </w:r>
      <w:r>
        <w:rPr>
          <w:rFonts w:ascii="仿宋_GB2312" w:hAnsi="仿宋_GB2312" w:eastAsia="仿宋_GB2312" w:cs="仿宋_GB2312"/>
          <w:sz w:val="32"/>
          <w:szCs w:val="32"/>
          <w:shd w:val="clear" w:color="auto" w:fill="FFFFFF"/>
        </w:rPr>
        <w:t>万元，较上年决算数增加171.41万元，增长12.98%，主要原因是人员工资调整、财政清算2022年超额绩效增加导致一般公共预算财政拨款收入增长。</w:t>
      </w:r>
    </w:p>
    <w:p>
      <w:pPr>
        <w:pStyle w:val="6"/>
        <w:snapToGrid w:val="0"/>
        <w:spacing w:before="0" w:beforeAutospacing="0" w:after="0" w:afterAutospacing="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人员经费用途主要包括基本工资、津贴补贴、绩效工资、社会保障缴费、其他福利支出等。公用经费</w:t>
      </w:r>
      <w:r>
        <w:rPr>
          <w:rFonts w:ascii="仿宋_GB2312" w:hAnsi="仿宋_GB2312" w:eastAsia="仿宋_GB2312" w:cs="仿宋_GB2312"/>
          <w:sz w:val="32"/>
          <w:szCs w:val="32"/>
        </w:rPr>
        <w:t>86.48</w:t>
      </w:r>
      <w:r>
        <w:rPr>
          <w:rFonts w:ascii="仿宋_GB2312" w:hAnsi="仿宋_GB2312" w:eastAsia="仿宋_GB2312" w:cs="仿宋_GB2312"/>
          <w:sz w:val="32"/>
          <w:szCs w:val="32"/>
          <w:shd w:val="clear" w:color="auto" w:fill="FFFFFF"/>
        </w:rPr>
        <w:t>万元，较上年决算数增加3.37万元，增长4.05%，主要原因是外出培训学习人次、维修维护增加等。公用经费用途主要包括办公费、印刷费、培训费、劳务费、工会经费、维修费、水费、电费、邮电费等。</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（五）政府性基金预算收支决算情况说明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本单位2023年度无政府性基金预算财政拨款收支。</w:t>
      </w:r>
    </w:p>
    <w:p>
      <w:pPr>
        <w:pStyle w:val="6"/>
        <w:shd w:val="clear" w:color="auto" w:fill="FFFFFF"/>
        <w:spacing w:beforeAutospacing="0" w:afterAutospacing="0"/>
        <w:ind w:firstLine="420"/>
        <w:rPr>
          <w:rFonts w:hint="default" w:ascii="方正楷体_GB2312" w:hAnsi="方正楷体_GB2312" w:eastAsia="方正楷体_GB2312" w:cs="方正楷体_GB2312"/>
          <w:sz w:val="32"/>
          <w:szCs w:val="32"/>
        </w:rPr>
      </w:pPr>
      <w:r>
        <w:rPr>
          <w:rFonts w:ascii="方正楷体_GB2312" w:hAnsi="方正楷体_GB2312" w:eastAsia="方正楷体_GB2312" w:cs="方正楷体_GB2312"/>
          <w:sz w:val="32"/>
          <w:szCs w:val="32"/>
        </w:rPr>
        <w:t>（六）国有资本经营预算财政拨款支出决算情况说明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本单位2023年度无国有资本经营预算财政拨款支出。</w:t>
      </w:r>
    </w:p>
    <w:p>
      <w:pPr>
        <w:pStyle w:val="6"/>
        <w:shd w:val="clear" w:color="auto" w:fill="FFFFFF"/>
        <w:spacing w:beforeAutospacing="0" w:afterAutospacing="0"/>
        <w:ind w:firstLine="640" w:firstLineChars="20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三、“三公”经费情况说明</w:t>
      </w:r>
    </w:p>
    <w:p>
      <w:pPr>
        <w:pStyle w:val="11"/>
        <w:autoSpaceDE w:val="0"/>
        <w:ind w:firstLine="643"/>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 xml:space="preserve"> </w:t>
      </w:r>
      <w:r>
        <w:rPr>
          <w:rFonts w:hint="eastAsia" w:ascii="方正楷体_GB2312" w:hAnsi="方正楷体_GB2312" w:eastAsia="方正楷体_GB2312" w:cs="方正楷体_GB2312"/>
          <w:sz w:val="32"/>
          <w:szCs w:val="32"/>
        </w:rPr>
        <w:t>（一）“三公”经费支出总体情况说明</w:t>
      </w:r>
    </w:p>
    <w:p>
      <w:pPr>
        <w:pStyle w:val="6"/>
        <w:shd w:val="clear" w:color="auto" w:fill="FFFFFF"/>
        <w:spacing w:beforeAutospacing="0" w:afterAutospacing="0"/>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2023年度“三公”经费支出共计</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万元，较年初预算数无增减，主要原因是本单位2023年度未发生“三公”经费支出,与上年持平。较上年支出数无增减，主要原因是本单位2023年度未发生“三公”经费支出,与上年持平。</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（二）“三公”经费分项支出情况</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2023年度本单位因公出国（境）费用</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万元，本单位2023年度没有发生出国（境）费用。费用支出较年初预算数无增减，主要原因是本单位2023年度没有发生出国（境）费用。较上年支出数无增减，主要原因是本单位2023年度没有发生出国（境）费用。</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公务车购置费</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万元，本单位2023年度没有购置车辆。费用支出较年初预算数无增减，主要原因是本单位2023年度没有购置车辆。较上年支出数无增减，主要原因是本单位2023年度没有购置车辆。</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公务车运行维护费</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w:t>
      </w:r>
      <w:r>
        <w:rPr>
          <w:rFonts w:ascii="仿宋_GB2312" w:hAnsi="仿宋_GB2312" w:eastAsia="仿宋_GB2312" w:cs="仿宋_GB2312"/>
          <w:sz w:val="32"/>
          <w:szCs w:val="32"/>
        </w:rPr>
        <w:t>本单位2023年度没有使用公务车。</w:t>
      </w:r>
      <w:r>
        <w:rPr>
          <w:rFonts w:ascii="仿宋_GB2312" w:hAnsi="仿宋_GB2312" w:eastAsia="仿宋_GB2312" w:cs="仿宋_GB2312"/>
          <w:sz w:val="32"/>
          <w:szCs w:val="32"/>
          <w:shd w:val="clear" w:color="auto" w:fill="FFFFFF"/>
        </w:rPr>
        <w:t>费用支出较年初预算数无增减，主要原因是</w:t>
      </w:r>
      <w:r>
        <w:rPr>
          <w:rFonts w:ascii="仿宋_GB2312" w:hAnsi="仿宋_GB2312" w:eastAsia="仿宋_GB2312" w:cs="仿宋_GB2312"/>
          <w:sz w:val="32"/>
          <w:szCs w:val="32"/>
        </w:rPr>
        <w:t>本单位2023年度没有使用公务车。</w:t>
      </w:r>
      <w:r>
        <w:rPr>
          <w:rFonts w:ascii="仿宋_GB2312" w:hAnsi="仿宋_GB2312" w:eastAsia="仿宋_GB2312" w:cs="仿宋_GB2312"/>
          <w:sz w:val="32"/>
          <w:szCs w:val="32"/>
          <w:shd w:val="clear" w:color="auto" w:fill="FFFFFF"/>
        </w:rPr>
        <w:t>较上年支出数无增减，主要原因是</w:t>
      </w:r>
      <w:r>
        <w:rPr>
          <w:rFonts w:ascii="仿宋_GB2312" w:hAnsi="仿宋_GB2312" w:eastAsia="仿宋_GB2312" w:cs="仿宋_GB2312"/>
          <w:sz w:val="32"/>
          <w:szCs w:val="32"/>
        </w:rPr>
        <w:t>本单位2023年度没有使用公务车。</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公务接待费</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万元，本单位2023年度未发生公务接待费支出。费用支出较年初预算数无增减，主要原因是本单位2023年度未发生公务接待费支出。较上年支出数无增减，主要原因是本单位2023年度未发生公务接待费支出。</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（三）“三公”经费实物量情况</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2023年度本单位因公出国（境）共计</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个团组，</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人；公务用车购置</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辆，公务车保有量为</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辆；国内公务接待</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批次</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人，其中：国内外事接待</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批次，</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人；国（境）外公务接待</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批次，</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人。2023年本单位人均接待费</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元，车均购置费</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万元，车均维护费</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万元。</w:t>
      </w:r>
    </w:p>
    <w:p>
      <w:pPr>
        <w:pStyle w:val="6"/>
        <w:shd w:val="clear" w:color="auto" w:fill="FFFFFF"/>
        <w:spacing w:beforeAutospacing="0" w:afterAutospacing="0"/>
        <w:ind w:firstLine="640" w:firstLineChars="20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四、其他需要说明的事项</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（一）财政拨款会议费和培训费情况说明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本年度会议费支出</w:t>
      </w:r>
      <w:r>
        <w:rPr>
          <w:rFonts w:ascii="仿宋_GB2312" w:hAnsi="仿宋_GB2312" w:eastAsia="仿宋_GB2312" w:cs="仿宋_GB2312"/>
          <w:sz w:val="32"/>
          <w:szCs w:val="32"/>
        </w:rPr>
        <w:t>0.00</w:t>
      </w:r>
      <w:r>
        <w:rPr>
          <w:rFonts w:ascii="仿宋_GB2312" w:hAnsi="仿宋_GB2312" w:eastAsia="仿宋_GB2312" w:cs="仿宋_GB2312"/>
          <w:sz w:val="32"/>
          <w:szCs w:val="32"/>
          <w:shd w:val="clear" w:color="auto" w:fill="FFFFFF"/>
        </w:rPr>
        <w:t>万元，较上年决算数无增减，主要原因是本年度无发生会议费用支出原因，财政未保障我单位会议费。本年度培训费支出</w:t>
      </w:r>
      <w:r>
        <w:rPr>
          <w:rFonts w:ascii="仿宋_GB2312" w:hAnsi="仿宋_GB2312" w:eastAsia="仿宋_GB2312" w:cs="仿宋_GB2312"/>
          <w:sz w:val="32"/>
          <w:szCs w:val="32"/>
        </w:rPr>
        <w:t>6.82</w:t>
      </w:r>
      <w:r>
        <w:rPr>
          <w:rFonts w:ascii="仿宋_GB2312" w:hAnsi="仿宋_GB2312" w:eastAsia="仿宋_GB2312" w:cs="仿宋_GB2312"/>
          <w:sz w:val="32"/>
          <w:szCs w:val="32"/>
          <w:shd w:val="clear" w:color="auto" w:fill="FFFFFF"/>
        </w:rPr>
        <w:t>万元，较上年决算数增加4.22万元，增长162.31%，主要原因是培训人次增加。</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（二）机关运行经费情况说明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按照部门决算列报口径，我单位不在机关运行经费统计范围之内。</w:t>
      </w:r>
    </w:p>
    <w:p>
      <w:pPr>
        <w:pStyle w:val="11"/>
        <w:autoSpaceDE w:val="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（三）国有资产占用情况说明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仿宋_GB2312" w:hAnsi="仿宋_GB2312" w:eastAsia="仿宋_GB2312" w:cs="仿宋_GB2312"/>
          <w:sz w:val="32"/>
          <w:szCs w:val="32"/>
          <w:shd w:val="clear" w:color="auto" w:fill="FFFFFF"/>
        </w:rPr>
        <w:t> 截至2023年12月31日，本单位共有车辆</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辆，其中，副部（省）级及以上领导用车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辆、主要负责人用车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辆、机要通信用车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辆、应急保障用车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辆、执法执勤用车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辆，特种专业技术用车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辆，离退休干部用车</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辆。单价100万元（含）以上专用设备</w:t>
      </w:r>
      <w:r>
        <w:rPr>
          <w:rFonts w:ascii="仿宋_GB2312" w:hAnsi="仿宋_GB2312" w:eastAsia="仿宋_GB2312" w:cs="仿宋_GB2312"/>
          <w:sz w:val="32"/>
          <w:szCs w:val="32"/>
        </w:rPr>
        <w:t>0</w:t>
      </w:r>
      <w:r>
        <w:rPr>
          <w:rFonts w:ascii="仿宋_GB2312" w:hAnsi="仿宋_GB2312" w:eastAsia="仿宋_GB2312" w:cs="仿宋_GB2312"/>
          <w:sz w:val="32"/>
          <w:szCs w:val="32"/>
          <w:shd w:val="clear" w:color="auto" w:fill="FFFFFF"/>
        </w:rPr>
        <w:t>台（套）。</w:t>
      </w:r>
    </w:p>
    <w:p>
      <w:pPr>
        <w:pStyle w:val="11"/>
        <w:autoSpaceDE w:val="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（四）政府采购支出情况说明</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2023年度我单位未发生政府采购事项，无相关经费支出。</w:t>
      </w:r>
    </w:p>
    <w:p>
      <w:pPr>
        <w:pStyle w:val="6"/>
        <w:shd w:val="clear" w:color="auto" w:fill="FFFFFF"/>
        <w:spacing w:beforeAutospacing="0" w:afterAutospacing="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五、预算绩效管理情况说明</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（一）单位自评情况</w:t>
      </w:r>
    </w:p>
    <w:p>
      <w:pPr>
        <w:pStyle w:val="12"/>
        <w:autoSpaceDE w:val="0"/>
        <w:spacing w:before="0" w:beforeAutospacing="0" w:afterAutospacing="0"/>
        <w:ind w:firstLine="640" w:firstLineChars="200"/>
        <w:rPr>
          <w:rFonts w:ascii="仿宋_GB2312" w:hAnsi="仿宋_GB2312" w:eastAsia="仿宋_GB2312" w:cs="仿宋_GB2312"/>
          <w:sz w:val="32"/>
          <w:szCs w:val="32"/>
          <w:highlight w:val="yellow"/>
          <w:shd w:val="clear" w:color="auto" w:fill="FFFFFF"/>
        </w:rPr>
      </w:pPr>
      <w:r>
        <w:rPr>
          <w:rFonts w:hint="eastAsia" w:ascii="仿宋_GB2312" w:hAnsi="仿宋_GB2312" w:eastAsia="仿宋_GB2312" w:cs="仿宋_GB2312"/>
          <w:sz w:val="32"/>
          <w:szCs w:val="32"/>
          <w:shd w:val="clear" w:color="auto" w:fill="FFFFFF"/>
        </w:rPr>
        <w:t>根据预算绩效管理要求，本单位对18个二级项目开展了绩效自评，涉及财政拨款项目支出资金272.95万元。</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（二）单位绩效评价情况</w:t>
      </w:r>
    </w:p>
    <w:p>
      <w:pPr>
        <w:pStyle w:val="11"/>
        <w:autoSpaceDE w:val="0"/>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我单位未组织开展绩效评价。</w:t>
      </w:r>
    </w:p>
    <w:p>
      <w:pPr>
        <w:pStyle w:val="11"/>
        <w:autoSpaceDE w:val="0"/>
        <w:ind w:firstLine="640"/>
        <w:rPr>
          <w:rFonts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rPr>
        <w:t>（三）财政绩效评价情况</w:t>
      </w:r>
    </w:p>
    <w:p>
      <w:pPr>
        <w:pStyle w:val="11"/>
        <w:autoSpaceDE w:val="0"/>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市财政局未委托第三方对我单位开展绩效评价。</w:t>
      </w:r>
    </w:p>
    <w:p>
      <w:pPr>
        <w:pStyle w:val="6"/>
        <w:shd w:val="clear" w:color="auto" w:fill="FFFFFF"/>
        <w:spacing w:beforeAutospacing="0" w:afterAutospacing="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  六、专业名词解释</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仿宋_GB2312" w:hAnsi="仿宋_GB2312" w:eastAsia="仿宋_GB2312" w:cs="仿宋_GB2312"/>
          <w:b/>
          <w:bCs/>
          <w:sz w:val="32"/>
          <w:szCs w:val="32"/>
          <w:shd w:val="clear" w:color="auto" w:fill="FFFFFF"/>
        </w:rPr>
        <w:t> </w:t>
      </w:r>
      <w:r>
        <w:rPr>
          <w:rFonts w:ascii="方正楷体_GB2312" w:hAnsi="方正楷体_GB2312" w:eastAsia="方正楷体_GB2312" w:cs="方正楷体_GB2312"/>
          <w:b/>
          <w:bCs/>
          <w:sz w:val="32"/>
          <w:szCs w:val="32"/>
        </w:rPr>
        <w:t>（一）财政拨款收入</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 </w:t>
      </w:r>
      <w:r>
        <w:rPr>
          <w:rFonts w:ascii="方正楷体_GB2312" w:hAnsi="方正楷体_GB2312" w:eastAsia="方正楷体_GB2312" w:cs="方正楷体_GB2312"/>
          <w:b/>
          <w:bCs/>
          <w:sz w:val="32"/>
          <w:szCs w:val="32"/>
        </w:rPr>
        <w:t>（二）事业收入</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（三）经营收入</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（四）其他收入</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（五）使用非财政拨款结余</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（六）年初结转和结余</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指单位上年结转本年使用的基本支出结转、项目支出结转和结余、经营结余。</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sz w:val="32"/>
          <w:szCs w:val="32"/>
          <w:shd w:val="clear" w:color="auto" w:fill="FFFFFF"/>
        </w:rPr>
        <w:t> </w:t>
      </w:r>
      <w:r>
        <w:rPr>
          <w:rFonts w:ascii="方正楷体_GB2312" w:hAnsi="方正楷体_GB2312" w:eastAsia="方正楷体_GB2312" w:cs="方正楷体_GB2312"/>
          <w:b/>
          <w:bCs/>
          <w:sz w:val="32"/>
          <w:szCs w:val="32"/>
        </w:rPr>
        <w:t>（七）结余分配：</w:t>
      </w:r>
      <w:r>
        <w:rPr>
          <w:rFonts w:ascii="仿宋_GB2312" w:hAnsi="仿宋_GB2312" w:eastAsia="仿宋_GB2312" w:cs="仿宋_GB2312"/>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（八）年末结转和结余</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指单位结转下年的基本支出结转、项目支出结转和结余、经营结余。</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（九）基本支出</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（十）项目支出</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指在基本支出之外为完成特定行政任务和事业发展目标所发生的支出。</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b w:val="0"/>
          <w:bCs/>
          <w:sz w:val="32"/>
          <w:szCs w:val="32"/>
          <w:shd w:val="clear" w:color="auto" w:fill="FFFFFF"/>
        </w:rPr>
        <w:t> </w:t>
      </w:r>
      <w:r>
        <w:rPr>
          <w:rFonts w:ascii="方正楷体_GB2312" w:hAnsi="方正楷体_GB2312" w:eastAsia="方正楷体_GB2312" w:cs="方正楷体_GB2312"/>
          <w:b w:val="0"/>
          <w:bCs/>
          <w:sz w:val="32"/>
          <w:szCs w:val="32"/>
        </w:rPr>
        <w:t>（十一）经营支出</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（十二）“三公”经费</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ind w:firstLine="640"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val="0"/>
          <w:bCs/>
          <w:sz w:val="32"/>
          <w:szCs w:val="32"/>
        </w:rPr>
        <w:t>（十三）机关运行经费</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（十四）工资福利支出（支出经济分类科目类级）</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Fonts w:ascii="方正楷体_GB2312" w:hAnsi="方正楷体_GB2312" w:eastAsia="方正楷体_GB2312" w:cs="方正楷体_GB2312"/>
          <w:b/>
          <w:bCs/>
          <w:sz w:val="32"/>
          <w:szCs w:val="32"/>
        </w:rPr>
        <w:t>（十五）商品和服务支出（支出经济分类科目类级）：</w:t>
      </w:r>
      <w:r>
        <w:rPr>
          <w:rFonts w:ascii="仿宋_GB2312" w:hAnsi="仿宋_GB2312" w:eastAsia="仿宋_GB2312" w:cs="仿宋_GB2312"/>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b/>
          <w:bCs w:val="0"/>
          <w:sz w:val="32"/>
          <w:szCs w:val="32"/>
          <w:shd w:val="clear" w:color="auto" w:fill="FFFFFF"/>
        </w:rPr>
        <w:t> </w:t>
      </w:r>
      <w:r>
        <w:rPr>
          <w:rFonts w:ascii="方正楷体_GB2312" w:hAnsi="方正楷体_GB2312" w:eastAsia="方正楷体_GB2312" w:cs="方正楷体_GB2312"/>
          <w:b/>
          <w:bCs w:val="0"/>
          <w:sz w:val="32"/>
          <w:szCs w:val="32"/>
        </w:rPr>
        <w:t>（十六）对个人和家庭的补助（支出经济分类科目类级）</w:t>
      </w:r>
      <w:r>
        <w:rPr>
          <w:rFonts w:ascii="方正楷体_GB2312" w:hAnsi="方正楷体_GB2312" w:eastAsia="方正楷体_GB2312" w:cs="方正楷体_GB2312"/>
          <w:b w:val="0"/>
          <w:bCs/>
          <w:sz w:val="32"/>
          <w:szCs w:val="32"/>
        </w:rPr>
        <w:t>：</w:t>
      </w:r>
      <w:r>
        <w:rPr>
          <w:rFonts w:ascii="仿宋_GB2312" w:hAnsi="仿宋_GB2312" w:eastAsia="仿宋_GB2312" w:cs="仿宋_GB2312"/>
          <w:sz w:val="32"/>
          <w:szCs w:val="32"/>
          <w:shd w:val="clear" w:color="auto" w:fill="FFFFFF"/>
        </w:rPr>
        <w:t>反映用于对个人和家庭的补助支出。</w:t>
      </w:r>
    </w:p>
    <w:p>
      <w:pPr>
        <w:pStyle w:val="6"/>
        <w:snapToGrid w:val="0"/>
        <w:spacing w:before="0" w:beforeAutospacing="0" w:after="0" w:afterAutospacing="0"/>
        <w:ind w:firstLine="643" w:firstLineChars="200"/>
        <w:jc w:val="both"/>
        <w:rPr>
          <w:rFonts w:hint="default" w:ascii="仿宋_GB2312" w:hAnsi="仿宋_GB2312" w:eastAsia="仿宋_GB2312" w:cs="仿宋_GB2312"/>
          <w:sz w:val="32"/>
          <w:szCs w:val="32"/>
        </w:rPr>
      </w:pPr>
      <w:r>
        <w:rPr>
          <w:rStyle w:val="10"/>
          <w:rFonts w:ascii="仿宋_GB2312" w:hAnsi="仿宋_GB2312" w:eastAsia="仿宋_GB2312" w:cs="仿宋_GB2312"/>
          <w:b/>
          <w:bCs w:val="0"/>
          <w:sz w:val="32"/>
          <w:szCs w:val="32"/>
          <w:shd w:val="clear" w:color="auto" w:fill="FFFFFF"/>
        </w:rPr>
        <w:t> </w:t>
      </w:r>
      <w:r>
        <w:rPr>
          <w:rFonts w:ascii="方正楷体_GB2312" w:hAnsi="方正楷体_GB2312" w:eastAsia="方正楷体_GB2312" w:cs="方正楷体_GB2312"/>
          <w:b/>
          <w:bCs w:val="0"/>
          <w:sz w:val="32"/>
          <w:szCs w:val="32"/>
        </w:rPr>
        <w:t>（十七）其他资本性支出（支出经济分类科目类级）</w:t>
      </w:r>
      <w:r>
        <w:rPr>
          <w:rFonts w:ascii="方正楷体_GB2312" w:hAnsi="方正楷体_GB2312" w:eastAsia="方正楷体_GB2312" w:cs="方正楷体_GB2312"/>
          <w:sz w:val="32"/>
          <w:szCs w:val="32"/>
        </w:rPr>
        <w:t>：</w:t>
      </w:r>
      <w:r>
        <w:rPr>
          <w:rFonts w:ascii="仿宋_GB2312" w:hAnsi="仿宋_GB2312" w:eastAsia="仿宋_GB2312" w:cs="仿宋_GB2312"/>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Autospacing="0" w:afterAutospacing="0"/>
        <w:rPr>
          <w:rFonts w:hint="default" w:ascii="Times New Roman" w:hAnsi="Times New Roman" w:eastAsia="黑体"/>
          <w:bCs/>
          <w:sz w:val="32"/>
          <w:szCs w:val="32"/>
          <w:shd w:val="clear" w:color="auto" w:fill="FFFFFF"/>
        </w:rPr>
      </w:pPr>
      <w:r>
        <w:rPr>
          <w:rFonts w:ascii="Times New Roman" w:hAnsi="Times New Roman" w:eastAsia="黑体"/>
          <w:bCs/>
          <w:sz w:val="32"/>
          <w:szCs w:val="32"/>
          <w:shd w:val="clear" w:color="auto" w:fill="FFFFFF"/>
        </w:rPr>
        <w:t>  七、决算公开联系方式及信息反馈渠道</w:t>
      </w:r>
    </w:p>
    <w:p>
      <w:pPr>
        <w:shd w:val="solid" w:color="FFFFFF" w:fill="auto"/>
        <w:autoSpaceDN w:val="0"/>
        <w:ind w:firstLine="640" w:firstLineChars="200"/>
        <w:rPr>
          <w:rFonts w:hint="default"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本单位决算公开信息反馈和联系方式：</w:t>
      </w:r>
    </w:p>
    <w:p>
      <w:pPr>
        <w:pStyle w:val="6"/>
        <w:snapToGrid w:val="0"/>
        <w:spacing w:before="0" w:beforeAutospacing="0" w:after="0" w:afterAutospacing="0"/>
        <w:ind w:firstLine="640" w:firstLineChars="200"/>
        <w:jc w:val="both"/>
        <w:rPr>
          <w:rStyle w:val="10"/>
          <w:rFonts w:hint="default" w:ascii="仿宋_GB2312" w:hAnsi="仿宋_GB2312" w:eastAsia="仿宋_GB2312" w:cs="仿宋_GB2312"/>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仿宋_GB2312" w:hAnsi="仿宋_GB2312" w:eastAsia="仿宋_GB2312" w:cs="仿宋_GB2312"/>
          <w:sz w:val="32"/>
          <w:szCs w:val="32"/>
          <w:shd w:val="clear" w:color="auto" w:fill="FFFFFF"/>
        </w:rPr>
        <w:t>熊春琼    023-70643536</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重庆市丰都县三建乡中心学校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1,721.12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1,400.95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261.64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71.20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63.44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1,777.73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1,797.22</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42.70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23.20</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1,820.42</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1,820.42</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W w:w="15242" w:type="dxa"/>
        <w:tblInd w:w="0" w:type="dxa"/>
        <w:tblLayout w:type="fixed"/>
        <w:tblCellMar>
          <w:top w:w="0" w:type="dxa"/>
          <w:left w:w="0" w:type="dxa"/>
          <w:bottom w:w="0" w:type="dxa"/>
          <w:right w:w="0" w:type="dxa"/>
        </w:tblCellMar>
      </w:tblPr>
      <w:tblGrid>
        <w:gridCol w:w="1687"/>
        <w:gridCol w:w="3143"/>
        <w:gridCol w:w="1222"/>
        <w:gridCol w:w="1222"/>
        <w:gridCol w:w="1222"/>
        <w:gridCol w:w="1222"/>
        <w:gridCol w:w="1354"/>
        <w:gridCol w:w="1295"/>
        <w:gridCol w:w="1426"/>
        <w:gridCol w:w="1449"/>
      </w:tblGrid>
      <w:tr>
        <w:tblPrEx>
          <w:tblCellMar>
            <w:top w:w="0" w:type="dxa"/>
            <w:left w:w="0" w:type="dxa"/>
            <w:bottom w:w="0" w:type="dxa"/>
            <w:right w:w="0" w:type="dxa"/>
          </w:tblCellMar>
        </w:tblPrEx>
        <w:trPr>
          <w:trHeight w:val="605" w:hRule="atLeast"/>
        </w:trPr>
        <w:tc>
          <w:tcPr>
            <w:tcW w:w="1524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10" w:hRule="atLeast"/>
        </w:trPr>
        <w:tc>
          <w:tcPr>
            <w:tcW w:w="605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重庆市丰都县三建乡中心学校</w:t>
            </w: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10" w:hRule="atLeast"/>
        </w:trPr>
        <w:tc>
          <w:tcPr>
            <w:tcW w:w="605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5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9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2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07" w:hRule="atLeast"/>
        </w:trPr>
        <w:tc>
          <w:tcPr>
            <w:tcW w:w="4830"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7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26" w:hRule="atLeast"/>
        </w:trPr>
        <w:tc>
          <w:tcPr>
            <w:tcW w:w="168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68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9" w:hRule="atLeast"/>
        </w:trPr>
        <w:tc>
          <w:tcPr>
            <w:tcW w:w="483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1,777.73</w:t>
            </w:r>
            <w:r>
              <w:rPr>
                <w:b/>
                <w:color w:val="000000"/>
                <w:sz w:val="20"/>
              </w:rPr>
              <w:t xml:space="preserve"> </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1,721.12</w:t>
            </w:r>
            <w:r>
              <w:rPr>
                <w:b/>
                <w:color w:val="000000"/>
                <w:sz w:val="20"/>
              </w:rPr>
              <w:t xml:space="preserve"> </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26.56</w:t>
            </w:r>
            <w:r>
              <w:rPr>
                <w:b/>
                <w:color w:val="000000"/>
                <w:sz w:val="20"/>
              </w:rPr>
              <w:t xml:space="preserve"> </w:t>
            </w:r>
          </w:p>
        </w:tc>
        <w:tc>
          <w:tcPr>
            <w:tcW w:w="13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30.05</w:t>
            </w:r>
            <w:r>
              <w:rPr>
                <w:b/>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1,381.45</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1,324.85</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1,381.45</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1,324.85</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26.56</w:t>
            </w:r>
            <w:r>
              <w:rPr>
                <w:b/>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30.05</w:t>
            </w:r>
            <w:r>
              <w:rPr>
                <w:b/>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39.59</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26.56</w:t>
            </w: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1,341.86</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1,311.81</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30.05</w:t>
            </w: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88.00</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88.00</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87.60</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87.60</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43.16</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43.16</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28" w:hRule="atLeast"/>
        </w:trPr>
        <w:tc>
          <w:tcPr>
            <w:tcW w:w="16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63.44</w:t>
            </w: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重庆市丰都县三建乡中心学校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1,797.22</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1,623.11</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174.11</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1,226.84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1,400.95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1,226.84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174.11</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46.70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25.36</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1,354.25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1,205.50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148.75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261.64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88.00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71.20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43.16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63.44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63.44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1,721.12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1,356.30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1,356.30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261.64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71.20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71.20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1,721.12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1,752.58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1,752.58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1,752.58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1,578.46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174.11</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1,356.30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174.11</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1,356.30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1,182.19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174.11</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25.36</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1,326.60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1,177.85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148.75</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261.64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88.00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87.60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87.60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71.20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43.16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63.44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63.44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1,395.00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82.60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563.94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1,491.98</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86.48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重庆市丰都县三建乡中心学校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6.82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0"/>
          <w:szCs w:val="20"/>
        </w:rPr>
        <w:br w:type="textWrapping"/>
      </w:r>
    </w:p>
    <w:p>
      <w:pPr>
        <w:rPr>
          <w:rFonts w:hint="default"/>
        </w:rPr>
      </w:pPr>
      <w:r>
        <w:drawing>
          <wp:inline distT="0" distB="0" distL="114300" distR="114300">
            <wp:extent cx="9737725" cy="5201920"/>
            <wp:effectExtent l="0" t="0" r="15875"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433060"/>
            <wp:effectExtent l="0" t="0" r="15875" b="152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9737725" cy="543306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1"/>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433060"/>
            <wp:effectExtent l="0" t="0" r="15875" b="152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2"/>
                    <a:stretch>
                      <a:fillRect/>
                    </a:stretch>
                  </pic:blipFill>
                  <pic:spPr>
                    <a:xfrm>
                      <a:off x="0" y="0"/>
                      <a:ext cx="9737725" cy="543306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9737725" cy="5201920"/>
                    </a:xfrm>
                    <a:prstGeom prst="rect">
                      <a:avLst/>
                    </a:prstGeom>
                    <a:noFill/>
                    <a:ln>
                      <a:noFill/>
                    </a:ln>
                  </pic:spPr>
                </pic:pic>
              </a:graphicData>
            </a:graphic>
          </wp:inline>
        </w:drawing>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r>
        <w:drawing>
          <wp:inline distT="0" distB="0" distL="114300" distR="114300">
            <wp:extent cx="9737725" cy="5201920"/>
            <wp:effectExtent l="0" t="0" r="15875" b="177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9737725" cy="5201920"/>
                    </a:xfrm>
                    <a:prstGeom prst="rect">
                      <a:avLst/>
                    </a:prstGeom>
                    <a:noFill/>
                    <a:ln>
                      <a:noFill/>
                    </a:ln>
                  </pic:spPr>
                </pic:pic>
              </a:graphicData>
            </a:graphic>
          </wp:inline>
        </w:draw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2312">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6"/>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M5ZjA4MmFkODMzZWExNmM3NDA4MGM4MjBiMzVjMTgifQ=="/>
    <w:docVar w:name="KSO_WPS_MARK_KEY" w:val="518490d9-8969-454d-b9f3-8c6a2fa23d32"/>
  </w:docVars>
  <w:rsids>
    <w:rsidRoot w:val="00B03CCD"/>
    <w:rsid w:val="001D3BB7"/>
    <w:rsid w:val="002B254B"/>
    <w:rsid w:val="00466C9B"/>
    <w:rsid w:val="00550ABE"/>
    <w:rsid w:val="00737C55"/>
    <w:rsid w:val="00770383"/>
    <w:rsid w:val="007819D4"/>
    <w:rsid w:val="007B419D"/>
    <w:rsid w:val="007B7C4B"/>
    <w:rsid w:val="007D3D39"/>
    <w:rsid w:val="0095014A"/>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4F6634"/>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AF579BF"/>
    <w:rsid w:val="0B9335CE"/>
    <w:rsid w:val="0BF2311A"/>
    <w:rsid w:val="0C7927C4"/>
    <w:rsid w:val="0C9B098C"/>
    <w:rsid w:val="0CBE4D1F"/>
    <w:rsid w:val="0D673E11"/>
    <w:rsid w:val="0DDA54E4"/>
    <w:rsid w:val="0E3A5F83"/>
    <w:rsid w:val="0F5700B4"/>
    <w:rsid w:val="0F836721"/>
    <w:rsid w:val="0FA25D96"/>
    <w:rsid w:val="107B59E5"/>
    <w:rsid w:val="10EC0126"/>
    <w:rsid w:val="10F70B9A"/>
    <w:rsid w:val="111445C7"/>
    <w:rsid w:val="114278C6"/>
    <w:rsid w:val="1158083A"/>
    <w:rsid w:val="11643A4B"/>
    <w:rsid w:val="11ED0F98"/>
    <w:rsid w:val="11F03528"/>
    <w:rsid w:val="12C921C4"/>
    <w:rsid w:val="130E264E"/>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1E7C0C"/>
    <w:rsid w:val="22403BD3"/>
    <w:rsid w:val="24B92327"/>
    <w:rsid w:val="24C14514"/>
    <w:rsid w:val="2533755C"/>
    <w:rsid w:val="25791755"/>
    <w:rsid w:val="26396DF4"/>
    <w:rsid w:val="27167136"/>
    <w:rsid w:val="271B442C"/>
    <w:rsid w:val="27B23302"/>
    <w:rsid w:val="29310A5F"/>
    <w:rsid w:val="29C37A35"/>
    <w:rsid w:val="29D7096E"/>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003773"/>
    <w:rsid w:val="3337290D"/>
    <w:rsid w:val="33E31118"/>
    <w:rsid w:val="33EF7674"/>
    <w:rsid w:val="342D7BC6"/>
    <w:rsid w:val="352930DB"/>
    <w:rsid w:val="35573069"/>
    <w:rsid w:val="355F6038"/>
    <w:rsid w:val="358C217E"/>
    <w:rsid w:val="35C477E9"/>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526AF0"/>
    <w:rsid w:val="3E7555B1"/>
    <w:rsid w:val="3E787ED9"/>
    <w:rsid w:val="3F032E93"/>
    <w:rsid w:val="3F0527E5"/>
    <w:rsid w:val="3F52728D"/>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690725"/>
    <w:rsid w:val="5A3B59D6"/>
    <w:rsid w:val="5AD134D8"/>
    <w:rsid w:val="5C263CE4"/>
    <w:rsid w:val="5C5D2777"/>
    <w:rsid w:val="5CF66BF3"/>
    <w:rsid w:val="5D290C69"/>
    <w:rsid w:val="5E1E47DD"/>
    <w:rsid w:val="5F2D4A41"/>
    <w:rsid w:val="60C74F6C"/>
    <w:rsid w:val="61025A59"/>
    <w:rsid w:val="612620F2"/>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007015"/>
    <w:rsid w:val="68407834"/>
    <w:rsid w:val="6883293E"/>
    <w:rsid w:val="688412AD"/>
    <w:rsid w:val="68EB1B71"/>
    <w:rsid w:val="6A6C7940"/>
    <w:rsid w:val="6AAD2300"/>
    <w:rsid w:val="6B474EF5"/>
    <w:rsid w:val="6C0A5AC5"/>
    <w:rsid w:val="6C560CAE"/>
    <w:rsid w:val="6C576495"/>
    <w:rsid w:val="6C8964A9"/>
    <w:rsid w:val="6D903FF5"/>
    <w:rsid w:val="6DA955B8"/>
    <w:rsid w:val="6DCE5EF2"/>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7880</Words>
  <Characters>9838</Characters>
  <Lines>91</Lines>
  <Paragraphs>25</Paragraphs>
  <TotalTime>5</TotalTime>
  <ScaleCrop>false</ScaleCrop>
  <LinksUpToDate>false</LinksUpToDate>
  <CharactersWithSpaces>10892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2024-09-27T08:00:01Z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