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ind w:firstLine="880" w:firstLineChars="200"/>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丰都县都督乡中心学校</w:t>
      </w:r>
    </w:p>
    <w:p>
      <w:pPr>
        <w:widowControl w:val="0"/>
        <w:adjustRightInd w:val="0"/>
        <w:snapToGrid w:val="0"/>
        <w:ind w:firstLine="880" w:firstLineChars="200"/>
        <w:jc w:val="center"/>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2023年度单位决算公开说明</w:t>
      </w:r>
    </w:p>
    <w:p>
      <w:pPr>
        <w:spacing w:line="560" w:lineRule="exact"/>
        <w:ind w:firstLine="640" w:firstLineChars="200"/>
        <w:rPr>
          <w:rFonts w:hint="default" w:ascii="Times New Roman" w:hAnsi="Times New Roman" w:eastAsia="方正黑体_GBK"/>
          <w:sz w:val="32"/>
          <w:szCs w:val="32"/>
        </w:rPr>
      </w:pPr>
    </w:p>
    <w:p>
      <w:pPr>
        <w:spacing w:line="560" w:lineRule="exact"/>
        <w:ind w:firstLine="640" w:firstLineChars="200"/>
        <w:rPr>
          <w:rFonts w:hint="default" w:ascii="黑体" w:hAnsi="黑体" w:eastAsia="黑体" w:cs="黑体"/>
          <w:sz w:val="32"/>
          <w:szCs w:val="32"/>
        </w:rPr>
      </w:pPr>
      <w:r>
        <w:rPr>
          <w:rFonts w:ascii="黑体" w:hAnsi="黑体" w:eastAsia="黑体" w:cs="黑体"/>
          <w:sz w:val="32"/>
          <w:szCs w:val="32"/>
        </w:rPr>
        <w:t>一、单位基本情况</w:t>
      </w:r>
    </w:p>
    <w:p>
      <w:pPr>
        <w:spacing w:line="56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（一）职能职责</w:t>
      </w:r>
    </w:p>
    <w:p>
      <w:pPr>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color w:val="333333"/>
          <w:sz w:val="32"/>
          <w:szCs w:val="32"/>
        </w:rPr>
        <w:t>实施学前，中小学义务教育,促进基础教育发展。承担辖区内学前，中小学义务教育;推进课程改革和教法学法改革;提高学生综合素质;培养学生多样化发展;培养学生良好品德;从事中小学义务教育及学前教育的相关社会服务。</w:t>
      </w:r>
    </w:p>
    <w:p>
      <w:pPr>
        <w:spacing w:line="56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（二）单位构成</w:t>
      </w:r>
    </w:p>
    <w:p>
      <w:pPr>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丰都县都督乡中心学校，下设办公室、德育处、教务处、后勤处、信息中心、科研处从预算单位构成看，无纳入本单位2022年度决算编制的二级预算单位。</w:t>
      </w:r>
    </w:p>
    <w:p>
      <w:pPr>
        <w:spacing w:line="560" w:lineRule="exact"/>
        <w:ind w:firstLine="640" w:firstLineChars="200"/>
        <w:rPr>
          <w:rFonts w:hint="default" w:ascii="仿宋_GB2312" w:hAnsi="仿宋_GB2312" w:eastAsia="仿宋_GB2312" w:cs="仿宋_GB2312"/>
          <w:sz w:val="32"/>
          <w:szCs w:val="32"/>
        </w:rPr>
      </w:pPr>
      <w:r>
        <w:rPr>
          <w:rFonts w:ascii="黑体" w:hAnsi="黑体" w:eastAsia="黑体" w:cs="黑体"/>
          <w:sz w:val="32"/>
          <w:szCs w:val="32"/>
        </w:rPr>
        <w:t>二、单位决算情况说明</w:t>
      </w:r>
    </w:p>
    <w:p>
      <w:pPr>
        <w:spacing w:line="56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（一）收入支出决算总体情况说明</w:t>
      </w:r>
    </w:p>
    <w:p>
      <w:pPr>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1．总体情况。</w:t>
      </w:r>
      <w:r>
        <w:rPr>
          <w:rFonts w:ascii="仿宋_GB2312" w:hAnsi="仿宋_GB2312" w:eastAsia="仿宋_GB2312" w:cs="仿宋_GB2312"/>
          <w:color w:val="333333"/>
          <w:sz w:val="32"/>
          <w:szCs w:val="32"/>
        </w:rPr>
        <w:t>2023年度收入总计1460.21万元，支出总计1460.21万元。收支较上年决算数增加261.95万元，增长21.86%，</w:t>
      </w:r>
      <w:r>
        <w:rPr>
          <w:rFonts w:ascii="仿宋_GB2312" w:hAnsi="仿宋_GB2312" w:eastAsia="仿宋_GB2312" w:cs="仿宋_GB2312"/>
          <w:sz w:val="32"/>
          <w:szCs w:val="32"/>
        </w:rPr>
        <w:t>主要原因是职工绩效目标考核及社保福利预算增加。</w:t>
      </w:r>
    </w:p>
    <w:p>
      <w:pPr>
        <w:pStyle w:val="6"/>
        <w:snapToGrid w:val="0"/>
        <w:spacing w:before="0" w:beforeAutospacing="0" w:after="0" w:afterAutospacing="0" w:line="600" w:lineRule="exact"/>
        <w:ind w:firstLine="640" w:firstLineChars="200"/>
        <w:jc w:val="both"/>
        <w:rPr>
          <w:rFonts w:hint="default" w:ascii="仿宋_GB2312" w:hAnsi="仿宋_GB2312" w:eastAsia="仿宋_GB2312" w:cs="仿宋_GB2312"/>
          <w:color w:val="333333"/>
          <w:kern w:val="2"/>
          <w:sz w:val="32"/>
          <w:szCs w:val="32"/>
        </w:rPr>
      </w:pPr>
      <w:r>
        <w:rPr>
          <w:rFonts w:ascii="仿宋_GB2312" w:hAnsi="仿宋_GB2312" w:eastAsia="仿宋_GB2312" w:cs="仿宋_GB2312"/>
          <w:sz w:val="32"/>
          <w:szCs w:val="32"/>
        </w:rPr>
        <w:t>2．收入情况。</w:t>
      </w:r>
      <w:r>
        <w:rPr>
          <w:rFonts w:ascii="仿宋_GB2312" w:hAnsi="仿宋_GB2312" w:eastAsia="仿宋_GB2312" w:cs="仿宋_GB2312"/>
          <w:color w:val="333333"/>
          <w:kern w:val="2"/>
          <w:sz w:val="32"/>
          <w:szCs w:val="32"/>
        </w:rPr>
        <w:t>2023年度收入合计1416.92万元，较上年决算数增加219.69万元，增长18.35%，主要原因是职工绩效目标考核、校舍维修维护、乡村少年宫项目、社保福利预算增加。其中：财政拨款收入1370.63万元，占96.73%；事业收入11.21万元，占0.79%；经营收入0.00万元，占0.00%；其他收入35.08万元，占2.48%。此外，使用非财政拨款结余和专用结余0.00万元，年初结转和结余43.30万元。</w:t>
      </w:r>
    </w:p>
    <w:p>
      <w:pPr>
        <w:pStyle w:val="6"/>
        <w:snapToGrid w:val="0"/>
        <w:spacing w:before="0" w:beforeAutospacing="0" w:after="0" w:afterAutospacing="0" w:line="600" w:lineRule="exact"/>
        <w:ind w:firstLine="640" w:firstLineChars="200"/>
        <w:jc w:val="both"/>
        <w:rPr>
          <w:rFonts w:hint="default" w:ascii="仿宋_GB2312" w:hAnsi="仿宋_GB2312" w:eastAsia="仿宋_GB2312" w:cs="仿宋_GB2312"/>
          <w:color w:val="333333"/>
          <w:kern w:val="2"/>
          <w:sz w:val="32"/>
          <w:szCs w:val="32"/>
        </w:rPr>
      </w:pPr>
      <w:r>
        <w:rPr>
          <w:rFonts w:ascii="仿宋_GB2312" w:hAnsi="仿宋_GB2312" w:eastAsia="仿宋_GB2312" w:cs="仿宋_GB2312"/>
          <w:sz w:val="32"/>
          <w:szCs w:val="32"/>
        </w:rPr>
        <w:t>3．支出情况。</w:t>
      </w:r>
      <w:r>
        <w:rPr>
          <w:rFonts w:ascii="仿宋_GB2312" w:hAnsi="仿宋_GB2312" w:eastAsia="仿宋_GB2312" w:cs="仿宋_GB2312"/>
          <w:color w:val="333333"/>
          <w:kern w:val="2"/>
          <w:sz w:val="32"/>
          <w:szCs w:val="32"/>
        </w:rPr>
        <w:t>2023年度支出合计1434.92万元，较上年决算数增加259.94万元，增长22.12%，主要原因是职工绩效目标考核、校舍维修维护、乡村少年宫项目、社保福利预算增加。其中：基本支出1168.17万元，占81.41%；项目支出266.74万元，占18.59%；经营支出0.00万元，占0.00%。此外，结余分配0.00万元。</w:t>
      </w:r>
    </w:p>
    <w:p>
      <w:pPr>
        <w:pStyle w:val="6"/>
        <w:snapToGrid w:val="0"/>
        <w:spacing w:before="0" w:beforeAutospacing="0" w:after="0" w:afterAutospacing="0" w:line="600" w:lineRule="exact"/>
        <w:ind w:firstLine="640" w:firstLineChars="200"/>
        <w:jc w:val="both"/>
        <w:rPr>
          <w:rFonts w:hint="default" w:ascii="仿宋_GB2312" w:hAnsi="仿宋_GB2312" w:eastAsia="仿宋_GB2312" w:cs="仿宋_GB2312"/>
          <w:color w:val="333333"/>
          <w:kern w:val="2"/>
          <w:sz w:val="32"/>
          <w:szCs w:val="32"/>
        </w:rPr>
      </w:pPr>
      <w:r>
        <w:rPr>
          <w:rFonts w:ascii="仿宋_GB2312" w:hAnsi="仿宋_GB2312" w:eastAsia="仿宋_GB2312" w:cs="仿宋_GB2312"/>
          <w:color w:val="333333"/>
          <w:kern w:val="2"/>
          <w:sz w:val="32"/>
          <w:szCs w:val="32"/>
        </w:rPr>
        <w:t xml:space="preserve">4．结转结余情况。2023年度年末结转和结余25.30万元，较上年决算数增加2.02万元，增长8.68%，主要原因是课后服务费纳入收入预算，未全部形成支出。  </w:t>
      </w:r>
    </w:p>
    <w:p>
      <w:pPr>
        <w:spacing w:line="56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pPr>
        <w:spacing w:line="560" w:lineRule="exact"/>
        <w:ind w:firstLine="640" w:firstLineChars="200"/>
        <w:rPr>
          <w:rFonts w:hint="default" w:ascii="楷体" w:hAnsi="楷体" w:eastAsia="楷体" w:cs="楷体"/>
          <w:b/>
          <w:bCs/>
          <w:sz w:val="32"/>
          <w:szCs w:val="32"/>
          <w:shd w:val="clear" w:color="auto" w:fill="FFFFFF"/>
        </w:rPr>
      </w:pPr>
      <w:r>
        <w:rPr>
          <w:rFonts w:ascii="仿宋_GB2312" w:hAnsi="仿宋_GB2312" w:eastAsia="仿宋_GB2312" w:cs="仿宋_GB2312"/>
          <w:color w:val="333333"/>
          <w:kern w:val="2"/>
          <w:sz w:val="32"/>
          <w:szCs w:val="32"/>
        </w:rPr>
        <w:t>2023年度财政拨款收、支总计1390.65万元。与2022年相比，财政拨款收、支总计各增加231.30万元，增长19.95%。主要原因是职工绩效目标考核、校舍维修维护、乡村少年宫项目、社保福利预算增加。</w:t>
      </w:r>
    </w:p>
    <w:p>
      <w:pPr>
        <w:spacing w:line="56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仿宋_GB2312" w:hAnsi="仿宋_GB2312" w:eastAsia="仿宋_GB2312" w:cs="仿宋_GB2312"/>
          <w:color w:val="333333"/>
          <w:kern w:val="2"/>
          <w:sz w:val="32"/>
          <w:szCs w:val="32"/>
        </w:rPr>
      </w:pPr>
      <w:r>
        <w:rPr>
          <w:rFonts w:ascii="仿宋_GB2312" w:hAnsi="仿宋_GB2312" w:eastAsia="仿宋_GB2312" w:cs="仿宋_GB2312"/>
          <w:sz w:val="32"/>
          <w:szCs w:val="32"/>
        </w:rPr>
        <w:t>1．收入情况。</w:t>
      </w:r>
      <w:r>
        <w:rPr>
          <w:rFonts w:ascii="仿宋_GB2312" w:hAnsi="仿宋_GB2312" w:eastAsia="仿宋_GB2312" w:cs="仿宋_GB2312"/>
          <w:color w:val="333333"/>
          <w:kern w:val="2"/>
          <w:sz w:val="32"/>
          <w:szCs w:val="32"/>
        </w:rPr>
        <w:t>2023年度一般公共预算财政拨款收入1353.97万元，较上年决算数增加194.62万元，增长16.79%。</w:t>
      </w:r>
      <w:r>
        <w:rPr>
          <w:rFonts w:ascii="仿宋_GB2312" w:hAnsi="仿宋_GB2312" w:eastAsia="仿宋_GB2312" w:cs="仿宋_GB2312"/>
          <w:sz w:val="32"/>
          <w:szCs w:val="32"/>
        </w:rPr>
        <w:t>主要原因是</w:t>
      </w:r>
      <w:r>
        <w:rPr>
          <w:rFonts w:ascii="仿宋_GB2312" w:hAnsi="仿宋_GB2312" w:eastAsia="仿宋_GB2312" w:cs="仿宋_GB2312"/>
          <w:color w:val="333333"/>
          <w:kern w:val="2"/>
          <w:sz w:val="32"/>
          <w:szCs w:val="32"/>
        </w:rPr>
        <w:t>职工绩效目标考核、校舍维修维护、乡村少年宫项目、社保福利预算增加</w:t>
      </w:r>
      <w:r>
        <w:rPr>
          <w:rFonts w:ascii="仿宋_GB2312" w:hAnsi="仿宋_GB2312" w:eastAsia="仿宋_GB2312" w:cs="仿宋_GB2312"/>
          <w:color w:val="0000FF"/>
          <w:sz w:val="32"/>
          <w:szCs w:val="32"/>
        </w:rPr>
        <w:t>。</w:t>
      </w:r>
      <w:r>
        <w:rPr>
          <w:rFonts w:ascii="仿宋_GB2312" w:hAnsi="仿宋_GB2312" w:eastAsia="仿宋_GB2312" w:cs="仿宋_GB2312"/>
          <w:color w:val="333333"/>
          <w:kern w:val="2"/>
          <w:sz w:val="32"/>
          <w:szCs w:val="32"/>
        </w:rPr>
        <w:t>较年初预算数增加529.88万元，增长64.30%。主要原因是清算2022</w:t>
      </w:r>
      <w:r>
        <w:rPr>
          <w:rFonts w:ascii="仿宋_GB2312" w:hAnsi="仿宋_GB2312" w:eastAsia="仿宋_GB2312" w:cs="仿宋_GB2312"/>
          <w:sz w:val="32"/>
          <w:szCs w:val="32"/>
        </w:rPr>
        <w:t>年绩效目标考核</w:t>
      </w:r>
      <w:r>
        <w:rPr>
          <w:rFonts w:ascii="仿宋_GB2312" w:hAnsi="仿宋_GB2312" w:eastAsia="仿宋_GB2312" w:cs="仿宋_GB2312"/>
          <w:color w:val="333333"/>
          <w:kern w:val="2"/>
          <w:sz w:val="32"/>
          <w:szCs w:val="32"/>
        </w:rPr>
        <w:t>职工绩效目标考核、项目经费（校舍维修维护、乡村少年宫项目、</w:t>
      </w:r>
      <w:r>
        <w:rPr>
          <w:rFonts w:ascii="仿宋_GB2312" w:hAnsi="仿宋_GB2312" w:eastAsia="仿宋_GB2312" w:cs="仿宋_GB2312"/>
          <w:sz w:val="32"/>
          <w:szCs w:val="32"/>
        </w:rPr>
        <w:t>营养午餐及贫困住校生生活补助等</w:t>
      </w:r>
      <w:r>
        <w:rPr>
          <w:rFonts w:ascii="仿宋_GB2312" w:hAnsi="仿宋_GB2312" w:eastAsia="仿宋_GB2312" w:cs="仿宋_GB2312"/>
          <w:kern w:val="2"/>
          <w:sz w:val="32"/>
          <w:szCs w:val="32"/>
        </w:rPr>
        <w:t>）</w:t>
      </w:r>
      <w:r>
        <w:rPr>
          <w:rFonts w:ascii="仿宋_GB2312" w:hAnsi="仿宋_GB2312" w:eastAsia="仿宋_GB2312" w:cs="仿宋_GB2312"/>
          <w:color w:val="333333"/>
          <w:kern w:val="2"/>
          <w:sz w:val="32"/>
          <w:szCs w:val="32"/>
        </w:rPr>
        <w:t>未纳入年初预算</w:t>
      </w:r>
      <w:r>
        <w:rPr>
          <w:rFonts w:ascii="仿宋_GB2312" w:hAnsi="仿宋_GB2312" w:eastAsia="仿宋_GB2312" w:cs="仿宋_GB2312"/>
          <w:color w:val="0000FF"/>
          <w:sz w:val="32"/>
          <w:szCs w:val="32"/>
        </w:rPr>
        <w:t>。</w:t>
      </w:r>
      <w:r>
        <w:rPr>
          <w:rFonts w:ascii="仿宋_GB2312" w:hAnsi="仿宋_GB2312" w:eastAsia="仿宋_GB2312" w:cs="仿宋_GB2312"/>
          <w:color w:val="333333"/>
          <w:kern w:val="2"/>
          <w:sz w:val="32"/>
          <w:szCs w:val="32"/>
        </w:rPr>
        <w:t>此外，年初财政拨款结转和结余20.02万元。</w:t>
      </w:r>
    </w:p>
    <w:p>
      <w:pPr>
        <w:spacing w:line="560" w:lineRule="exact"/>
        <w:ind w:firstLine="640" w:firstLineChars="200"/>
        <w:rPr>
          <w:rFonts w:hint="default" w:ascii="仿宋_GB2312" w:hAnsi="仿宋_GB2312" w:eastAsia="仿宋_GB2312" w:cs="仿宋_GB2312"/>
          <w:bCs/>
          <w:color w:val="0000FF"/>
          <w:sz w:val="32"/>
          <w:szCs w:val="32"/>
        </w:rPr>
      </w:pPr>
      <w:r>
        <w:rPr>
          <w:rFonts w:ascii="仿宋_GB2312" w:hAnsi="仿宋_GB2312" w:eastAsia="仿宋_GB2312" w:cs="仿宋_GB2312"/>
          <w:bCs/>
          <w:sz w:val="32"/>
          <w:szCs w:val="32"/>
        </w:rPr>
        <w:t>2．支出情况。</w:t>
      </w:r>
      <w:r>
        <w:rPr>
          <w:rFonts w:ascii="仿宋_GB2312" w:hAnsi="仿宋_GB2312" w:eastAsia="仿宋_GB2312" w:cs="仿宋_GB2312"/>
          <w:color w:val="333333"/>
          <w:kern w:val="2"/>
          <w:sz w:val="32"/>
          <w:szCs w:val="32"/>
        </w:rPr>
        <w:t>2023年度一般公共预算财政拨款支出1373.99万元，较上年决算数增加214.64万元，增长18.51%。</w:t>
      </w:r>
      <w:r>
        <w:rPr>
          <w:rFonts w:ascii="仿宋_GB2312" w:hAnsi="仿宋_GB2312" w:eastAsia="仿宋_GB2312" w:cs="仿宋_GB2312"/>
          <w:sz w:val="32"/>
          <w:szCs w:val="32"/>
        </w:rPr>
        <w:t>主要原因是</w:t>
      </w:r>
      <w:r>
        <w:rPr>
          <w:rFonts w:ascii="仿宋_GB2312" w:hAnsi="仿宋_GB2312" w:eastAsia="仿宋_GB2312" w:cs="仿宋_GB2312"/>
          <w:color w:val="333333"/>
          <w:kern w:val="2"/>
          <w:sz w:val="32"/>
          <w:szCs w:val="32"/>
        </w:rPr>
        <w:t>职工绩效目标考核、校舍维修维护、乡村少年宫项目、社保福利预算增加。较年初预算数增加549.90万元，增长66.73%。主要原因是清算2022</w:t>
      </w:r>
      <w:r>
        <w:rPr>
          <w:rFonts w:ascii="仿宋_GB2312" w:hAnsi="仿宋_GB2312" w:eastAsia="仿宋_GB2312" w:cs="仿宋_GB2312"/>
          <w:sz w:val="32"/>
          <w:szCs w:val="32"/>
        </w:rPr>
        <w:t>年绩效目标考核</w:t>
      </w:r>
      <w:r>
        <w:rPr>
          <w:rFonts w:ascii="仿宋_GB2312" w:hAnsi="仿宋_GB2312" w:eastAsia="仿宋_GB2312" w:cs="仿宋_GB2312"/>
          <w:color w:val="333333"/>
          <w:kern w:val="2"/>
          <w:sz w:val="32"/>
          <w:szCs w:val="32"/>
        </w:rPr>
        <w:t>职工绩效目标考核、项目经费（校舍维修维护、乡村少年宫项目、</w:t>
      </w:r>
      <w:r>
        <w:rPr>
          <w:rFonts w:ascii="仿宋_GB2312" w:hAnsi="仿宋_GB2312" w:eastAsia="仿宋_GB2312" w:cs="仿宋_GB2312"/>
          <w:sz w:val="32"/>
          <w:szCs w:val="32"/>
        </w:rPr>
        <w:t>营养午餐及贫困住校生生活补助等</w:t>
      </w:r>
      <w:r>
        <w:rPr>
          <w:rFonts w:ascii="仿宋_GB2312" w:hAnsi="仿宋_GB2312" w:eastAsia="仿宋_GB2312" w:cs="仿宋_GB2312"/>
          <w:kern w:val="2"/>
          <w:sz w:val="32"/>
          <w:szCs w:val="32"/>
        </w:rPr>
        <w:t>）</w:t>
      </w:r>
      <w:r>
        <w:rPr>
          <w:rFonts w:ascii="仿宋_GB2312" w:hAnsi="仿宋_GB2312" w:eastAsia="仿宋_GB2312" w:cs="仿宋_GB2312"/>
          <w:color w:val="333333"/>
          <w:kern w:val="2"/>
          <w:sz w:val="32"/>
          <w:szCs w:val="32"/>
        </w:rPr>
        <w:t>未纳入年初预算</w:t>
      </w:r>
      <w:r>
        <w:rPr>
          <w:rFonts w:ascii="仿宋_GB2312" w:hAnsi="仿宋_GB2312" w:eastAsia="仿宋_GB2312" w:cs="仿宋_GB2312"/>
          <w:color w:val="0000FF"/>
          <w:sz w:val="32"/>
          <w:szCs w:val="32"/>
        </w:rPr>
        <w:t>。</w:t>
      </w:r>
    </w:p>
    <w:p>
      <w:pPr>
        <w:spacing w:line="560" w:lineRule="exact"/>
        <w:ind w:firstLine="640" w:firstLineChars="200"/>
        <w:rPr>
          <w:rFonts w:hint="default" w:ascii="仿宋_GB2312" w:hAnsi="仿宋_GB2312" w:eastAsia="仿宋_GB2312" w:cs="仿宋_GB2312"/>
          <w:color w:val="333333"/>
          <w:kern w:val="2"/>
          <w:sz w:val="32"/>
          <w:szCs w:val="32"/>
        </w:rPr>
      </w:pPr>
      <w:r>
        <w:rPr>
          <w:rFonts w:ascii="仿宋_GB2312" w:hAnsi="仿宋_GB2312" w:eastAsia="仿宋_GB2312" w:cs="仿宋_GB2312"/>
          <w:bCs/>
          <w:sz w:val="32"/>
          <w:szCs w:val="32"/>
        </w:rPr>
        <w:t>3．结转结余情况。</w:t>
      </w:r>
      <w:r>
        <w:rPr>
          <w:rFonts w:ascii="仿宋_GB2312" w:hAnsi="仿宋_GB2312" w:eastAsia="仿宋_GB2312" w:cs="仿宋_GB2312"/>
          <w:color w:val="333333"/>
          <w:kern w:val="2"/>
          <w:sz w:val="32"/>
          <w:szCs w:val="32"/>
        </w:rPr>
        <w:t>2023年度年末一般公共预算财政拨款结转和结余0.00万元，较上年决算数无增减，</w:t>
      </w:r>
    </w:p>
    <w:p>
      <w:pPr>
        <w:spacing w:line="560" w:lineRule="exact"/>
        <w:ind w:firstLine="640" w:firstLineChars="200"/>
        <w:rPr>
          <w:rFonts w:hint="default" w:ascii="仿宋_GB2312" w:hAnsi="仿宋_GB2312" w:eastAsia="仿宋_GB2312" w:cs="仿宋_GB2312"/>
          <w:color w:val="333333"/>
          <w:kern w:val="2"/>
          <w:sz w:val="32"/>
          <w:szCs w:val="32"/>
        </w:rPr>
      </w:pPr>
      <w:r>
        <w:rPr>
          <w:rFonts w:ascii="仿宋_GB2312" w:hAnsi="仿宋_GB2312" w:eastAsia="仿宋_GB2312" w:cs="仿宋_GB2312"/>
          <w:color w:val="333333"/>
          <w:kern w:val="2"/>
          <w:sz w:val="32"/>
          <w:szCs w:val="32"/>
        </w:rPr>
        <w:t>比较情况。本单位2023年度一般公共预算财政拨款支出主要用于以下几个方面：</w:t>
      </w:r>
    </w:p>
    <w:p>
      <w:pPr>
        <w:spacing w:line="560" w:lineRule="exact"/>
        <w:ind w:firstLine="640" w:firstLineChars="200"/>
        <w:rPr>
          <w:rFonts w:hint="default" w:ascii="仿宋_GB2312" w:hAnsi="仿宋_GB2312" w:eastAsia="仿宋_GB2312" w:cs="仿宋_GB2312"/>
          <w:color w:val="0000FF"/>
          <w:sz w:val="32"/>
          <w:szCs w:val="32"/>
        </w:rPr>
      </w:pPr>
      <w:r>
        <w:rPr>
          <w:rFonts w:ascii="仿宋_GB2312" w:hAnsi="仿宋_GB2312" w:eastAsia="仿宋_GB2312" w:cs="仿宋_GB2312"/>
          <w:color w:val="333333"/>
          <w:kern w:val="2"/>
          <w:sz w:val="32"/>
          <w:szCs w:val="32"/>
        </w:rPr>
        <w:t>（1）教育支出1174.14万元，占85.45%，较年初预算数增加531.30万元，增长82.65%，主要原因是清算2022</w:t>
      </w:r>
      <w:r>
        <w:rPr>
          <w:rFonts w:ascii="仿宋_GB2312" w:hAnsi="仿宋_GB2312" w:eastAsia="仿宋_GB2312" w:cs="仿宋_GB2312"/>
          <w:sz w:val="32"/>
          <w:szCs w:val="32"/>
        </w:rPr>
        <w:t>年绩效目标考核</w:t>
      </w:r>
      <w:r>
        <w:rPr>
          <w:rFonts w:ascii="仿宋_GB2312" w:hAnsi="仿宋_GB2312" w:eastAsia="仿宋_GB2312" w:cs="仿宋_GB2312"/>
          <w:color w:val="333333"/>
          <w:kern w:val="2"/>
          <w:sz w:val="32"/>
          <w:szCs w:val="32"/>
        </w:rPr>
        <w:t>职工绩效目标考核、项目经费（校舍维修维护、乡村少年宫项目、</w:t>
      </w:r>
      <w:r>
        <w:rPr>
          <w:rFonts w:ascii="仿宋_GB2312" w:hAnsi="仿宋_GB2312" w:eastAsia="仿宋_GB2312" w:cs="仿宋_GB2312"/>
          <w:sz w:val="32"/>
          <w:szCs w:val="32"/>
        </w:rPr>
        <w:t>营养午餐及贫困住校生生活补助等</w:t>
      </w:r>
      <w:r>
        <w:rPr>
          <w:rFonts w:ascii="仿宋_GB2312" w:hAnsi="仿宋_GB2312" w:eastAsia="仿宋_GB2312" w:cs="仿宋_GB2312"/>
          <w:kern w:val="2"/>
          <w:sz w:val="32"/>
          <w:szCs w:val="32"/>
        </w:rPr>
        <w:t>）</w:t>
      </w:r>
      <w:r>
        <w:rPr>
          <w:rFonts w:ascii="仿宋_GB2312" w:hAnsi="仿宋_GB2312" w:eastAsia="仿宋_GB2312" w:cs="仿宋_GB2312"/>
          <w:color w:val="333333"/>
          <w:kern w:val="2"/>
          <w:sz w:val="32"/>
          <w:szCs w:val="32"/>
        </w:rPr>
        <w:t>未纳入年初预算</w:t>
      </w:r>
      <w:r>
        <w:rPr>
          <w:rFonts w:ascii="仿宋_GB2312" w:hAnsi="仿宋_GB2312" w:eastAsia="仿宋_GB2312" w:cs="仿宋_GB2312"/>
          <w:sz w:val="32"/>
          <w:szCs w:val="32"/>
        </w:rPr>
        <w:t>。</w:t>
      </w:r>
    </w:p>
    <w:p>
      <w:pPr>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（2）</w:t>
      </w:r>
      <w:r>
        <w:rPr>
          <w:rFonts w:ascii="仿宋_GB2312" w:hAnsi="仿宋_GB2312" w:eastAsia="仿宋_GB2312" w:cs="仿宋_GB2312"/>
          <w:color w:val="333333"/>
          <w:kern w:val="2"/>
          <w:sz w:val="32"/>
          <w:szCs w:val="32"/>
        </w:rPr>
        <w:t>社会保障与就业支出119.29万元，占8.68%，较年初预算数增加19.03万元，增长18.98%，</w:t>
      </w:r>
      <w:r>
        <w:rPr>
          <w:rFonts w:ascii="仿宋_GB2312" w:hAnsi="仿宋_GB2312" w:eastAsia="仿宋_GB2312" w:cs="仿宋_GB2312"/>
          <w:sz w:val="32"/>
          <w:szCs w:val="32"/>
        </w:rPr>
        <w:t>主要原因是社会保障和就业费用调标部分及退休教师补交部分当年为纳入预算。</w:t>
      </w:r>
    </w:p>
    <w:p>
      <w:pPr>
        <w:spacing w:line="560" w:lineRule="exact"/>
        <w:ind w:firstLine="640" w:firstLineChars="200"/>
        <w:rPr>
          <w:rFonts w:hint="default" w:ascii="仿宋_GB2312" w:hAnsi="仿宋_GB2312" w:eastAsia="仿宋_GB2312" w:cs="仿宋_GB2312"/>
          <w:color w:val="333333"/>
          <w:kern w:val="2"/>
          <w:sz w:val="32"/>
          <w:szCs w:val="32"/>
        </w:rPr>
      </w:pPr>
      <w:r>
        <w:rPr>
          <w:rFonts w:ascii="仿宋_GB2312" w:hAnsi="仿宋_GB2312" w:eastAsia="仿宋_GB2312" w:cs="仿宋_GB2312"/>
          <w:color w:val="333333"/>
          <w:kern w:val="2"/>
          <w:sz w:val="32"/>
          <w:szCs w:val="32"/>
        </w:rPr>
        <w:t>（3）卫生健康支出41.99万元，占3.06%，较年初预算数减少0.37万元，下降0.87%，主要原因是职工县外调出1人。</w:t>
      </w:r>
    </w:p>
    <w:p>
      <w:pPr>
        <w:spacing w:line="560" w:lineRule="exact"/>
        <w:ind w:firstLine="640" w:firstLineChars="200"/>
        <w:rPr>
          <w:rFonts w:hint="default" w:ascii="仿宋_GB2312" w:hAnsi="仿宋_GB2312" w:eastAsia="仿宋_GB2312" w:cs="仿宋_GB2312"/>
          <w:color w:val="333333"/>
          <w:kern w:val="2"/>
          <w:sz w:val="32"/>
          <w:szCs w:val="32"/>
        </w:rPr>
      </w:pPr>
      <w:r>
        <w:rPr>
          <w:rFonts w:ascii="仿宋_GB2312" w:hAnsi="仿宋_GB2312" w:eastAsia="仿宋_GB2312" w:cs="仿宋_GB2312"/>
          <w:color w:val="333333"/>
          <w:kern w:val="2"/>
          <w:sz w:val="32"/>
          <w:szCs w:val="32"/>
        </w:rPr>
        <w:t>（4）住房保障支出38.57万元，占2.81%，较年初预算数减少0.06万元，下降0.16%，主要原因是职工县外10月调出1人。</w:t>
      </w:r>
    </w:p>
    <w:p>
      <w:pPr>
        <w:spacing w:line="56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pPr>
        <w:spacing w:line="560" w:lineRule="exact"/>
        <w:ind w:firstLine="640" w:firstLineChars="200"/>
        <w:rPr>
          <w:rFonts w:hint="default" w:ascii="仿宋_GB2312" w:hAnsi="仿宋_GB2312" w:eastAsia="仿宋_GB2312" w:cs="仿宋_GB2312"/>
          <w:color w:val="333333"/>
          <w:kern w:val="2"/>
          <w:sz w:val="32"/>
          <w:szCs w:val="32"/>
        </w:rPr>
      </w:pPr>
      <w:r>
        <w:rPr>
          <w:rFonts w:ascii="仿宋_GB2312" w:hAnsi="仿宋_GB2312" w:eastAsia="仿宋_GB2312" w:cs="仿宋_GB2312"/>
          <w:color w:val="333333"/>
          <w:kern w:val="2"/>
          <w:sz w:val="32"/>
          <w:szCs w:val="32"/>
        </w:rPr>
        <w:t>2023年度一般公共财政拨款基本支出1123.91万元。其中：人员经费1033.59万元，较上年决算数增加42.36万元，增长4.27%，主要原因是职工目标绩效考核及薪级调资等增加。人员经费用途主要包括基本工资、津贴补贴、绩效工资等支出。公用经费90.32万元，较上年决算数增加6.04万元，增长7.17%，主要原因是线下会议、培训人次增加。公用经费用途主要包括办公费、邮电费、维修维护费、差旅费、培训费、劳务费等支出。</w:t>
      </w:r>
    </w:p>
    <w:p>
      <w:pPr>
        <w:spacing w:line="56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spacing w:line="560" w:lineRule="exact"/>
        <w:ind w:firstLine="640" w:firstLineChars="200"/>
        <w:rPr>
          <w:rFonts w:hint="default" w:ascii="仿宋_GB2312" w:hAnsi="仿宋_GB2312" w:eastAsia="仿宋_GB2312" w:cs="仿宋_GB2312"/>
          <w:color w:val="333333"/>
          <w:kern w:val="2"/>
          <w:sz w:val="32"/>
          <w:szCs w:val="32"/>
        </w:rPr>
      </w:pPr>
      <w:r>
        <w:rPr>
          <w:rFonts w:ascii="仿宋_GB2312" w:hAnsi="仿宋_GB2312" w:eastAsia="仿宋_GB2312" w:cs="仿宋_GB2312"/>
          <w:color w:val="333333"/>
          <w:kern w:val="2"/>
          <w:sz w:val="32"/>
          <w:szCs w:val="32"/>
        </w:rPr>
        <w:t>2023年度政府性基金预算财政拨款年初结转结余0.00万元，年末结转结余0.00万元。本年收入16.66万元，较上年决算数增加16.66万元，增长100.00%，主要原因是2022年政府性基金项目纳入2023年实施。本年支出16.66万元，较上年决算数增加16.66万元，增长100.00%，主要原因是2022年政府性基金项目纳入2023年实施并形成支付。</w:t>
      </w:r>
    </w:p>
    <w:p>
      <w:pPr>
        <w:spacing w:line="56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pPr>
        <w:spacing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sz w:val="32"/>
          <w:szCs w:val="32"/>
        </w:rPr>
        <w:t xml:space="preserve"> 本单位 </w:t>
      </w:r>
      <w:r>
        <w:rPr>
          <w:rFonts w:ascii="方正仿宋_GBK" w:hAnsi="方正仿宋_GBK" w:eastAsia="方正仿宋_GBK" w:cs="方正仿宋_GBK"/>
          <w:sz w:val="32"/>
          <w:szCs w:val="32"/>
          <w:shd w:val="clear" w:color="auto" w:fill="FFFFFF"/>
        </w:rPr>
        <w:t>2023</w:t>
      </w:r>
      <w:r>
        <w:rPr>
          <w:rFonts w:ascii="仿宋_GB2312" w:hAnsi="仿宋_GB2312" w:eastAsia="仿宋_GB2312" w:cs="仿宋_GB2312"/>
          <w:kern w:val="2"/>
          <w:sz w:val="32"/>
          <w:szCs w:val="32"/>
        </w:rPr>
        <w:t>年度无国有资本经营预算财政拨款支出。</w:t>
      </w:r>
    </w:p>
    <w:p>
      <w:pPr>
        <w:spacing w:line="560" w:lineRule="exact"/>
        <w:ind w:firstLine="640" w:firstLineChars="200"/>
        <w:rPr>
          <w:rFonts w:hint="default" w:ascii="仿宋_GB2312" w:hAnsi="仿宋_GB2312" w:eastAsia="仿宋_GB2312" w:cs="仿宋_GB2312"/>
          <w:sz w:val="32"/>
          <w:szCs w:val="32"/>
        </w:rPr>
      </w:pPr>
      <w:r>
        <w:rPr>
          <w:rFonts w:ascii="黑体" w:hAnsi="黑体" w:eastAsia="黑体" w:cs="黑体"/>
          <w:sz w:val="32"/>
          <w:szCs w:val="32"/>
        </w:rPr>
        <w:t>三、“三公”经费情况说明</w:t>
      </w:r>
    </w:p>
    <w:p>
      <w:pPr>
        <w:spacing w:line="56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（一）“三公”经费支出总体情况说明</w:t>
      </w:r>
    </w:p>
    <w:p>
      <w:pPr>
        <w:spacing w:line="56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2023年度“三公”经费支出共计0.00万元，较年初预算数减少0.00万元，下降0.00%，主要原因是本单位2023年度未发生“三公”“经费支出。较上年支出数减少0.00万元，下降0.00%，主要原因是本单位2023年度未发生“三公”“经费支出。与上年数持平。</w:t>
      </w:r>
    </w:p>
    <w:p>
      <w:pPr>
        <w:spacing w:line="56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pPr>
        <w:spacing w:line="56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2023年度本单位因公出国（境）费用0.00万元，费用支出较年初预算数减少0.00万元，下降0.00%，主要原因是本单位2023年度未发生因公出国（境）费用支出。与上年数持平。较上年支出数减少0.00万元，下降0.00%，主要原因是本单位2023年度未发生因公出国（境）费用支出。与上年数持平。</w:t>
      </w:r>
    </w:p>
    <w:p>
      <w:pPr>
        <w:spacing w:line="56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公务车购置费0.00万元，费用支出较年初预算数减少0.00万元，下降0.00%，主要原因是本单位2023年度未发生公务车购置费用支出。与上年数持平。较上年支出数减少0.00万元，下降0.00%，主要原因是本单位2023年度未发生公务车购置费用支出。与上年数持平。</w:t>
      </w:r>
    </w:p>
    <w:p>
      <w:pPr>
        <w:spacing w:line="56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公务车运行维护费0.00万元，费用支出较年初预算数减少0.00万元，下降0.00%，主要原因是本单位2023年度未发生公务车运行维护费用支出。与上年数持平。较上年支出数减少0.00万元，下降0.00%，主要原因是本单位2023年度未发生公务车运行维护费用支出。与上年数持平。</w:t>
      </w:r>
    </w:p>
    <w:p>
      <w:pPr>
        <w:spacing w:line="56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公务接待费0.00万元，费用支出较年初预算数减少0.00万元，下降0.00%，主要原因是本单位2023年度未发生公务接待费用支出。与上年数持平。</w:t>
      </w:r>
    </w:p>
    <w:p>
      <w:pPr>
        <w:spacing w:line="56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较上年支出数减少0.00万元，下降0.00%，主要原因是本单位2023年度未发生公务接待费用支出。与上年数持平。</w:t>
      </w:r>
    </w:p>
    <w:p>
      <w:pPr>
        <w:spacing w:line="56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pPr>
        <w:spacing w:line="56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spacing w:line="560" w:lineRule="exact"/>
        <w:ind w:firstLine="640" w:firstLineChars="200"/>
        <w:rPr>
          <w:rFonts w:hint="default" w:ascii="黑体" w:hAnsi="黑体" w:eastAsia="黑体" w:cs="黑体"/>
          <w:sz w:val="32"/>
          <w:szCs w:val="32"/>
        </w:rPr>
      </w:pPr>
      <w:r>
        <w:rPr>
          <w:rFonts w:ascii="黑体" w:hAnsi="黑体" w:eastAsia="黑体" w:cs="黑体"/>
          <w:sz w:val="32"/>
          <w:szCs w:val="32"/>
        </w:rPr>
        <w:t>四、其他需要说明的事项</w:t>
      </w:r>
    </w:p>
    <w:p>
      <w:pPr>
        <w:spacing w:line="56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（一）财政拨款会议费和培训费情况说明</w:t>
      </w:r>
    </w:p>
    <w:p>
      <w:pPr>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kern w:val="2"/>
          <w:sz w:val="32"/>
          <w:szCs w:val="32"/>
        </w:rPr>
        <w:t>本年度会议费支出0.00万元，较上年决算数减少0.00万元，下降0.00%，主要原因是</w:t>
      </w:r>
      <w:r>
        <w:rPr>
          <w:rFonts w:ascii="仿宋_GB2312" w:hAnsi="仿宋_GB2312" w:eastAsia="仿宋_GB2312" w:cs="仿宋_GB2312"/>
          <w:sz w:val="32"/>
          <w:szCs w:val="32"/>
        </w:rPr>
        <w:t>本单位2023年度未发生</w:t>
      </w:r>
      <w:r>
        <w:rPr>
          <w:rFonts w:ascii="仿宋_GB2312" w:hAnsi="仿宋_GB2312" w:eastAsia="仿宋_GB2312" w:cs="仿宋_GB2312"/>
          <w:kern w:val="2"/>
          <w:sz w:val="32"/>
          <w:szCs w:val="32"/>
        </w:rPr>
        <w:t>会议费</w:t>
      </w:r>
      <w:r>
        <w:rPr>
          <w:rFonts w:ascii="仿宋_GB2312" w:hAnsi="仿宋_GB2312" w:eastAsia="仿宋_GB2312" w:cs="仿宋_GB2312"/>
          <w:sz w:val="32"/>
          <w:szCs w:val="32"/>
        </w:rPr>
        <w:t>费用支出。与上年数持平。</w:t>
      </w:r>
    </w:p>
    <w:p>
      <w:pPr>
        <w:pStyle w:val="6"/>
        <w:shd w:val="clear" w:color="auto" w:fill="FFFFFF"/>
        <w:spacing w:before="0" w:beforeAutospacing="0" w:after="0" w:afterAutospacing="0"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年度培训费支出8.36万元，较上年决算数增加4.37万元，增长109.52%，主要原因是</w:t>
      </w:r>
      <w:r>
        <w:rPr>
          <w:rFonts w:ascii="仿宋_GB2312" w:hAnsi="仿宋_GB2312" w:eastAsia="仿宋_GB2312" w:cs="仿宋_GB2312"/>
          <w:sz w:val="32"/>
          <w:szCs w:val="32"/>
        </w:rPr>
        <w:t>新冠疫情解封后，线下培训人次增加。</w:t>
      </w:r>
    </w:p>
    <w:p>
      <w:pPr>
        <w:spacing w:line="56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（二）机关运行经费支出情况说明</w:t>
      </w:r>
    </w:p>
    <w:p>
      <w:pPr>
        <w:pStyle w:val="6"/>
        <w:shd w:val="clear" w:color="auto" w:fill="FFFFFF"/>
        <w:spacing w:before="0" w:beforeAutospacing="0" w:after="0" w:afterAutospacing="0" w:line="560" w:lineRule="exact"/>
        <w:ind w:firstLine="640" w:firstLineChars="200"/>
        <w:rPr>
          <w:rFonts w:hint="default" w:ascii="仿宋_GB2312" w:hAnsi="仿宋_GB2312" w:eastAsia="仿宋_GB2312" w:cs="仿宋_GB2312"/>
          <w:b/>
          <w:bCs/>
          <w:kern w:val="2"/>
          <w:sz w:val="32"/>
          <w:szCs w:val="32"/>
        </w:rPr>
      </w:pPr>
      <w:r>
        <w:rPr>
          <w:rFonts w:ascii="仿宋_GB2312" w:hAnsi="仿宋_GB2312" w:eastAsia="仿宋_GB2312" w:cs="仿宋_GB2312"/>
          <w:sz w:val="32"/>
          <w:szCs w:val="32"/>
        </w:rPr>
        <w:t>按照单位决算列报口径，我单位不在机关运行经费统计范围之内。</w:t>
      </w:r>
    </w:p>
    <w:p>
      <w:pPr>
        <w:spacing w:line="56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（三）国有资产占用情况说明</w:t>
      </w:r>
    </w:p>
    <w:p>
      <w:pPr>
        <w:spacing w:line="56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截至2023年12月31日，本单位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spacing w:line="56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（四）政府采购支出情况说明</w:t>
      </w:r>
    </w:p>
    <w:p>
      <w:pPr>
        <w:spacing w:line="56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2023年度我单位未发生政府采购事项，无相关经费支出。</w:t>
      </w:r>
    </w:p>
    <w:p>
      <w:pPr>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黑体" w:hAnsi="黑体" w:eastAsia="黑体" w:cs="黑体"/>
          <w:sz w:val="32"/>
          <w:szCs w:val="32"/>
        </w:rPr>
        <w:t>五、预算绩效管理情况说明</w:t>
      </w:r>
    </w:p>
    <w:p>
      <w:pPr>
        <w:spacing w:line="560" w:lineRule="exact"/>
        <w:ind w:firstLine="643" w:firstLineChars="200"/>
        <w:rPr>
          <w:rFonts w:hint="default" w:ascii="楷体_GB2312" w:hAnsi="楷体_GB2312" w:eastAsia="楷体_GB2312" w:cs="楷体_GB2312"/>
          <w:sz w:val="32"/>
          <w:szCs w:val="32"/>
        </w:rPr>
      </w:pPr>
      <w:r>
        <w:rPr>
          <w:rFonts w:ascii="楷体" w:hAnsi="楷体" w:eastAsia="楷体" w:cs="楷体"/>
          <w:b/>
          <w:bCs/>
          <w:sz w:val="32"/>
          <w:szCs w:val="32"/>
          <w:shd w:val="clear" w:color="auto" w:fill="FFFFFF"/>
        </w:rPr>
        <w:t>（一）单位自评情况</w:t>
      </w:r>
    </w:p>
    <w:p>
      <w:pPr>
        <w:pStyle w:val="6"/>
        <w:shd w:val="clear" w:color="auto" w:fill="FFFFFF"/>
        <w:spacing w:before="0" w:beforeAutospacing="0" w:after="0" w:afterAutospacing="0" w:line="560" w:lineRule="exact"/>
        <w:ind w:firstLine="640" w:firstLineChars="20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根据预算绩效管理要求，本单位对20个项目以填报自评表形式开展自评，涉及资金472.89 万元.从评价情况来看，项目立项较为规范，绩效目标明确，预算编制合理，管理科学规范，资金到位及时，总体完成情况较好，有力保障了学校正常的教育教学及师生安全，项目基本达到了预期绩效目标。</w:t>
      </w:r>
    </w:p>
    <w:p>
      <w:pPr>
        <w:numPr>
          <w:ilvl w:val="0"/>
          <w:numId w:val="1"/>
        </w:numPr>
        <w:spacing w:line="560" w:lineRule="exact"/>
        <w:ind w:firstLine="64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单位绩效评价情况</w:t>
      </w:r>
    </w:p>
    <w:p>
      <w:pPr>
        <w:spacing w:line="560" w:lineRule="exact"/>
        <w:ind w:left="630"/>
        <w:rPr>
          <w:rFonts w:hint="default" w:ascii="仿宋_GB2312" w:hAnsi="仿宋_GB2312" w:eastAsia="仿宋_GB2312" w:cs="仿宋_GB2312"/>
          <w:kern w:val="2"/>
          <w:sz w:val="32"/>
          <w:szCs w:val="32"/>
        </w:rPr>
      </w:pPr>
      <w:r>
        <w:rPr>
          <w:rFonts w:ascii="仿宋_GB2312" w:hAnsi="仿宋_GB2312" w:eastAsia="仿宋_GB2312" w:cs="仿宋_GB2312"/>
          <w:kern w:val="2"/>
          <w:sz w:val="32"/>
          <w:szCs w:val="32"/>
        </w:rPr>
        <w:t>我单位未开展绩效评价</w:t>
      </w:r>
    </w:p>
    <w:p>
      <w:pPr>
        <w:spacing w:line="560"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（三）财政绩效评价情况</w:t>
      </w:r>
    </w:p>
    <w:p>
      <w:pPr>
        <w:spacing w:line="560" w:lineRule="exact"/>
        <w:ind w:firstLine="640" w:firstLineChars="200"/>
        <w:rPr>
          <w:rFonts w:hint="default" w:ascii="仿宋_GB2312" w:hAnsi="仿宋_GB2312" w:eastAsia="仿宋_GB2312" w:cs="仿宋_GB2312"/>
          <w:b/>
          <w:bCs/>
          <w:sz w:val="32"/>
          <w:szCs w:val="32"/>
        </w:rPr>
      </w:pPr>
      <w:r>
        <w:rPr>
          <w:rFonts w:ascii="仿宋_GB2312" w:hAnsi="仿宋_GB2312" w:eastAsia="仿宋_GB2312" w:cs="仿宋_GB2312"/>
          <w:sz w:val="32"/>
          <w:szCs w:val="32"/>
        </w:rPr>
        <w:t>市财政局未委托第三方对我单位开展重点绩效评价。</w:t>
      </w:r>
    </w:p>
    <w:p>
      <w:pPr>
        <w:spacing w:line="560" w:lineRule="exact"/>
        <w:ind w:firstLine="640" w:firstLineChars="200"/>
        <w:rPr>
          <w:rFonts w:hint="default" w:ascii="仿宋_GB2312" w:hAnsi="仿宋_GB2312" w:eastAsia="仿宋_GB2312" w:cs="仿宋_GB2312"/>
          <w:sz w:val="32"/>
          <w:szCs w:val="32"/>
        </w:rPr>
      </w:pPr>
      <w:r>
        <w:rPr>
          <w:rFonts w:ascii="黑体" w:hAnsi="黑体" w:eastAsia="黑体" w:cs="黑体"/>
          <w:sz w:val="32"/>
          <w:szCs w:val="32"/>
        </w:rPr>
        <w:t>六、专有名词解释</w:t>
      </w:r>
    </w:p>
    <w:p>
      <w:pPr>
        <w:pStyle w:val="6"/>
        <w:adjustRightInd w:val="0"/>
        <w:snapToGrid w:val="0"/>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kern w:val="2"/>
          <w:sz w:val="32"/>
          <w:szCs w:val="32"/>
        </w:rPr>
        <w:t>（一）财政拨款收入：</w:t>
      </w:r>
      <w:r>
        <w:rPr>
          <w:rFonts w:ascii="仿宋_GB2312" w:hAnsi="仿宋_GB2312" w:eastAsia="仿宋_GB2312" w:cs="仿宋_GB2312"/>
          <w:sz w:val="32"/>
          <w:szCs w:val="32"/>
          <w:shd w:val="clear" w:color="auto" w:fill="FFFFFF"/>
        </w:rPr>
        <w:t>指本年度从本级财政单位取得的财政拨款，包括一般公共预算财政拨款和政府性基金预算财政拨款。</w:t>
      </w:r>
    </w:p>
    <w:p>
      <w:pPr>
        <w:pStyle w:val="6"/>
        <w:adjustRightInd w:val="0"/>
        <w:snapToGrid w:val="0"/>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kern w:val="2"/>
          <w:sz w:val="32"/>
          <w:szCs w:val="32"/>
        </w:rPr>
        <w:t>（二）事业收入：</w:t>
      </w:r>
      <w:r>
        <w:rPr>
          <w:rFonts w:ascii="仿宋_GB2312" w:hAnsi="仿宋_GB2312" w:eastAsia="仿宋_GB2312" w:cs="仿宋_GB2312"/>
          <w:sz w:val="32"/>
          <w:szCs w:val="32"/>
          <w:shd w:val="clear" w:color="auto" w:fill="FFFFFF"/>
        </w:rPr>
        <w:t>指事业单位开展专业业务活动及其辅助活动取得的现金流入；事业单位收到的财政专户实际核拨的教育收费等资金在此反映。</w:t>
      </w:r>
    </w:p>
    <w:p>
      <w:pPr>
        <w:pStyle w:val="6"/>
        <w:adjustRightInd w:val="0"/>
        <w:snapToGrid w:val="0"/>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kern w:val="2"/>
          <w:sz w:val="32"/>
          <w:szCs w:val="32"/>
        </w:rPr>
        <w:t>（三）经营收入：</w:t>
      </w:r>
      <w:r>
        <w:rPr>
          <w:rFonts w:ascii="仿宋_GB2312" w:hAnsi="仿宋_GB2312" w:eastAsia="仿宋_GB2312" w:cs="仿宋_GB2312"/>
          <w:sz w:val="32"/>
          <w:szCs w:val="32"/>
          <w:shd w:val="clear" w:color="auto" w:fill="FFFFFF"/>
        </w:rPr>
        <w:t>指事业单位在专业业务活动及其辅助活动之外开展非独立核算经营活动取得的现金流入。</w:t>
      </w:r>
    </w:p>
    <w:p>
      <w:pPr>
        <w:pStyle w:val="6"/>
        <w:adjustRightInd w:val="0"/>
        <w:snapToGrid w:val="0"/>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kern w:val="2"/>
          <w:sz w:val="32"/>
          <w:szCs w:val="32"/>
        </w:rPr>
        <w:t>（四）其他收入：</w:t>
      </w:r>
      <w:r>
        <w:rPr>
          <w:rFonts w:ascii="仿宋_GB2312" w:hAnsi="仿宋_GB2312" w:eastAsia="仿宋_GB2312" w:cs="仿宋_GB2312"/>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单位以外的同级单位取得的经费、从非本级财政单位取得的经费，以及行政单位收到的财政专户管理资金反映在本项内。</w:t>
      </w:r>
    </w:p>
    <w:p>
      <w:pPr>
        <w:pStyle w:val="6"/>
        <w:adjustRightInd w:val="0"/>
        <w:snapToGrid w:val="0"/>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kern w:val="2"/>
          <w:sz w:val="32"/>
          <w:szCs w:val="32"/>
        </w:rPr>
        <w:t>（五）使用非财政拨款结余：</w:t>
      </w:r>
      <w:r>
        <w:rPr>
          <w:rFonts w:ascii="仿宋_GB2312" w:hAnsi="仿宋_GB2312" w:eastAsia="仿宋_GB2312" w:cs="仿宋_GB2312"/>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adjustRightInd w:val="0"/>
        <w:snapToGrid w:val="0"/>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kern w:val="2"/>
          <w:sz w:val="32"/>
          <w:szCs w:val="32"/>
        </w:rPr>
        <w:t>（六）年初结转和结余：</w:t>
      </w:r>
      <w:r>
        <w:rPr>
          <w:rFonts w:ascii="仿宋_GB2312" w:hAnsi="仿宋_GB2312" w:eastAsia="仿宋_GB2312" w:cs="仿宋_GB2312"/>
          <w:sz w:val="32"/>
          <w:szCs w:val="32"/>
          <w:shd w:val="clear" w:color="auto" w:fill="FFFFFF"/>
        </w:rPr>
        <w:t>指单位上年结转本年使用的基本支出结转、项目支出结转和结余、经营结余。</w:t>
      </w:r>
    </w:p>
    <w:p>
      <w:pPr>
        <w:pStyle w:val="6"/>
        <w:adjustRightInd w:val="0"/>
        <w:snapToGrid w:val="0"/>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kern w:val="2"/>
          <w:sz w:val="32"/>
          <w:szCs w:val="32"/>
        </w:rPr>
        <w:t>（七）结余分配：</w:t>
      </w:r>
      <w:r>
        <w:rPr>
          <w:rFonts w:ascii="仿宋_GB2312" w:hAnsi="仿宋_GB2312" w:eastAsia="仿宋_GB2312" w:cs="仿宋_GB2312"/>
          <w:sz w:val="32"/>
          <w:szCs w:val="32"/>
          <w:shd w:val="clear" w:color="auto" w:fill="FFFFFF"/>
        </w:rPr>
        <w:t>指单位按照国家有关规定，缴纳所得税、提取专用基金、转入非财政拨款结余等当年结余的分配情况。</w:t>
      </w:r>
    </w:p>
    <w:p>
      <w:pPr>
        <w:pStyle w:val="6"/>
        <w:adjustRightInd w:val="0"/>
        <w:snapToGrid w:val="0"/>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kern w:val="2"/>
          <w:sz w:val="32"/>
          <w:szCs w:val="32"/>
        </w:rPr>
        <w:t>（八）年末结转和结余：</w:t>
      </w:r>
      <w:r>
        <w:rPr>
          <w:rFonts w:ascii="仿宋_GB2312" w:hAnsi="仿宋_GB2312" w:eastAsia="仿宋_GB2312" w:cs="仿宋_GB2312"/>
          <w:sz w:val="32"/>
          <w:szCs w:val="32"/>
          <w:shd w:val="clear" w:color="auto" w:fill="FFFFFF"/>
        </w:rPr>
        <w:t>指单位结转下年的基本支出结转、项目支出结转和结余、经营结余。</w:t>
      </w:r>
    </w:p>
    <w:p>
      <w:pPr>
        <w:pStyle w:val="6"/>
        <w:adjustRightInd w:val="0"/>
        <w:snapToGrid w:val="0"/>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kern w:val="2"/>
          <w:sz w:val="32"/>
          <w:szCs w:val="32"/>
        </w:rPr>
        <w:t>（九）基本支出：</w:t>
      </w:r>
      <w:r>
        <w:rPr>
          <w:rFonts w:ascii="仿宋_GB2312" w:hAnsi="仿宋_GB2312" w:eastAsia="仿宋_GB2312" w:cs="仿宋_GB2312"/>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adjustRightInd w:val="0"/>
        <w:snapToGrid w:val="0"/>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kern w:val="2"/>
          <w:sz w:val="32"/>
          <w:szCs w:val="32"/>
        </w:rPr>
        <w:t>（十）项目支出：</w:t>
      </w:r>
      <w:r>
        <w:rPr>
          <w:rFonts w:ascii="仿宋_GB2312" w:hAnsi="仿宋_GB2312" w:eastAsia="仿宋_GB2312" w:cs="仿宋_GB2312"/>
          <w:sz w:val="32"/>
          <w:szCs w:val="32"/>
          <w:shd w:val="clear" w:color="auto" w:fill="FFFFFF"/>
        </w:rPr>
        <w:t>指在基本支出之外为完成特定行政任务和事业发展目标所发生的支出。</w:t>
      </w:r>
    </w:p>
    <w:p>
      <w:pPr>
        <w:pStyle w:val="6"/>
        <w:adjustRightInd w:val="0"/>
        <w:snapToGrid w:val="0"/>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kern w:val="2"/>
          <w:sz w:val="32"/>
          <w:szCs w:val="32"/>
        </w:rPr>
        <w:t>（十一）经营支出：</w:t>
      </w:r>
      <w:r>
        <w:rPr>
          <w:rFonts w:ascii="仿宋_GB2312" w:hAnsi="仿宋_GB2312" w:eastAsia="仿宋_GB2312" w:cs="仿宋_GB2312"/>
          <w:sz w:val="32"/>
          <w:szCs w:val="32"/>
          <w:shd w:val="clear" w:color="auto" w:fill="FFFFFF"/>
        </w:rPr>
        <w:t>指事业单位在专业业务活动及其辅助活动之外开展非独立核算经营活动发生的支出。</w:t>
      </w:r>
    </w:p>
    <w:p>
      <w:pPr>
        <w:pStyle w:val="6"/>
        <w:adjustRightInd w:val="0"/>
        <w:snapToGrid w:val="0"/>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kern w:val="2"/>
          <w:sz w:val="32"/>
          <w:szCs w:val="32"/>
        </w:rPr>
        <w:t>（十二）“三公”经费：</w:t>
      </w:r>
      <w:r>
        <w:rPr>
          <w:rFonts w:ascii="仿宋_GB2312" w:hAnsi="仿宋_GB2312" w:eastAsia="仿宋_GB2312" w:cs="仿宋_GB2312"/>
          <w:sz w:val="32"/>
          <w:szCs w:val="32"/>
          <w:shd w:val="clear" w:color="auto"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adjustRightInd w:val="0"/>
        <w:snapToGrid w:val="0"/>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kern w:val="2"/>
          <w:sz w:val="32"/>
          <w:szCs w:val="32"/>
        </w:rPr>
        <w:t>（十三）机关运行经费：</w:t>
      </w:r>
      <w:r>
        <w:rPr>
          <w:rFonts w:ascii="仿宋_GB2312" w:hAnsi="仿宋_GB2312" w:eastAsia="仿宋_GB2312" w:cs="仿宋_GB2312"/>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adjustRightInd w:val="0"/>
        <w:snapToGrid w:val="0"/>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kern w:val="2"/>
          <w:sz w:val="32"/>
          <w:szCs w:val="32"/>
        </w:rPr>
        <w:t>（十四）工资福利支出（支出经济分类科目类级）：</w:t>
      </w:r>
      <w:r>
        <w:rPr>
          <w:rFonts w:ascii="仿宋_GB2312" w:hAnsi="仿宋_GB2312" w:eastAsia="仿宋_GB2312" w:cs="仿宋_GB2312"/>
          <w:sz w:val="32"/>
          <w:szCs w:val="32"/>
          <w:shd w:val="clear" w:color="auto" w:fill="FFFFFF"/>
        </w:rPr>
        <w:t>反映单位开支的在职职工和编制外长期聘用人员的各类劳动报酬，以及为上述人员缴纳的各项社会保险费等。</w:t>
      </w:r>
    </w:p>
    <w:p>
      <w:pPr>
        <w:pStyle w:val="6"/>
        <w:adjustRightInd w:val="0"/>
        <w:snapToGrid w:val="0"/>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kern w:val="2"/>
          <w:sz w:val="32"/>
          <w:szCs w:val="32"/>
        </w:rPr>
        <w:t>（十五）商品和服务支出（支出经济分类科目类级）：</w:t>
      </w:r>
      <w:r>
        <w:rPr>
          <w:rFonts w:ascii="仿宋_GB2312" w:hAnsi="仿宋_GB2312" w:eastAsia="仿宋_GB2312" w:cs="仿宋_GB2312"/>
          <w:sz w:val="32"/>
          <w:szCs w:val="32"/>
          <w:shd w:val="clear" w:color="auto" w:fill="FFFFFF"/>
        </w:rPr>
        <w:t>反映单位购买商品和服务的支出（不包括用于购置固定资产的支出、战略性和应急储备支出）。</w:t>
      </w:r>
    </w:p>
    <w:p>
      <w:pPr>
        <w:pStyle w:val="6"/>
        <w:adjustRightInd w:val="0"/>
        <w:snapToGrid w:val="0"/>
        <w:spacing w:before="0" w:beforeAutospacing="0" w:after="0" w:afterAutospacing="0"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kern w:val="2"/>
          <w:sz w:val="32"/>
          <w:szCs w:val="32"/>
        </w:rPr>
        <w:t>（十六）对个人和家庭的补助（支出经济分类科目类级）：</w:t>
      </w:r>
      <w:r>
        <w:rPr>
          <w:rFonts w:ascii="仿宋_GB2312" w:hAnsi="仿宋_GB2312" w:eastAsia="仿宋_GB2312" w:cs="仿宋_GB2312"/>
          <w:sz w:val="32"/>
          <w:szCs w:val="32"/>
          <w:shd w:val="clear" w:color="auto" w:fill="FFFFFF"/>
        </w:rPr>
        <w:t>反映用于对个人和家庭的补助支出。</w:t>
      </w:r>
    </w:p>
    <w:p>
      <w:pPr>
        <w:adjustRightInd w:val="0"/>
        <w:snapToGrid w:val="0"/>
        <w:spacing w:line="560" w:lineRule="exact"/>
        <w:ind w:firstLine="640" w:firstLineChars="200"/>
        <w:rPr>
          <w:rFonts w:hint="default" w:ascii="仿宋_GB2312" w:hAnsi="仿宋_GB2312" w:eastAsia="仿宋_GB2312" w:cs="仿宋_GB2312"/>
          <w:sz w:val="32"/>
          <w:szCs w:val="32"/>
        </w:rPr>
      </w:pPr>
      <w:r>
        <w:rPr>
          <w:rFonts w:ascii="楷体_GB2312" w:hAnsi="楷体_GB2312" w:eastAsia="楷体_GB2312" w:cs="楷体_GB2312"/>
          <w:sz w:val="32"/>
          <w:szCs w:val="32"/>
        </w:rPr>
        <w:t>（十七）其他资本性支出（支出经济分类科目类级）：</w:t>
      </w:r>
      <w:r>
        <w:rPr>
          <w:rFonts w:ascii="仿宋_GB2312" w:hAnsi="仿宋_GB2312" w:eastAsia="仿宋_GB2312" w:cs="仿宋_GB2312"/>
          <w:sz w:val="32"/>
          <w:szCs w:val="32"/>
          <w:shd w:val="clear" w:color="auto" w:fill="FFFFFF"/>
        </w:rPr>
        <w:t>反映非各级发展与改革单位集中安排的用于购置固定资产、战略性和应急性储备、土地和无形资产，以及构建基础设施、大型修缮和财政支持企业更新改造所发生的支出。</w:t>
      </w:r>
    </w:p>
    <w:p>
      <w:pPr>
        <w:spacing w:line="560" w:lineRule="exact"/>
        <w:ind w:firstLine="640" w:firstLineChars="200"/>
        <w:rPr>
          <w:rFonts w:hint="default" w:ascii="仿宋_GB2312" w:hAnsi="仿宋_GB2312" w:eastAsia="仿宋_GB2312" w:cs="仿宋_GB2312"/>
          <w:sz w:val="32"/>
          <w:szCs w:val="32"/>
        </w:rPr>
      </w:pPr>
      <w:r>
        <w:rPr>
          <w:rFonts w:ascii="黑体" w:hAnsi="黑体" w:eastAsia="黑体" w:cs="黑体"/>
          <w:sz w:val="32"/>
          <w:szCs w:val="32"/>
        </w:rPr>
        <w:t>七、决算公开联系方式及信息反馈渠道</w:t>
      </w:r>
    </w:p>
    <w:p>
      <w:pPr>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本单位决算公开信息反馈和联系方式：</w:t>
      </w:r>
    </w:p>
    <w:p>
      <w:pPr>
        <w:spacing w:line="56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李坤学      023-70663031</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重庆市丰都县都督乡中心学校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1,353.97</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11.21</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1,218.40</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35.08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119.29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41.99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38.57</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16.66</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1,416.92</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1,434.92</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43.30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25.30</w:t>
            </w: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1,460.21</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1,460.21</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271" w:type="dxa"/>
        <w:tblInd w:w="0" w:type="dxa"/>
        <w:tblLayout w:type="fixed"/>
        <w:tblCellMar>
          <w:top w:w="0" w:type="dxa"/>
          <w:left w:w="0" w:type="dxa"/>
          <w:bottom w:w="0" w:type="dxa"/>
          <w:right w:w="0" w:type="dxa"/>
        </w:tblCellMar>
      </w:tblPr>
      <w:tblGrid>
        <w:gridCol w:w="1141"/>
        <w:gridCol w:w="3689"/>
        <w:gridCol w:w="1224"/>
        <w:gridCol w:w="1221"/>
        <w:gridCol w:w="1221"/>
        <w:gridCol w:w="1221"/>
        <w:gridCol w:w="1358"/>
        <w:gridCol w:w="1295"/>
        <w:gridCol w:w="1426"/>
        <w:gridCol w:w="1456"/>
        <w:gridCol w:w="19"/>
      </w:tblGrid>
      <w:tr>
        <w:tblPrEx>
          <w:tblCellMar>
            <w:top w:w="0" w:type="dxa"/>
            <w:left w:w="0" w:type="dxa"/>
            <w:bottom w:w="0" w:type="dxa"/>
            <w:right w:w="0" w:type="dxa"/>
          </w:tblCellMar>
        </w:tblPrEx>
        <w:trPr>
          <w:trHeight w:val="148" w:hRule="atLeast"/>
        </w:trPr>
        <w:tc>
          <w:tcPr>
            <w:tcW w:w="15271" w:type="dxa"/>
            <w:gridSpan w:val="11"/>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gridAfter w:val="1"/>
          <w:wAfter w:w="18" w:type="dxa"/>
          <w:trHeight w:val="75" w:hRule="atLeast"/>
        </w:trPr>
        <w:tc>
          <w:tcPr>
            <w:tcW w:w="605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重庆市丰都县都督乡中心学校</w:t>
            </w:r>
          </w:p>
        </w:tc>
        <w:tc>
          <w:tcPr>
            <w:tcW w:w="12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gridAfter w:val="1"/>
          <w:wAfter w:w="18" w:type="dxa"/>
          <w:trHeight w:val="75" w:hRule="atLeast"/>
        </w:trPr>
        <w:tc>
          <w:tcPr>
            <w:tcW w:w="605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gridAfter w:val="1"/>
          <w:wAfter w:w="18" w:type="dxa"/>
          <w:trHeight w:val="99" w:hRule="atLeast"/>
        </w:trPr>
        <w:tc>
          <w:tcPr>
            <w:tcW w:w="4831"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gridAfter w:val="1"/>
          <w:wAfter w:w="19" w:type="dxa"/>
          <w:trHeight w:val="326" w:hRule="atLeast"/>
        </w:trPr>
        <w:tc>
          <w:tcPr>
            <w:tcW w:w="114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8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5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gridAfter w:val="1"/>
          <w:wAfter w:w="19" w:type="dxa"/>
          <w:trHeight w:val="326" w:hRule="atLeast"/>
        </w:trPr>
        <w:tc>
          <w:tcPr>
            <w:tcW w:w="114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68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gridAfter w:val="1"/>
          <w:wAfter w:w="19" w:type="dxa"/>
          <w:trHeight w:val="326" w:hRule="atLeast"/>
        </w:trPr>
        <w:tc>
          <w:tcPr>
            <w:tcW w:w="114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68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gridAfter w:val="1"/>
          <w:wAfter w:w="19" w:type="dxa"/>
          <w:trHeight w:val="326" w:hRule="atLeast"/>
        </w:trPr>
        <w:tc>
          <w:tcPr>
            <w:tcW w:w="114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68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gridAfter w:val="1"/>
          <w:wAfter w:w="18" w:type="dxa"/>
          <w:trHeight w:val="77" w:hRule="atLeast"/>
        </w:trPr>
        <w:tc>
          <w:tcPr>
            <w:tcW w:w="483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1,416.92</w:t>
            </w:r>
            <w:r>
              <w:rPr>
                <w:b/>
                <w:color w:val="000000"/>
                <w:sz w:val="20"/>
              </w:rPr>
              <w:t xml:space="preserve"> </w:t>
            </w:r>
          </w:p>
        </w:tc>
        <w:tc>
          <w:tcPr>
            <w:tcW w:w="12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1,370.63</w:t>
            </w:r>
            <w:r>
              <w:rPr>
                <w:b/>
                <w:color w:val="000000"/>
                <w:sz w:val="20"/>
              </w:rPr>
              <w:t xml:space="preserve"> </w:t>
            </w:r>
          </w:p>
        </w:tc>
        <w:tc>
          <w:tcPr>
            <w:tcW w:w="12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11.21</w:t>
            </w:r>
            <w:r>
              <w:rPr>
                <w:b/>
                <w:color w:val="000000"/>
                <w:sz w:val="20"/>
              </w:rPr>
              <w:t xml:space="preserve"> </w:t>
            </w:r>
          </w:p>
        </w:tc>
        <w:tc>
          <w:tcPr>
            <w:tcW w:w="1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11.21</w:t>
            </w:r>
            <w:r>
              <w:rPr>
                <w:b/>
                <w:color w:val="000000"/>
                <w:sz w:val="20"/>
              </w:rPr>
              <w:t xml:space="preserve"> </w:t>
            </w:r>
          </w:p>
        </w:tc>
        <w:tc>
          <w:tcPr>
            <w:tcW w:w="12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35.08</w:t>
            </w:r>
            <w:r>
              <w:rPr>
                <w:b/>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1,200.40</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1,154.12</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11.21</w:t>
            </w:r>
            <w:r>
              <w:rPr>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11.21</w:t>
            </w:r>
            <w:r>
              <w:rPr>
                <w:b/>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1,200.40</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1,154.12</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11.21</w:t>
            </w:r>
            <w:r>
              <w:rPr>
                <w:b/>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11.21</w:t>
            </w:r>
            <w:r>
              <w:rPr>
                <w:b/>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35.08</w:t>
            </w:r>
            <w:r>
              <w:rPr>
                <w:b/>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6.97</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1,193.43</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1,147.15</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11.21</w:t>
            </w: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11.21</w:t>
            </w: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35.08</w:t>
            </w:r>
            <w:r>
              <w:rPr>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119.29</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119.29</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119.29</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119.29</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51.51</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51.51</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47.60</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47.60</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20.18</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20.18</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41.99</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41.99</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41.99</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41.99</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25.75</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25.75</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16.24</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16.24</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38.57</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38.57</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38.57</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38.57</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38.57</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38.57</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16.66</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16.66</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16.66</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16.66</w:t>
            </w:r>
            <w:r>
              <w:rPr>
                <w:b/>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gridAfter w:val="1"/>
          <w:wAfter w:w="19" w:type="dxa"/>
          <w:trHeight w:val="80" w:hRule="atLeast"/>
        </w:trPr>
        <w:tc>
          <w:tcPr>
            <w:tcW w:w="114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16.66</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16.66</w:t>
            </w: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重庆市丰都县都督乡中心学校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1,434.92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1,168.17</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266.74</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1,218.40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968.32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1,218.40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968.32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4.62</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1,210.50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965.04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245.46</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119.29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51.51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51.51</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25.75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38.57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38.57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38.57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16.66</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16.66</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用于教育事业的彩票公益金支出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16.66</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重庆市丰都县都督乡中心学校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1,353.97</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1,174.14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1,174.14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119.29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119.29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41.99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41.99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16.66</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1,370.63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1,390.65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1,373.99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16.66</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1,390.65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1,390.65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1,373.99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16.66</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重庆市丰都县都督乡中心学校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1,373.99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1,123.91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250.08</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1,174.14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924.05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250.08</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1,174.14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924.05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250.08</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4.62</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1,166.24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920.78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245.46</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119.29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119.29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119.29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119.29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51.51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51.51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47.60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47.60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25.75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25.75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38.57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38.57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38.57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38.57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38.57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38.57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重庆市丰都县都督乡中心学校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bookmarkStart w:id="0" w:name="_GoBack"/>
            <w:bookmarkEnd w:id="0"/>
            <w:r>
              <w:rPr>
                <w:rFonts w:cs="宋体"/>
                <w:b/>
                <w:color w:val="000000"/>
                <w:sz w:val="18"/>
                <w:szCs w:val="18"/>
              </w:rPr>
              <w:t>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1,008.97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87.54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w:t>
            </w: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213.68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w:t>
            </w: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499.43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52.56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40.74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64.35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1,033.59</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90.32</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重庆市丰都县都督乡中心学校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16.66</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16.66</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16.66</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16.66</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16.66</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16.66</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16.66</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16.66</w:t>
            </w: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16.66</w:t>
            </w: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2296004</w:t>
            </w:r>
          </w:p>
        </w:tc>
        <w:tc>
          <w:tcPr>
            <w:tcW w:w="30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用于教育事业的彩票公益金支出</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16.66</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16.66</w:t>
            </w:r>
            <w:r>
              <w:rPr>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16.66</w:t>
            </w:r>
            <w:r>
              <w:rPr>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重庆市丰都县都督乡中心学校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重庆市丰都县都督乡中心学校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8.36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0"/>
          <w:szCs w:val="20"/>
        </w:rPr>
      </w:pPr>
    </w:p>
    <w:p>
      <w:pPr>
        <w:rPr>
          <w:rFonts w:hint="default"/>
        </w:rPr>
      </w:pPr>
      <w:r>
        <w:drawing>
          <wp:inline distT="0" distB="0" distL="114300" distR="114300">
            <wp:extent cx="9737725" cy="5433060"/>
            <wp:effectExtent l="0" t="0" r="15875"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9737725" cy="543306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6127115"/>
            <wp:effectExtent l="0" t="0" r="1587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9737725" cy="612711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9737725" cy="5201920"/>
            <wp:effectExtent l="0" t="0" r="15875"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6127115"/>
            <wp:effectExtent l="0" t="0" r="15875"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9737725" cy="6127115"/>
                    </a:xfrm>
                    <a:prstGeom prst="rect">
                      <a:avLst/>
                    </a:prstGeom>
                    <a:noFill/>
                    <a:ln>
                      <a:noFill/>
                    </a:ln>
                  </pic:spPr>
                </pic:pic>
              </a:graphicData>
            </a:graphic>
          </wp:inline>
        </w:drawing>
      </w:r>
    </w:p>
    <w:p>
      <w:pPr>
        <w:rPr>
          <w:rFonts w:hint="default"/>
        </w:rPr>
      </w:pPr>
    </w:p>
    <w:p>
      <w:pPr>
        <w:rPr>
          <w:rFonts w:hint="default"/>
        </w:rPr>
      </w:pPr>
    </w:p>
    <w:p>
      <w:pPr>
        <w:rPr>
          <w:rFonts w:hint="default"/>
        </w:rPr>
      </w:pPr>
      <w:r>
        <w:drawing>
          <wp:inline distT="0" distB="0" distL="114300" distR="114300">
            <wp:extent cx="9737725" cy="5201920"/>
            <wp:effectExtent l="0" t="0" r="15875" b="177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9"/>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6127115"/>
            <wp:effectExtent l="0" t="0" r="15875"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1"/>
                    <a:stretch>
                      <a:fillRect/>
                    </a:stretch>
                  </pic:blipFill>
                  <pic:spPr>
                    <a:xfrm>
                      <a:off x="0" y="0"/>
                      <a:ext cx="9737725" cy="612711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9737725" cy="6127115"/>
            <wp:effectExtent l="0" t="0" r="15875" b="698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2"/>
                    <a:stretch>
                      <a:fillRect/>
                    </a:stretch>
                  </pic:blipFill>
                  <pic:spPr>
                    <a:xfrm>
                      <a:off x="0" y="0"/>
                      <a:ext cx="9737725" cy="612711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9737725" cy="6127115"/>
            <wp:effectExtent l="0" t="0" r="15875" b="698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3"/>
                    <a:stretch>
                      <a:fillRect/>
                    </a:stretch>
                  </pic:blipFill>
                  <pic:spPr>
                    <a:xfrm>
                      <a:off x="0" y="0"/>
                      <a:ext cx="9737725" cy="612711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9737725" cy="5664200"/>
            <wp:effectExtent l="0" t="0" r="15875" b="1270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4"/>
                    <a:stretch>
                      <a:fillRect/>
                    </a:stretch>
                  </pic:blipFill>
                  <pic:spPr>
                    <a:xfrm>
                      <a:off x="0" y="0"/>
                      <a:ext cx="9737725" cy="566420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cs="宋体"/>
          <w:sz w:val="21"/>
          <w:szCs w:val="21"/>
        </w:rPr>
      </w:pPr>
      <w:r>
        <w:drawing>
          <wp:inline distT="0" distB="0" distL="114300" distR="114300">
            <wp:extent cx="9737725" cy="6127115"/>
            <wp:effectExtent l="0" t="0" r="15875" b="698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5"/>
                    <a:stretch>
                      <a:fillRect/>
                    </a:stretch>
                  </pic:blipFill>
                  <pic:spPr>
                    <a:xfrm>
                      <a:off x="0" y="0"/>
                      <a:ext cx="9737725" cy="6127115"/>
                    </a:xfrm>
                    <a:prstGeom prst="rect">
                      <a:avLst/>
                    </a:prstGeom>
                    <a:noFill/>
                    <a:ln>
                      <a:noFill/>
                    </a:ln>
                  </pic:spPr>
                </pic:pic>
              </a:graphicData>
            </a:graphic>
          </wp:inline>
        </w:drawing>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E7848"/>
    <w:multiLevelType w:val="singleLevel"/>
    <w:tmpl w:val="9A1E7848"/>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5ZjA4MmFkODMzZWExNmM3NDA4MGM4MjBiMzVjMTgifQ=="/>
    <w:docVar w:name="KSO_WPS_MARK_KEY" w:val="a0fb3fa4-95bc-41ac-955f-147f4d0d8fc1"/>
  </w:docVars>
  <w:rsids>
    <w:rsidRoot w:val="00B03CCD"/>
    <w:rsid w:val="001D3BB7"/>
    <w:rsid w:val="002B254B"/>
    <w:rsid w:val="00336A82"/>
    <w:rsid w:val="00466C9B"/>
    <w:rsid w:val="00550ABE"/>
    <w:rsid w:val="00770383"/>
    <w:rsid w:val="007819D4"/>
    <w:rsid w:val="007B419D"/>
    <w:rsid w:val="007B7C4B"/>
    <w:rsid w:val="007D3D39"/>
    <w:rsid w:val="00994AF7"/>
    <w:rsid w:val="009B67B8"/>
    <w:rsid w:val="009D2B67"/>
    <w:rsid w:val="00A566F9"/>
    <w:rsid w:val="00AF2751"/>
    <w:rsid w:val="00B03CCD"/>
    <w:rsid w:val="00B6476B"/>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D356E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A00551"/>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497DD0"/>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DED623D"/>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543EA"/>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30746C"/>
    <w:rsid w:val="7D7406BB"/>
    <w:rsid w:val="7DCE5C06"/>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8492</Words>
  <Characters>10683</Characters>
  <Lines>97</Lines>
  <Paragraphs>27</Paragraphs>
  <TotalTime>13</TotalTime>
  <ScaleCrop>false</ScaleCrop>
  <LinksUpToDate>false</LinksUpToDate>
  <CharactersWithSpaces>11778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2024-09-27T07:54:13Z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ies>
</file>