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丰都县中小学教师发展中心</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pPr>
        <w:pStyle w:val="9"/>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9"/>
        <w:shd w:val="clear" w:color="auto" w:fill="FFFFFF"/>
        <w:ind w:firstLine="739" w:firstLineChars="231"/>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宗旨</w:t>
      </w:r>
      <w:r>
        <w:rPr>
          <w:rFonts w:hint="default" w:ascii="方正仿宋_GBK" w:hAnsi="方正仿宋_GBK" w:eastAsia="方正仿宋_GBK" w:cs="方正仿宋_GBK"/>
          <w:sz w:val="32"/>
          <w:szCs w:val="32"/>
          <w:shd w:val="clear" w:color="auto" w:fill="FFFFFF"/>
        </w:rPr>
        <w:t>:促进教师干部专业发展,提高基础教育教学质量。</w:t>
      </w:r>
    </w:p>
    <w:p>
      <w:pPr>
        <w:pStyle w:val="9"/>
        <w:shd w:val="clear" w:color="auto" w:fill="FFFFFF"/>
        <w:ind w:firstLine="739" w:firstLineChars="231"/>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主要职责任务</w:t>
      </w:r>
      <w:r>
        <w:rPr>
          <w:rFonts w:hint="default" w:ascii="方正仿宋_GBK" w:hAnsi="方正仿宋_GBK" w:eastAsia="方正仿宋_GBK" w:cs="方正仿宋_GBK"/>
          <w:sz w:val="32"/>
          <w:szCs w:val="32"/>
          <w:shd w:val="clear" w:color="auto" w:fill="FFFFFF"/>
        </w:rPr>
        <w:t>:贯彻落实中市县教育行政部门教师继续教育、教育教学研究等政策法规,研制实施中小学、幼儿园及职教机构教师继续教育、教学研究与学科教学信息化、电大成人本专科学历教育等中长期规划和年度计划,为丰都教育持续发展提供智力支持。</w:t>
      </w:r>
    </w:p>
    <w:p>
      <w:pPr>
        <w:pStyle w:val="9"/>
        <w:shd w:val="clear" w:color="auto" w:fill="FFFFFF"/>
        <w:ind w:firstLine="736" w:firstLineChars="23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具体职责任务</w:t>
      </w:r>
      <w:r>
        <w:rPr>
          <w:rFonts w:hint="default" w:ascii="方正仿宋_GBK" w:hAnsi="方正仿宋_GBK" w:eastAsia="方正仿宋_GBK" w:cs="方正仿宋_GBK"/>
          <w:sz w:val="32"/>
          <w:szCs w:val="32"/>
          <w:shd w:val="clear" w:color="auto" w:fill="FFFFFF"/>
        </w:rPr>
        <w:t>:</w:t>
      </w:r>
    </w:p>
    <w:p>
      <w:pPr>
        <w:pStyle w:val="9"/>
        <w:shd w:val="clear" w:color="auto" w:fill="FFFFFF"/>
        <w:ind w:firstLine="739" w:firstLineChars="231"/>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1.承担中市县教育行政部门有关中小学、幼儿园及职教机构教师干部继续教育任务,组织实施教师干部继续教育工作,开展新教师入职资格培训、新干部任职资格培训,促进教师干部专业发展。</w:t>
      </w:r>
    </w:p>
    <w:p>
      <w:pPr>
        <w:pStyle w:val="9"/>
        <w:shd w:val="clear" w:color="auto" w:fill="FFFFFF"/>
        <w:ind w:firstLine="739" w:firstLineChars="231"/>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承担中市县教育行政部门有关中小学、幼儿园及职教机构课程建设与管理、教育教学研究与服务,组织实施课程改革管理与研究、学科教师培训与指导、学校教学管理与研究,开展学校教育教学质量监测、研究与指导,实现教育教学政策、理论与技术向学校和教师实践转化,提高教育教学质量效益。</w:t>
      </w:r>
    </w:p>
    <w:p>
      <w:pPr>
        <w:pStyle w:val="9"/>
        <w:shd w:val="clear" w:color="auto" w:fill="FFFFFF"/>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3.承担中市县教育行政部门有关中小学、幼儿园及职教机构教师干部信息技术应用能力提升、教学资源信息化与学校管理信息化支持平台管理等任务,负责电大成人本专科学历教育等工作</w:t>
      </w:r>
    </w:p>
    <w:p>
      <w:pPr>
        <w:pStyle w:val="9"/>
        <w:shd w:val="clear" w:color="auto" w:fill="FFFFFF"/>
        <w:ind w:firstLine="42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以上具体职责任务属基本公益服务。</w:t>
      </w:r>
    </w:p>
    <w:p>
      <w:pPr>
        <w:pStyle w:val="9"/>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根据以上职责任务</w:t>
      </w:r>
      <w:r>
        <w:rPr>
          <w:rFonts w:hint="default" w:ascii="方正仿宋_GBK" w:hAnsi="方正仿宋_GBK" w:eastAsia="方正仿宋_GBK" w:cs="方正仿宋_GBK"/>
          <w:sz w:val="32"/>
          <w:szCs w:val="32"/>
          <w:shd w:val="clear" w:color="auto" w:fill="FFFFFF"/>
        </w:rPr>
        <w:t>,设办公室、教育培训处、教育科研处、电大与网络教育处、总务处5个内设机构。</w:t>
      </w:r>
    </w:p>
    <w:p>
      <w:pPr>
        <w:pStyle w:val="9"/>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1.办公室。负责上传下达、政务公开、新闻发布等日常工作,按照规定办理来文来电收发、登记、传递、督办、建档、存查及机要、保密、档案等事务,组织中心会议、起草修改文件报告以及完成领导安排的其他工作等。</w:t>
      </w:r>
    </w:p>
    <w:p>
      <w:pPr>
        <w:pStyle w:val="9"/>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教育培训处。负责组织实施教师干部继续教育“国培计划”、“市培计划”及县级培训计划项目,管理、指导、研究、考核镇乡街道和学校教师干部继续教育工作,开展新入职教师和新任职干部岗前培训、教师资格培训及相关教师资格审核认证颁证工作等。</w:t>
      </w:r>
    </w:p>
    <w:p>
      <w:pPr>
        <w:pStyle w:val="9"/>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3.教育科研处。负责组织实施中小学教育、幼儿教育及职业教育课程改革与研究、德育与学科教学研究,管理、指导学校教学与教研、教学质量监测,管理、指导、研究、考核中小学、幼儿园等县级学科“教师工作坊”及学科教学信息化应用推广,组织、指导中小学音乐、体育、美术、信息技术、通用技术、综合实践、心理健康教育与咨询辅导、国家通用语言文字推广等活动,组织开展中小学生劳动教育、生涯规划教育、职业技术教育,组织和管理国家、市级、县级教育科研课题研究及县教育学会与学科专业委员会工作等。</w:t>
      </w:r>
    </w:p>
    <w:p>
      <w:pPr>
        <w:pStyle w:val="9"/>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4.电大与网络教育处。负责中小学幼儿园教师干部网络教育与信息技术应用能力提升培训研修与测评考试,组织管理学科教学资源信息化与学校管理信息化支持平台,负责实施电大成人本专科学历教育。</w:t>
      </w:r>
    </w:p>
    <w:p>
      <w:pPr>
        <w:pStyle w:val="9"/>
        <w:shd w:val="clear" w:color="auto" w:fill="FFFFFF"/>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shd w:val="clear" w:color="auto" w:fill="FFFFFF"/>
        </w:rPr>
        <w:t>5.总务处。负责中小学幼儿园教育教学研究与教师干部继续教育培训等方面经费的使用管理、校舍场地与设施设备等固定资产的维护维修、安全保卫及其他后勤服务工作等。</w:t>
      </w:r>
    </w:p>
    <w:p>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2442.59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收、支与2023年度相比，减少70.26万元，下降2.8%</w:t>
      </w:r>
      <w:r>
        <w:rPr>
          <w:rFonts w:ascii="方正仿宋_GBK" w:hAnsi="方正仿宋_GBK" w:eastAsia="方正仿宋_GBK" w:cs="方正仿宋_GBK"/>
          <w:sz w:val="32"/>
          <w:szCs w:val="32"/>
          <w:shd w:val="clear" w:color="auto" w:fill="FFFFFF"/>
        </w:rPr>
        <w:t>，主要原因是本年度县级培训费减少，电大学员招生人数减少、学费收入减少，单位日常办公业务费支出减少。</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2178.25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与2023年度相比，增加33.47万元，增长1.6%</w:t>
      </w:r>
      <w:r>
        <w:rPr>
          <w:rFonts w:ascii="方正仿宋_GBK" w:hAnsi="方正仿宋_GBK" w:eastAsia="方正仿宋_GBK" w:cs="方正仿宋_GBK"/>
          <w:sz w:val="32"/>
          <w:szCs w:val="32"/>
          <w:shd w:val="clear" w:color="auto" w:fill="FFFFFF"/>
        </w:rPr>
        <w:t>，主要原因是年中增加导学案及人员经费追加增加。其中：财政拨款收入</w:t>
      </w:r>
      <w:r>
        <w:rPr>
          <w:rFonts w:hint="default" w:ascii="Times New Roman" w:hAnsi="Times New Roman" w:eastAsia="方正仿宋_GBK"/>
          <w:sz w:val="32"/>
          <w:szCs w:val="32"/>
          <w:shd w:val="clear" w:color="auto" w:fill="FFFFFF"/>
        </w:rPr>
        <w:t>2004.14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92.0%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174.11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264.34</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2221.48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与2023年度相比，减少27.03万元，下降1.2%</w:t>
      </w:r>
      <w:r>
        <w:rPr>
          <w:rFonts w:ascii="方正仿宋_GBK" w:hAnsi="方正仿宋_GBK" w:eastAsia="方正仿宋_GBK" w:cs="方正仿宋_GBK"/>
          <w:sz w:val="32"/>
          <w:szCs w:val="32"/>
          <w:shd w:val="clear" w:color="auto" w:fill="FFFFFF"/>
        </w:rPr>
        <w:t>，主要原因是事业收入及培训经费支出减少。其中：基本支出</w:t>
      </w:r>
      <w:r>
        <w:rPr>
          <w:rFonts w:hint="default" w:ascii="Times New Roman" w:hAnsi="Times New Roman" w:eastAsia="方正仿宋_GBK"/>
          <w:sz w:val="32"/>
          <w:szCs w:val="32"/>
          <w:shd w:val="clear" w:color="auto" w:fill="FFFFFF"/>
        </w:rPr>
        <w:t>1835.70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82.6%</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385.78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17.4%</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221.11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与2023年度相比，减少43.23万元，下降16.4%</w:t>
      </w:r>
      <w:r>
        <w:rPr>
          <w:rFonts w:ascii="方正仿宋_GBK" w:hAnsi="方正仿宋_GBK" w:eastAsia="方正仿宋_GBK" w:cs="方正仿宋_GBK"/>
          <w:sz w:val="32"/>
          <w:szCs w:val="32"/>
          <w:shd w:val="clear" w:color="auto" w:fill="FFFFFF"/>
        </w:rPr>
        <w:t>，主要原因是电大事业收入结转支出降低</w:t>
      </w:r>
      <w:bookmarkStart w:id="0" w:name="_GoBack"/>
      <w:bookmarkEnd w:id="0"/>
      <w:r>
        <w:rPr>
          <w:rFonts w:ascii="方正仿宋_GBK" w:hAnsi="方正仿宋_GBK" w:eastAsia="方正仿宋_GBK" w:cs="方正仿宋_GBK"/>
          <w:sz w:val="32"/>
          <w:szCs w:val="32"/>
          <w:shd w:val="clear" w:color="auto" w:fill="FFFFFF"/>
        </w:rPr>
        <w:t>。</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2004.14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财政拨款收、支总计各增加62.80万元，增长3.2%</w:t>
      </w:r>
      <w:r>
        <w:rPr>
          <w:rFonts w:ascii="方正仿宋_GBK" w:hAnsi="方正仿宋_GBK" w:eastAsia="方正仿宋_GBK" w:cs="方正仿宋_GBK"/>
          <w:sz w:val="32"/>
          <w:szCs w:val="32"/>
          <w:shd w:val="clear" w:color="auto" w:fill="FFFFFF"/>
        </w:rPr>
        <w:t>。主要原因是年中增加导学案，人员变动增加，调资晋级和社保费增加。</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2004.14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与2023年度相比，增加65.44万元，增长3.4%</w:t>
      </w:r>
      <w:r>
        <w:rPr>
          <w:rFonts w:ascii="方正仿宋_GBK" w:hAnsi="方正仿宋_GBK" w:eastAsia="方正仿宋_GBK" w:cs="方正仿宋_GBK"/>
          <w:sz w:val="32"/>
          <w:szCs w:val="32"/>
          <w:shd w:val="clear" w:color="auto" w:fill="FFFFFF"/>
        </w:rPr>
        <w:t>。主要原因是年中增加导学案，人员变动增加，调资晋级和社保费增加。</w:t>
      </w:r>
      <w:r>
        <w:rPr>
          <w:rFonts w:hint="default" w:ascii="Times New Roman" w:hAnsi="Times New Roman" w:eastAsia="方正仿宋_GBK"/>
          <w:sz w:val="32"/>
          <w:szCs w:val="32"/>
          <w:shd w:val="clear" w:color="auto" w:fill="FFFFFF"/>
        </w:rPr>
        <w:t>较年初预算数增加590.54万元，增长41.8%</w:t>
      </w:r>
      <w:r>
        <w:rPr>
          <w:rFonts w:ascii="方正仿宋_GBK" w:hAnsi="方正仿宋_GBK" w:eastAsia="方正仿宋_GBK" w:cs="方正仿宋_GBK"/>
          <w:sz w:val="32"/>
          <w:szCs w:val="32"/>
          <w:shd w:val="clear" w:color="auto" w:fill="FFFFFF"/>
        </w:rPr>
        <w:t>。主要原因是年中增加导学案，人员变动增加，调资晋级和社保费增加。此外，年初财政拨款结转和结余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2004.14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与2023年度相比，增加62.80万元，增长3.2%</w:t>
      </w:r>
      <w:r>
        <w:rPr>
          <w:rFonts w:ascii="方正仿宋_GBK" w:hAnsi="方正仿宋_GBK" w:eastAsia="方正仿宋_GBK" w:cs="方正仿宋_GBK"/>
          <w:sz w:val="32"/>
          <w:szCs w:val="32"/>
          <w:shd w:val="clear" w:color="auto" w:fill="FFFFFF"/>
        </w:rPr>
        <w:t>。主要原因是年中增加导学案，人员变动增加，调资晋级和社保费增加。</w:t>
      </w:r>
      <w:r>
        <w:rPr>
          <w:rFonts w:hint="default" w:ascii="Times New Roman" w:hAnsi="Times New Roman" w:eastAsia="方正仿宋_GBK"/>
          <w:sz w:val="32"/>
          <w:szCs w:val="32"/>
          <w:shd w:val="clear" w:color="auto" w:fill="FFFFFF"/>
        </w:rPr>
        <w:t>较年初预算数增加590.54万元，增长41.8%</w:t>
      </w:r>
      <w:r>
        <w:rPr>
          <w:rFonts w:ascii="方正仿宋_GBK" w:hAnsi="方正仿宋_GBK" w:eastAsia="方正仿宋_GBK" w:cs="方正仿宋_GBK"/>
          <w:sz w:val="32"/>
          <w:szCs w:val="32"/>
          <w:shd w:val="clear" w:color="auto" w:fill="FFFFFF"/>
        </w:rPr>
        <w:t>。主要原因是年中增加导学案，人员变动增加，调资晋级和社保费增加。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1510.63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较年初预算数增加486.44万元，增长47.5%</w:t>
      </w:r>
      <w:r>
        <w:rPr>
          <w:rFonts w:ascii="方正仿宋_GBK" w:hAnsi="方正仿宋_GBK" w:eastAsia="方正仿宋_GBK" w:cs="方正仿宋_GBK"/>
          <w:sz w:val="32"/>
          <w:szCs w:val="32"/>
          <w:shd w:val="clear" w:color="auto" w:fill="FFFFFF"/>
        </w:rPr>
        <w:t>，主要原因是年中增加导学案，人员变动增加，调资晋级和社保费增加。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354.83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较年初预算数增加105.68万元，增长42.4%</w:t>
      </w:r>
      <w:r>
        <w:rPr>
          <w:rFonts w:ascii="方正仿宋_GBK" w:hAnsi="方正仿宋_GBK" w:eastAsia="方正仿宋_GBK" w:cs="方正仿宋_GBK"/>
          <w:sz w:val="32"/>
          <w:szCs w:val="32"/>
          <w:shd w:val="clear" w:color="auto" w:fill="FFFFFF"/>
        </w:rPr>
        <w:t>，主要原因是人员变动增加，调资晋级和社保费增加。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74.58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较年初预算数减少0.73万元，下降1.0%</w:t>
      </w:r>
      <w:r>
        <w:rPr>
          <w:rFonts w:ascii="方正仿宋_GBK" w:hAnsi="方正仿宋_GBK" w:eastAsia="方正仿宋_GBK" w:cs="方正仿宋_GBK"/>
          <w:sz w:val="32"/>
          <w:szCs w:val="32"/>
          <w:shd w:val="clear" w:color="auto" w:fill="FFFFFF"/>
        </w:rPr>
        <w:t>，主要原因是人员变动增加，调资晋级和社保费增加。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64.10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较年初预算数减少0.85万元，下降1.3%</w:t>
      </w:r>
      <w:r>
        <w:rPr>
          <w:rFonts w:ascii="方正仿宋_GBK" w:hAnsi="方正仿宋_GBK" w:eastAsia="方正仿宋_GBK" w:cs="方正仿宋_GBK"/>
          <w:sz w:val="32"/>
          <w:szCs w:val="32"/>
          <w:shd w:val="clear" w:color="auto" w:fill="FFFFFF"/>
        </w:rPr>
        <w:t>，主要原因是人员变动增加，调资晋级和社保费增加。</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hint="default" w:ascii="Times New Roman" w:hAnsi="Times New Roman" w:eastAsia="方正仿宋_GBK"/>
          <w:sz w:val="32"/>
          <w:szCs w:val="32"/>
          <w:shd w:val="clear" w:color="auto" w:fill="FFFFFF"/>
        </w:rPr>
        <w:t>1618.36</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1450.84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与2023年度相比，减少13.20万元，下降0.9%</w:t>
      </w:r>
      <w:r>
        <w:rPr>
          <w:rFonts w:ascii="方正仿宋_GBK" w:hAnsi="方正仿宋_GBK" w:eastAsia="方正仿宋_GBK" w:cs="方正仿宋_GBK"/>
          <w:sz w:val="32"/>
          <w:szCs w:val="32"/>
          <w:shd w:val="clear" w:color="auto" w:fill="FFFFFF"/>
        </w:rPr>
        <w:t>，主要原因是人员退休调出减少。人员经费用途主要包括基本工资、津贴补贴、绩效、社会保障缴费、住房公积金等支出。</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167.51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与2023年度相比，增加24.75万元，增长17.3%</w:t>
      </w:r>
      <w:r>
        <w:rPr>
          <w:rFonts w:ascii="方正仿宋_GBK" w:hAnsi="方正仿宋_GBK" w:eastAsia="方正仿宋_GBK" w:cs="方正仿宋_GBK"/>
          <w:sz w:val="32"/>
          <w:szCs w:val="32"/>
          <w:shd w:val="clear" w:color="auto" w:fill="FFFFFF"/>
        </w:rPr>
        <w:t>，主要原因是年中增加导学案经费增加支出。公用经费用途主要包括办公费、邮电费、工会会员活动费、水费、电费、差旅费、培训费、维修维护费、公务用车维护等支出。</w:t>
      </w:r>
    </w:p>
    <w:p>
      <w:pPr>
        <w:pStyle w:val="9"/>
        <w:snapToGrid w:val="0"/>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3.00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较年初预算数减少2.00万元，下降40.0%</w:t>
      </w:r>
      <w:r>
        <w:rPr>
          <w:rFonts w:ascii="方正仿宋_GBK" w:hAnsi="方正仿宋_GBK" w:eastAsia="方正仿宋_GBK" w:cs="方正仿宋_GBK"/>
          <w:sz w:val="32"/>
          <w:szCs w:val="32"/>
          <w:shd w:val="clear" w:color="auto" w:fill="FFFFFF"/>
        </w:rPr>
        <w:t>，主要原因是年初预算公务接待费</w:t>
      </w:r>
      <w:r>
        <w:rPr>
          <w:rFonts w:hint="default" w:ascii="Times New Roman" w:hAnsi="Times New Roman" w:eastAsia="方正仿宋_GBK"/>
          <w:sz w:val="32"/>
          <w:szCs w:val="32"/>
          <w:shd w:val="clear" w:color="auto" w:fill="FFFFFF"/>
        </w:rPr>
        <w:t>2.00万元</w:t>
      </w:r>
      <w:r>
        <w:rPr>
          <w:rFonts w:ascii="方正仿宋_GBK" w:hAnsi="方正仿宋_GBK" w:eastAsia="方正仿宋_GBK" w:cs="方正仿宋_GBK"/>
          <w:sz w:val="32"/>
          <w:szCs w:val="32"/>
          <w:shd w:val="clear" w:color="auto" w:fill="FFFFFF"/>
        </w:rPr>
        <w:t>未列支。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rPr>
        <w:t xml:space="preserve"> </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3.00</w:t>
      </w:r>
      <w:r>
        <w:rPr>
          <w:rFonts w:ascii="方正仿宋_GBK" w:hAnsi="方正仿宋_GBK" w:eastAsia="方正仿宋_GBK" w:cs="方正仿宋_GBK"/>
          <w:sz w:val="32"/>
          <w:szCs w:val="32"/>
          <w:shd w:val="clear" w:color="auto" w:fill="FFFFFF"/>
        </w:rPr>
        <w:t>万元，主要用于单位公务车保险、维修、油费、过路过桥费用支出。费用支出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较年初预算数减少2.00万元，下降100.0%</w:t>
      </w:r>
      <w:r>
        <w:rPr>
          <w:rFonts w:ascii="方正仿宋_GBK" w:hAnsi="方正仿宋_GBK" w:eastAsia="方正仿宋_GBK" w:cs="方正仿宋_GBK"/>
          <w:sz w:val="32"/>
          <w:szCs w:val="32"/>
          <w:shd w:val="clear" w:color="auto" w:fill="FFFFFF"/>
        </w:rPr>
        <w:t>，主要原因是年初预算公务接待费</w:t>
      </w:r>
      <w:r>
        <w:rPr>
          <w:rFonts w:hint="default" w:ascii="Times New Roman" w:hAnsi="Times New Roman" w:eastAsia="方正仿宋_GBK"/>
          <w:sz w:val="32"/>
          <w:szCs w:val="32"/>
          <w:shd w:val="clear" w:color="auto" w:fill="FFFFFF"/>
        </w:rPr>
        <w:t>2.00万元</w:t>
      </w:r>
      <w:r>
        <w:rPr>
          <w:rFonts w:ascii="方正仿宋_GBK" w:hAnsi="方正仿宋_GBK" w:eastAsia="方正仿宋_GBK" w:cs="方正仿宋_GBK"/>
          <w:sz w:val="32"/>
          <w:szCs w:val="32"/>
          <w:shd w:val="clear" w:color="auto" w:fill="FFFFFF"/>
        </w:rPr>
        <w:t>未列支。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3.00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314.01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与2023年度相比，增加11.24万元，增长3.7%</w:t>
      </w:r>
      <w:r>
        <w:rPr>
          <w:rFonts w:ascii="方正仿宋_GBK" w:hAnsi="方正仿宋_GBK" w:eastAsia="方正仿宋_GBK" w:cs="方正仿宋_GBK"/>
          <w:sz w:val="32"/>
          <w:szCs w:val="32"/>
          <w:shd w:val="clear" w:color="auto" w:fill="FFFFFF"/>
        </w:rPr>
        <w:t>，主要原因是县级教师培训项目增加。本年度差旅费支出</w:t>
      </w:r>
      <w:r>
        <w:rPr>
          <w:rFonts w:hint="default" w:ascii="Times New Roman" w:hAnsi="Times New Roman" w:eastAsia="方正仿宋_GBK"/>
          <w:sz w:val="32"/>
          <w:szCs w:val="32"/>
          <w:shd w:val="clear" w:color="auto" w:fill="FFFFFF"/>
        </w:rPr>
        <w:t>16.25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与2023年度相比，减少6.85万元，下降29.7%</w:t>
      </w:r>
      <w:r>
        <w:rPr>
          <w:rFonts w:ascii="方正仿宋_GBK" w:hAnsi="方正仿宋_GBK" w:eastAsia="方正仿宋_GBK" w:cs="方正仿宋_GBK"/>
          <w:sz w:val="32"/>
          <w:szCs w:val="32"/>
          <w:shd w:val="clear" w:color="auto" w:fill="FFFFFF"/>
        </w:rPr>
        <w:t>，主要原因是严格执行财政差旅报销规定。</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不在机关运行经费统计范围之内。</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28.22</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28.22</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0.0 %</w:t>
      </w:r>
      <w:r>
        <w:rPr>
          <w:rFonts w:ascii="方正仿宋_GBK" w:hAnsi="方正仿宋_GBK" w:eastAsia="方正仿宋_GBK" w:cs="方正仿宋_GBK"/>
          <w:sz w:val="32"/>
          <w:szCs w:val="32"/>
          <w:shd w:val="clear" w:color="auto" w:fill="FFFFFF"/>
        </w:rPr>
        <w:t>。主要用于采购电大学生电脑56台。</w:t>
      </w:r>
    </w:p>
    <w:p>
      <w:pPr>
        <w:pStyle w:val="9"/>
        <w:snapToGrid w:val="0"/>
        <w:spacing w:before="0" w:beforeAutospacing="0" w:after="0" w:afterAutospacing="0" w:line="596" w:lineRule="exact"/>
        <w:ind w:firstLine="1280" w:firstLineChars="400"/>
        <w:jc w:val="both"/>
        <w:rPr>
          <w:rFonts w:hint="default" w:ascii="方正仿宋_GBK" w:hAnsi="方正仿宋_GBK" w:eastAsia="方正仿宋_GBK" w:cs="方正仿宋_GBK"/>
          <w:color w:val="FF0000"/>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9"/>
        <w:shd w:val="clear" w:color="auto" w:fill="FFFFFF"/>
        <w:spacing w:before="0" w:beforeAutospacing="0" w:after="0" w:afterAutospacing="0" w:line="560" w:lineRule="exact"/>
        <w:ind w:firstLine="640" w:firstLineChars="200"/>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val="en-US" w:eastAsia="zh-CN"/>
        </w:rPr>
        <w:t>5</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125.04</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val="en-US" w:eastAsia="zh-CN"/>
        </w:rPr>
        <w:t>。</w:t>
      </w:r>
      <w:r>
        <w:rPr>
          <w:rFonts w:ascii="仿宋_GB2312" w:hAnsi="仿宋_GB2312" w:eastAsia="仿宋_GB2312" w:cs="仿宋_GB2312"/>
          <w:kern w:val="2"/>
          <w:sz w:val="32"/>
          <w:szCs w:val="32"/>
        </w:rPr>
        <w:t>从评价情况来看，项目立项较为规范，绩效目标明确，预算编制合理，管理科学规范，资金到位及时，总体完成情况较好，有力保障了</w:t>
      </w:r>
      <w:r>
        <w:rPr>
          <w:rFonts w:hint="eastAsia" w:ascii="仿宋_GB2312" w:hAnsi="仿宋_GB2312" w:eastAsia="仿宋_GB2312" w:cs="仿宋_GB2312"/>
          <w:kern w:val="2"/>
          <w:sz w:val="32"/>
          <w:szCs w:val="32"/>
          <w:lang w:eastAsia="zh-CN"/>
        </w:rPr>
        <w:t>单位</w:t>
      </w:r>
      <w:r>
        <w:rPr>
          <w:rFonts w:ascii="仿宋_GB2312" w:hAnsi="仿宋_GB2312" w:eastAsia="仿宋_GB2312" w:cs="仿宋_GB2312"/>
          <w:kern w:val="2"/>
          <w:sz w:val="32"/>
          <w:szCs w:val="32"/>
        </w:rPr>
        <w:t>正常的教育教学及安全，项目基本达到了预期绩效目标。</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ascii="仿宋_GB2312" w:hAnsi="仿宋_GB2312" w:eastAsia="仿宋_GB2312" w:cs="仿宋_GB2312"/>
          <w:kern w:val="2"/>
          <w:sz w:val="32"/>
          <w:szCs w:val="32"/>
        </w:rPr>
      </w:pPr>
      <w:r>
        <w:rPr>
          <w:rFonts w:ascii="仿宋_GB2312" w:hAnsi="仿宋_GB2312" w:eastAsia="仿宋_GB2312" w:cs="仿宋_GB2312"/>
          <w:kern w:val="2"/>
          <w:sz w:val="32"/>
          <w:szCs w:val="32"/>
        </w:rPr>
        <w:t>我单位未开展绩效评价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spacing w:line="560" w:lineRule="exact"/>
        <w:ind w:firstLine="640" w:firstLineChars="200"/>
        <w:rPr>
          <w:rFonts w:hint="default" w:ascii="仿宋_GB2312" w:hAnsi="仿宋_GB2312" w:eastAsia="仿宋_GB2312" w:cs="仿宋_GB2312"/>
          <w:b/>
          <w:bCs/>
          <w:sz w:val="32"/>
          <w:szCs w:val="32"/>
        </w:rPr>
      </w:pPr>
      <w:r>
        <w:rPr>
          <w:rFonts w:ascii="仿宋_GB2312" w:hAnsi="仿宋_GB2312" w:eastAsia="仿宋_GB2312" w:cs="仿宋_GB2312"/>
          <w:sz w:val="32"/>
          <w:szCs w:val="32"/>
        </w:rPr>
        <w:t>市财政局未委托第三方对我单位开展重点绩效评价。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b w:val="0"/>
          <w:bCs/>
          <w:sz w:val="32"/>
          <w:szCs w:val="32"/>
          <w:shd w:val="clear" w:color="auto" w:fill="FFFFFF"/>
          <w:lang w:val="en-US" w:eastAsia="zh-CN" w:bidi="ar-SA"/>
        </w:rPr>
        <w:t>（一）财政拨款收入：</w:t>
      </w:r>
      <w:r>
        <w:rPr>
          <w:rFonts w:hint="eastAsia" w:ascii="方正仿宋_GBK" w:hAnsi="方正仿宋_GBK" w:eastAsia="方正仿宋_GBK" w:cs="方正仿宋_GBK"/>
          <w:b w:val="0"/>
          <w:bCs/>
          <w:kern w:val="0"/>
          <w:sz w:val="32"/>
          <w:szCs w:val="32"/>
          <w:shd w:val="clear" w:fill="FFFFFF"/>
        </w:rPr>
        <w:t>指</w:t>
      </w:r>
      <w:r>
        <w:rPr>
          <w:rFonts w:hint="eastAsia" w:ascii="方正仿宋_GBK" w:hAnsi="方正仿宋_GBK" w:eastAsia="方正仿宋_GBK" w:cs="方正仿宋_GBK"/>
          <w:kern w:val="0"/>
          <w:sz w:val="32"/>
          <w:szCs w:val="32"/>
          <w:shd w:val="clear" w:fill="FFFFFF"/>
        </w:rPr>
        <w:t>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王勇刚</w:t>
      </w:r>
      <w:r>
        <w:rPr>
          <w:rFonts w:hint="eastAsia" w:ascii="方正仿宋_GBK" w:hAnsi="方正仿宋_GBK" w:eastAsia="方正仿宋_GBK" w:cs="方正仿宋_GBK"/>
          <w:kern w:val="0"/>
          <w:sz w:val="32"/>
          <w:szCs w:val="32"/>
          <w:shd w:val="clear" w:fill="FFFFFF"/>
          <w:lang w:val="en-US" w:eastAsia="zh-CN"/>
        </w:rPr>
        <w:t>13594530588</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丰都县中小学教师发展中心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2,004.14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174.11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1,727.97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2,178.25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2,221.48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264.34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2,442.59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2,442.59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丰都县中小学教师发展中心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2,178.25</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2,004.14</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174.11</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174.11</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1,684.74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1,510.63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174.11</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174.11</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1,684.74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1,510.63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174.11</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174.11</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教师进修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1,684.74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1,510.63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174.11</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174.11</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133.47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133.47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丰都县中小学教师发展中心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2,221.48</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1,835.70</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385.78</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1,727.97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1,342.19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385.78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1,727.97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1,342.19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385.78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教师进修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1,727.97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1,342.19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385.78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354.83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354.83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133.47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133.47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142.44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丰都县中小学教师发展中心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2,004.14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1,510.63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1,510.63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2,004.14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2,004.14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2,004.14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2,004.14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2,004.14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2,004.14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丰都县中小学教师发展中心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2,004.14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1,618.36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385.78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1,510.63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1,124.85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385.78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1,510.63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1,124.85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385.78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教师进修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1,510.63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1,124.85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385.78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133.47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78.93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45.40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丰都县中小学教师发展中心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1,292.94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589.50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1,450.84</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167.51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丰都县中小学教师发展中心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丰都县中小学教师发展中心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丰都县中小学教师发展中心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28.22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28.22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314.01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16.25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rPr>
          <w:rFonts w:hint="default"/>
          <w:sz w:val="18"/>
          <w:szCs w:val="18"/>
        </w:rPr>
      </w:pPr>
      <w:r>
        <w:rPr>
          <w:rFonts w:cs="宋体"/>
          <w:sz w:val="18"/>
          <w:szCs w:val="18"/>
        </w:rPr>
        <w:object>
          <v:shape id="_x0000_i1025" o:spt="75" type="#_x0000_t75" style="height:391.6pt;width:766.1pt;" o:ole="t" filled="f" o:preferrelative="t" stroked="f" coordsize="21600,21600">
            <v:path/>
            <v:fill on="f" focussize="0,0"/>
            <v:stroke on="f"/>
            <v:imagedata r:id="rId8" o:title=""/>
            <o:lock v:ext="edit" aspectratio="t"/>
            <w10:wrap type="none"/>
            <w10:anchorlock/>
          </v:shape>
          <o:OLEObject Type="Embed" ProgID="Excel.Sheet.12" ShapeID="_x0000_i1025" DrawAspect="Content" ObjectID="_1468075725" r:id="rId7">
            <o:LockedField>false</o:LockedField>
          </o:OLEObject>
        </w:object>
      </w:r>
      <w:r>
        <w:rPr>
          <w:rFonts w:cs="宋体"/>
          <w:sz w:val="18"/>
          <w:szCs w:val="18"/>
        </w:rPr>
        <w:object>
          <v:shape id="_x0000_i1026" o:spt="75" type="#_x0000_t75" style="height:384.85pt;width:752.8pt;" o:ole="t" filled="f" o:preferrelative="t" stroked="f" coordsize="21600,21600">
            <v:path/>
            <v:fill on="f" focussize="0,0"/>
            <v:stroke on="f"/>
            <v:imagedata r:id="rId10" o:title=""/>
            <o:lock v:ext="edit" aspectratio="t"/>
            <w10:wrap type="none"/>
            <w10:anchorlock/>
          </v:shape>
          <o:OLEObject Type="Embed" ProgID="Excel.Sheet.12" ShapeID="_x0000_i1026" DrawAspect="Content" ObjectID="_1468075726" r:id="rId9">
            <o:LockedField>false</o:LockedField>
          </o:OLEObject>
        </w:object>
      </w:r>
      <w:r>
        <w:rPr>
          <w:rFonts w:cs="宋体"/>
          <w:sz w:val="18"/>
          <w:szCs w:val="18"/>
        </w:rPr>
        <w:object>
          <v:shape id="_x0000_i1027" o:spt="75" type="#_x0000_t75" style="height:373.5pt;width:767.4pt;" o:ole="t" filled="f" o:preferrelative="t" stroked="f" coordsize="21600,21600">
            <v:path/>
            <v:fill on="f" focussize="0,0"/>
            <v:stroke on="f"/>
            <v:imagedata r:id="rId12" o:title=""/>
            <o:lock v:ext="edit" aspectratio="t"/>
            <w10:wrap type="none"/>
            <w10:anchorlock/>
          </v:shape>
          <o:OLEObject Type="Embed" ProgID="Excel.Sheet.12" ShapeID="_x0000_i1027" DrawAspect="Content" ObjectID="_1468075727" r:id="rId11">
            <o:LockedField>false</o:LockedField>
          </o:OLEObject>
        </w:object>
      </w:r>
      <w:r>
        <w:rPr>
          <w:rFonts w:cs="宋体"/>
          <w:sz w:val="18"/>
          <w:szCs w:val="18"/>
        </w:rPr>
        <w:object>
          <v:shape id="_x0000_i1028" o:spt="75" type="#_x0000_t75" style="height:411.85pt;width:769.85pt;" o:ole="t" filled="f" o:preferrelative="t" stroked="f" coordsize="21600,21600">
            <v:path/>
            <v:fill on="f" focussize="0,0"/>
            <v:stroke on="f"/>
            <v:imagedata r:id="rId14" o:title=""/>
            <o:lock v:ext="edit" aspectratio="t"/>
            <w10:wrap type="none"/>
            <w10:anchorlock/>
          </v:shape>
          <o:OLEObject Type="Embed" ProgID="Excel.Sheet.12" ShapeID="_x0000_i1028" DrawAspect="Content" ObjectID="_1468075728" r:id="rId13">
            <o:LockedField>false</o:LockedField>
          </o:OLEObject>
        </w:object>
      </w:r>
      <w:r>
        <w:rPr>
          <w:rFonts w:cs="宋体"/>
          <w:sz w:val="18"/>
          <w:szCs w:val="18"/>
        </w:rPr>
        <w:object>
          <v:shape id="_x0000_i1029" o:spt="75" type="#_x0000_t75" style="height:427.6pt;width:765.3pt;" o:ole="t" filled="f" o:preferrelative="t" stroked="f" coordsize="21600,21600">
            <v:path/>
            <v:fill on="f" focussize="0,0"/>
            <v:stroke on="f"/>
            <v:imagedata r:id="rId16" o:title=""/>
            <o:lock v:ext="edit" aspectratio="t"/>
            <w10:wrap type="none"/>
            <w10:anchorlock/>
          </v:shape>
          <o:OLEObject Type="Embed" ProgID="Excel.Sheet.12" ShapeID="_x0000_i1029" DrawAspect="Content" ObjectID="_1468075729" r:id="rId15">
            <o:LockedField>false</o:LockedField>
          </o:OLEObject>
        </w:objec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pict>
        <v:shape id="文本框 1" o:spid="_x0000_s103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6E12C5"/>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8115B46"/>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D49ED"/>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675F5F"/>
    <w:rsid w:val="53C0244D"/>
    <w:rsid w:val="53DD4D4E"/>
    <w:rsid w:val="53E578CE"/>
    <w:rsid w:val="541330F0"/>
    <w:rsid w:val="54272666"/>
    <w:rsid w:val="543B029D"/>
    <w:rsid w:val="54861779"/>
    <w:rsid w:val="54F06DE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94019A"/>
    <w:rsid w:val="66AF5D7C"/>
    <w:rsid w:val="66EE5541"/>
    <w:rsid w:val="67924660"/>
    <w:rsid w:val="68407834"/>
    <w:rsid w:val="6883293E"/>
    <w:rsid w:val="688412AD"/>
    <w:rsid w:val="68EB1B71"/>
    <w:rsid w:val="696C0310"/>
    <w:rsid w:val="6A6C7940"/>
    <w:rsid w:val="6A9F1565"/>
    <w:rsid w:val="6AAD2300"/>
    <w:rsid w:val="6B474EF5"/>
    <w:rsid w:val="6BAA5F82"/>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9092</Words>
  <Characters>11575</Characters>
  <Lines>186</Lines>
  <Paragraphs>52</Paragraphs>
  <TotalTime>3</TotalTime>
  <ScaleCrop>false</ScaleCrop>
  <LinksUpToDate>false</LinksUpToDate>
  <CharactersWithSpaces>12581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2025-09-17T04:12:21Z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BB46EABDBB2749749395447164B066B3_12</vt:lpwstr>
  </property>
</Properties>
</file>