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D0E" w:rsidRDefault="00775D0E" w:rsidP="00775D0E">
      <w:pPr>
        <w:widowControl/>
        <w:spacing w:line="360" w:lineRule="atLeast"/>
        <w:ind w:firstLine="480"/>
        <w:jc w:val="left"/>
        <w:rPr>
          <w:rFonts w:ascii="宋体" w:eastAsia="宋体" w:hAnsi="宋体" w:cs="宋体" w:hint="eastAsia"/>
          <w:kern w:val="0"/>
          <w:sz w:val="24"/>
          <w:szCs w:val="24"/>
        </w:rPr>
      </w:pPr>
      <w:r w:rsidRPr="00775D0E">
        <w:rPr>
          <w:rFonts w:ascii="宋体" w:eastAsia="宋体" w:hAnsi="宋体" w:cs="宋体" w:hint="eastAsia"/>
          <w:kern w:val="0"/>
          <w:sz w:val="24"/>
          <w:szCs w:val="24"/>
        </w:rPr>
        <w:t>丰都县职业教育中心2024年单位预算情况说明</w:t>
      </w:r>
      <w:bookmarkStart w:id="0" w:name="_GoBack"/>
      <w:bookmarkEnd w:id="0"/>
    </w:p>
    <w:p w:rsidR="00775D0E" w:rsidRPr="00775D0E" w:rsidRDefault="00775D0E" w:rsidP="00775D0E">
      <w:pPr>
        <w:widowControl/>
        <w:spacing w:line="360" w:lineRule="atLeast"/>
        <w:ind w:firstLine="480"/>
        <w:jc w:val="left"/>
        <w:rPr>
          <w:rFonts w:ascii="宋体" w:eastAsia="宋体" w:hAnsi="宋体" w:cs="宋体"/>
          <w:kern w:val="0"/>
          <w:sz w:val="24"/>
          <w:szCs w:val="24"/>
        </w:rPr>
      </w:pPr>
      <w:r w:rsidRPr="00775D0E">
        <w:rPr>
          <w:rFonts w:ascii="宋体" w:eastAsia="宋体" w:hAnsi="宋体" w:cs="宋体" w:hint="eastAsia"/>
          <w:kern w:val="0"/>
          <w:sz w:val="24"/>
          <w:szCs w:val="24"/>
        </w:rPr>
        <w:t>一、单位基本情况</w:t>
      </w:r>
    </w:p>
    <w:p w:rsidR="00775D0E" w:rsidRPr="00775D0E" w:rsidRDefault="00775D0E" w:rsidP="00775D0E">
      <w:pPr>
        <w:widowControl/>
        <w:spacing w:line="360" w:lineRule="atLeast"/>
        <w:ind w:firstLine="480"/>
        <w:jc w:val="left"/>
        <w:rPr>
          <w:rFonts w:ascii="宋体" w:eastAsia="宋体" w:hAnsi="宋体" w:cs="宋体"/>
          <w:kern w:val="0"/>
          <w:sz w:val="24"/>
          <w:szCs w:val="24"/>
        </w:rPr>
      </w:pPr>
      <w:r w:rsidRPr="00775D0E">
        <w:rPr>
          <w:rFonts w:ascii="宋体" w:eastAsia="宋体" w:hAnsi="宋体" w:cs="宋体" w:hint="eastAsia"/>
          <w:kern w:val="0"/>
          <w:sz w:val="24"/>
          <w:szCs w:val="24"/>
        </w:rPr>
        <w:t>（一）职能职责。实施中等职业教育,提高学生的综合素质，培养学生多样化发展及良好品德，促进职业教育的发展,贯彻执行党和国家的职教方针、政策、法规,从事职业教育的相关社会服务。</w:t>
      </w:r>
    </w:p>
    <w:p w:rsidR="00775D0E" w:rsidRPr="00775D0E" w:rsidRDefault="00775D0E" w:rsidP="00775D0E">
      <w:pPr>
        <w:widowControl/>
        <w:spacing w:line="360" w:lineRule="atLeast"/>
        <w:ind w:firstLine="480"/>
        <w:jc w:val="left"/>
        <w:rPr>
          <w:rFonts w:ascii="宋体" w:eastAsia="宋体" w:hAnsi="宋体" w:cs="宋体"/>
          <w:kern w:val="0"/>
          <w:sz w:val="24"/>
          <w:szCs w:val="24"/>
        </w:rPr>
      </w:pPr>
      <w:r w:rsidRPr="00775D0E">
        <w:rPr>
          <w:rFonts w:ascii="宋体" w:eastAsia="宋体" w:hAnsi="宋体" w:cs="宋体" w:hint="eastAsia"/>
          <w:kern w:val="0"/>
          <w:sz w:val="24"/>
          <w:szCs w:val="24"/>
        </w:rPr>
        <w:t>（二）单位构成。丰都县职业教育中心单位；本单位属于二级预算单位，包含本部门的教务处、德育处、招生就业处、教科室、信息中心、后勤、党政办公室、电子专业部、汽修专业部、建筑专业部、旅游专业部、计算机专业部、升高部。</w:t>
      </w:r>
    </w:p>
    <w:p w:rsidR="00775D0E" w:rsidRPr="00775D0E" w:rsidRDefault="00775D0E" w:rsidP="00775D0E">
      <w:pPr>
        <w:widowControl/>
        <w:spacing w:line="360" w:lineRule="atLeast"/>
        <w:ind w:firstLine="480"/>
        <w:jc w:val="left"/>
        <w:rPr>
          <w:rFonts w:ascii="宋体" w:eastAsia="宋体" w:hAnsi="宋体" w:cs="宋体"/>
          <w:kern w:val="0"/>
          <w:sz w:val="24"/>
          <w:szCs w:val="24"/>
        </w:rPr>
      </w:pPr>
      <w:r w:rsidRPr="00775D0E">
        <w:rPr>
          <w:rFonts w:ascii="宋体" w:eastAsia="宋体" w:hAnsi="宋体" w:cs="宋体" w:hint="eastAsia"/>
          <w:kern w:val="0"/>
          <w:sz w:val="24"/>
          <w:szCs w:val="24"/>
        </w:rPr>
        <w:t>二、部门收支总体情况</w:t>
      </w:r>
    </w:p>
    <w:p w:rsidR="00775D0E" w:rsidRPr="00775D0E" w:rsidRDefault="00775D0E" w:rsidP="00775D0E">
      <w:pPr>
        <w:widowControl/>
        <w:spacing w:line="360" w:lineRule="atLeast"/>
        <w:ind w:firstLine="480"/>
        <w:jc w:val="left"/>
        <w:rPr>
          <w:rFonts w:ascii="宋体" w:eastAsia="宋体" w:hAnsi="宋体" w:cs="宋体"/>
          <w:kern w:val="0"/>
          <w:sz w:val="24"/>
          <w:szCs w:val="24"/>
        </w:rPr>
      </w:pPr>
      <w:r w:rsidRPr="00775D0E">
        <w:rPr>
          <w:rFonts w:ascii="宋体" w:eastAsia="宋体" w:hAnsi="宋体" w:cs="宋体" w:hint="eastAsia"/>
          <w:kern w:val="0"/>
          <w:sz w:val="24"/>
          <w:szCs w:val="24"/>
        </w:rPr>
        <w:t>（一）收入预算：2024年年初预算数5465.43万元，其中：一般公共预算拨款4515.43万元，政府性基金预算拨款0</w:t>
      </w:r>
      <w:r w:rsidRPr="00775D0E">
        <w:rPr>
          <w:rFonts w:ascii="宋体" w:eastAsia="宋体" w:hAnsi="宋体" w:cs="宋体" w:hint="eastAsia"/>
          <w:kern w:val="0"/>
          <w:sz w:val="24"/>
          <w:szCs w:val="24"/>
        </w:rPr>
        <w:t> </w:t>
      </w:r>
      <w:r w:rsidRPr="00775D0E">
        <w:rPr>
          <w:rFonts w:ascii="宋体" w:eastAsia="宋体" w:hAnsi="宋体" w:cs="宋体" w:hint="eastAsia"/>
          <w:kern w:val="0"/>
          <w:sz w:val="24"/>
          <w:szCs w:val="24"/>
        </w:rPr>
        <w:t>万元，国有资本经营预算拨款 0万元，财政专户管理资金950万元，事业收入 0万元，事业单位经营收入 0万元，其他收入0万元，上年结转一般公共预算拨款264.36万元。收入较去年增加1471.33万元，主要是人员经费拨款增加521.33万元，财政专户管理资金增加950万元。</w:t>
      </w:r>
    </w:p>
    <w:p w:rsidR="00775D0E" w:rsidRPr="00775D0E" w:rsidRDefault="00775D0E" w:rsidP="00775D0E">
      <w:pPr>
        <w:widowControl/>
        <w:spacing w:line="360" w:lineRule="atLeast"/>
        <w:ind w:firstLine="480"/>
        <w:jc w:val="left"/>
        <w:rPr>
          <w:rFonts w:ascii="宋体" w:eastAsia="宋体" w:hAnsi="宋体" w:cs="宋体"/>
          <w:kern w:val="0"/>
          <w:sz w:val="24"/>
          <w:szCs w:val="24"/>
        </w:rPr>
      </w:pPr>
      <w:r w:rsidRPr="00775D0E">
        <w:rPr>
          <w:rFonts w:ascii="宋体" w:eastAsia="宋体" w:hAnsi="宋体" w:cs="宋体" w:hint="eastAsia"/>
          <w:kern w:val="0"/>
          <w:sz w:val="24"/>
          <w:szCs w:val="24"/>
        </w:rPr>
        <w:t>（二）支出预算：2024年年初预算数5465.43万元，其中：一般公共服务支出0万元，教育支出4457.82万元，社会保障和就业支出556.42万元，卫生健康支出232.27万元，住房保障支出218.93万元。支出较去年增加1471.33万元，主要是人员经费拨款增加521.33万元，财政专户管理资金增加950万元。</w:t>
      </w:r>
    </w:p>
    <w:p w:rsidR="00775D0E" w:rsidRPr="00775D0E" w:rsidRDefault="00775D0E" w:rsidP="00775D0E">
      <w:pPr>
        <w:widowControl/>
        <w:spacing w:line="360" w:lineRule="atLeast"/>
        <w:ind w:firstLine="480"/>
        <w:jc w:val="left"/>
        <w:rPr>
          <w:rFonts w:ascii="宋体" w:eastAsia="宋体" w:hAnsi="宋体" w:cs="宋体"/>
          <w:kern w:val="0"/>
          <w:sz w:val="24"/>
          <w:szCs w:val="24"/>
        </w:rPr>
      </w:pPr>
      <w:r w:rsidRPr="00775D0E">
        <w:rPr>
          <w:rFonts w:ascii="宋体" w:eastAsia="宋体" w:hAnsi="宋体" w:cs="宋体" w:hint="eastAsia"/>
          <w:kern w:val="0"/>
          <w:sz w:val="24"/>
          <w:szCs w:val="24"/>
        </w:rPr>
        <w:t>三、部门预算情况说明</w:t>
      </w:r>
    </w:p>
    <w:p w:rsidR="00775D0E" w:rsidRPr="00775D0E" w:rsidRDefault="00775D0E" w:rsidP="00775D0E">
      <w:pPr>
        <w:widowControl/>
        <w:spacing w:line="360" w:lineRule="atLeast"/>
        <w:ind w:firstLine="480"/>
        <w:jc w:val="left"/>
        <w:rPr>
          <w:rFonts w:ascii="宋体" w:eastAsia="宋体" w:hAnsi="宋体" w:cs="宋体"/>
          <w:kern w:val="0"/>
          <w:sz w:val="24"/>
          <w:szCs w:val="24"/>
        </w:rPr>
      </w:pPr>
      <w:r w:rsidRPr="00775D0E">
        <w:rPr>
          <w:rFonts w:ascii="宋体" w:eastAsia="宋体" w:hAnsi="宋体" w:cs="宋体" w:hint="eastAsia"/>
          <w:kern w:val="0"/>
          <w:sz w:val="24"/>
          <w:szCs w:val="24"/>
        </w:rPr>
        <w:t>2024年一般公共预算财政拨款收入4515.43万元，一般公共预算财政拨款支出4515.43万元，比2023年增加521.33万元。其中：基本支出4251.07万元，比2023年增加326.97万元，主要原因是人员调资、超额绩效追加等，主要用于保障学校在职人员工资福利及社会保险缴费，离休人员离休费，退休人员补助等，保障部门正常运转的各项商品服务支出；项目支出264.36万元，比2023年增加194.36万元，主要原因是上年结转导致，主要用于保障学校正常运行、资助等重点工作。</w:t>
      </w:r>
    </w:p>
    <w:p w:rsidR="00775D0E" w:rsidRPr="00775D0E" w:rsidRDefault="00775D0E" w:rsidP="00775D0E">
      <w:pPr>
        <w:widowControl/>
        <w:spacing w:line="360" w:lineRule="atLeast"/>
        <w:ind w:firstLine="480"/>
        <w:jc w:val="left"/>
        <w:rPr>
          <w:rFonts w:ascii="宋体" w:eastAsia="宋体" w:hAnsi="宋体" w:cs="宋体"/>
          <w:kern w:val="0"/>
          <w:sz w:val="24"/>
          <w:szCs w:val="24"/>
        </w:rPr>
      </w:pPr>
      <w:r w:rsidRPr="00775D0E">
        <w:rPr>
          <w:rFonts w:ascii="宋体" w:eastAsia="宋体" w:hAnsi="宋体" w:cs="宋体" w:hint="eastAsia"/>
          <w:kern w:val="0"/>
          <w:sz w:val="24"/>
          <w:szCs w:val="24"/>
        </w:rPr>
        <w:t>丰都县职业教育中心2024年无使用政府性基金预算拨款安排的支出。</w:t>
      </w:r>
    </w:p>
    <w:p w:rsidR="00775D0E" w:rsidRPr="00775D0E" w:rsidRDefault="00775D0E" w:rsidP="00775D0E">
      <w:pPr>
        <w:widowControl/>
        <w:spacing w:line="360" w:lineRule="atLeast"/>
        <w:ind w:firstLine="480"/>
        <w:jc w:val="left"/>
        <w:rPr>
          <w:rFonts w:ascii="宋体" w:eastAsia="宋体" w:hAnsi="宋体" w:cs="宋体"/>
          <w:kern w:val="0"/>
          <w:sz w:val="24"/>
          <w:szCs w:val="24"/>
        </w:rPr>
      </w:pPr>
      <w:r w:rsidRPr="00775D0E">
        <w:rPr>
          <w:rFonts w:ascii="宋体" w:eastAsia="宋体" w:hAnsi="宋体" w:cs="宋体" w:hint="eastAsia"/>
          <w:kern w:val="0"/>
          <w:sz w:val="24"/>
          <w:szCs w:val="24"/>
        </w:rPr>
        <w:t>四、“三公”经费情况说明</w:t>
      </w:r>
    </w:p>
    <w:p w:rsidR="00775D0E" w:rsidRPr="00775D0E" w:rsidRDefault="00775D0E" w:rsidP="00775D0E">
      <w:pPr>
        <w:widowControl/>
        <w:spacing w:line="360" w:lineRule="atLeast"/>
        <w:ind w:firstLine="480"/>
        <w:jc w:val="left"/>
        <w:rPr>
          <w:rFonts w:ascii="宋体" w:eastAsia="宋体" w:hAnsi="宋体" w:cs="宋体"/>
          <w:kern w:val="0"/>
          <w:sz w:val="24"/>
          <w:szCs w:val="24"/>
        </w:rPr>
      </w:pPr>
      <w:r w:rsidRPr="00775D0E">
        <w:rPr>
          <w:rFonts w:ascii="宋体" w:eastAsia="宋体" w:hAnsi="宋体" w:cs="宋体" w:hint="eastAsia"/>
          <w:kern w:val="0"/>
          <w:sz w:val="24"/>
          <w:szCs w:val="24"/>
        </w:rPr>
        <w:t>2024年“三公”经费预算0万元，比2023年减少0万元。其中：因公出国（境）费用0万元，比2023年减少0万元，主要原因是本年无安排公务接待费；公务接待费0万元，比2023年减少0万元，主要原因是本年无安排公务接待费；公务用车运行维护费0万元，比2023年减少0万元，主要原因是本年无公务用车预算安排；公务用车购置费0万元，比2023年减少0万元；主要原因是本年无公务用车购置安排。</w:t>
      </w:r>
    </w:p>
    <w:p w:rsidR="00775D0E" w:rsidRPr="00775D0E" w:rsidRDefault="00775D0E" w:rsidP="00775D0E">
      <w:pPr>
        <w:widowControl/>
        <w:spacing w:line="360" w:lineRule="atLeast"/>
        <w:ind w:firstLine="480"/>
        <w:jc w:val="left"/>
        <w:rPr>
          <w:rFonts w:ascii="宋体" w:eastAsia="宋体" w:hAnsi="宋体" w:cs="宋体"/>
          <w:kern w:val="0"/>
          <w:sz w:val="24"/>
          <w:szCs w:val="24"/>
        </w:rPr>
      </w:pPr>
      <w:r w:rsidRPr="00775D0E">
        <w:rPr>
          <w:rFonts w:ascii="宋体" w:eastAsia="宋体" w:hAnsi="宋体" w:cs="宋体" w:hint="eastAsia"/>
          <w:kern w:val="0"/>
          <w:sz w:val="24"/>
          <w:szCs w:val="24"/>
        </w:rPr>
        <w:t>五、其他重要事项的情况说明</w:t>
      </w:r>
    </w:p>
    <w:p w:rsidR="00775D0E" w:rsidRPr="00775D0E" w:rsidRDefault="00775D0E" w:rsidP="00775D0E">
      <w:pPr>
        <w:widowControl/>
        <w:spacing w:line="360" w:lineRule="atLeast"/>
        <w:ind w:firstLine="480"/>
        <w:jc w:val="left"/>
        <w:rPr>
          <w:rFonts w:ascii="宋体" w:eastAsia="宋体" w:hAnsi="宋体" w:cs="宋体"/>
          <w:kern w:val="0"/>
          <w:sz w:val="24"/>
          <w:szCs w:val="24"/>
        </w:rPr>
      </w:pPr>
      <w:r w:rsidRPr="00775D0E">
        <w:rPr>
          <w:rFonts w:ascii="宋体" w:eastAsia="宋体" w:hAnsi="宋体" w:cs="宋体" w:hint="eastAsia"/>
          <w:kern w:val="0"/>
          <w:sz w:val="24"/>
          <w:szCs w:val="24"/>
        </w:rPr>
        <w:t>（一）我单位不在机关运行经费统计范围之内。</w:t>
      </w:r>
    </w:p>
    <w:p w:rsidR="00775D0E" w:rsidRPr="00775D0E" w:rsidRDefault="00775D0E" w:rsidP="00775D0E">
      <w:pPr>
        <w:widowControl/>
        <w:spacing w:line="360" w:lineRule="atLeast"/>
        <w:ind w:firstLine="480"/>
        <w:jc w:val="left"/>
        <w:rPr>
          <w:rFonts w:ascii="宋体" w:eastAsia="宋体" w:hAnsi="宋体" w:cs="宋体"/>
          <w:kern w:val="0"/>
          <w:sz w:val="24"/>
          <w:szCs w:val="24"/>
        </w:rPr>
      </w:pPr>
      <w:r w:rsidRPr="00775D0E">
        <w:rPr>
          <w:rFonts w:ascii="宋体" w:eastAsia="宋体" w:hAnsi="宋体" w:cs="宋体" w:hint="eastAsia"/>
          <w:kern w:val="0"/>
          <w:sz w:val="24"/>
          <w:szCs w:val="24"/>
        </w:rPr>
        <w:lastRenderedPageBreak/>
        <w:t>（二）政府采购情况。所属各预算单位政府采购预算总额0万元：政府采购货物预算0万元、政府采购工程预算0万元、政府采购服务预算0万元；其中一般公共预算拨款政府采购0万元：政府采购货物预算0万元、政府采购工程预算0万元、政府采购服务预算0万元。</w:t>
      </w:r>
    </w:p>
    <w:p w:rsidR="00775D0E" w:rsidRPr="00775D0E" w:rsidRDefault="00775D0E" w:rsidP="00775D0E">
      <w:pPr>
        <w:widowControl/>
        <w:spacing w:line="360" w:lineRule="atLeast"/>
        <w:ind w:firstLine="480"/>
        <w:jc w:val="left"/>
        <w:rPr>
          <w:rFonts w:ascii="宋体" w:eastAsia="宋体" w:hAnsi="宋体" w:cs="宋体"/>
          <w:kern w:val="0"/>
          <w:sz w:val="24"/>
          <w:szCs w:val="24"/>
        </w:rPr>
      </w:pPr>
      <w:r w:rsidRPr="00775D0E">
        <w:rPr>
          <w:rFonts w:ascii="宋体" w:eastAsia="宋体" w:hAnsi="宋体" w:cs="宋体" w:hint="eastAsia"/>
          <w:kern w:val="0"/>
          <w:sz w:val="24"/>
          <w:szCs w:val="24"/>
        </w:rPr>
        <w:t>（三）绩效目标设置情况。2024年共1个项目支出均实行了绩效目标管理，涉及资金量950万元。</w:t>
      </w:r>
    </w:p>
    <w:p w:rsidR="00775D0E" w:rsidRPr="00775D0E" w:rsidRDefault="00775D0E" w:rsidP="00775D0E">
      <w:pPr>
        <w:widowControl/>
        <w:spacing w:line="360" w:lineRule="atLeast"/>
        <w:ind w:firstLine="480"/>
        <w:jc w:val="left"/>
        <w:rPr>
          <w:rFonts w:ascii="宋体" w:eastAsia="宋体" w:hAnsi="宋体" w:cs="宋体"/>
          <w:kern w:val="0"/>
          <w:sz w:val="24"/>
          <w:szCs w:val="24"/>
        </w:rPr>
      </w:pPr>
      <w:r w:rsidRPr="00775D0E">
        <w:rPr>
          <w:rFonts w:ascii="宋体" w:eastAsia="宋体" w:hAnsi="宋体" w:cs="宋体" w:hint="eastAsia"/>
          <w:kern w:val="0"/>
          <w:sz w:val="24"/>
          <w:szCs w:val="24"/>
        </w:rPr>
        <w:t>（四）国有资产占有使用情况。截至2023年12月，所属各预算单位共有车辆0辆，其中一般公务用车0辆、执勤执法用车 0辆。2024年一般公共预算安排购置车辆0辆，其中一般公务用车0辆、执勤执法用车0辆。</w:t>
      </w:r>
    </w:p>
    <w:p w:rsidR="00775D0E" w:rsidRPr="00775D0E" w:rsidRDefault="00775D0E" w:rsidP="00775D0E">
      <w:pPr>
        <w:widowControl/>
        <w:spacing w:line="360" w:lineRule="atLeast"/>
        <w:ind w:firstLine="480"/>
        <w:jc w:val="left"/>
        <w:rPr>
          <w:rFonts w:ascii="宋体" w:eastAsia="宋体" w:hAnsi="宋体" w:cs="宋体"/>
          <w:kern w:val="0"/>
          <w:sz w:val="24"/>
          <w:szCs w:val="24"/>
        </w:rPr>
      </w:pPr>
      <w:r w:rsidRPr="00775D0E">
        <w:rPr>
          <w:rFonts w:ascii="宋体" w:eastAsia="宋体" w:hAnsi="宋体" w:cs="宋体" w:hint="eastAsia"/>
          <w:kern w:val="0"/>
          <w:sz w:val="24"/>
          <w:szCs w:val="24"/>
        </w:rPr>
        <w:t>六、专业</w:t>
      </w:r>
      <w:proofErr w:type="gramStart"/>
      <w:r w:rsidRPr="00775D0E">
        <w:rPr>
          <w:rFonts w:ascii="宋体" w:eastAsia="宋体" w:hAnsi="宋体" w:cs="宋体" w:hint="eastAsia"/>
          <w:kern w:val="0"/>
          <w:sz w:val="24"/>
          <w:szCs w:val="24"/>
        </w:rPr>
        <w:t>性名</w:t>
      </w:r>
      <w:proofErr w:type="gramEnd"/>
      <w:r w:rsidRPr="00775D0E">
        <w:rPr>
          <w:rFonts w:ascii="宋体" w:eastAsia="宋体" w:hAnsi="宋体" w:cs="宋体" w:hint="eastAsia"/>
          <w:kern w:val="0"/>
          <w:sz w:val="24"/>
          <w:szCs w:val="24"/>
        </w:rPr>
        <w:t>词解释</w:t>
      </w:r>
    </w:p>
    <w:p w:rsidR="00775D0E" w:rsidRPr="00775D0E" w:rsidRDefault="00775D0E" w:rsidP="00775D0E">
      <w:pPr>
        <w:widowControl/>
        <w:spacing w:line="360" w:lineRule="atLeast"/>
        <w:ind w:firstLine="480"/>
        <w:jc w:val="left"/>
        <w:rPr>
          <w:rFonts w:ascii="宋体" w:eastAsia="宋体" w:hAnsi="宋体" w:cs="宋体"/>
          <w:kern w:val="0"/>
          <w:sz w:val="24"/>
          <w:szCs w:val="24"/>
        </w:rPr>
      </w:pPr>
      <w:r w:rsidRPr="00775D0E">
        <w:rPr>
          <w:rFonts w:ascii="宋体" w:eastAsia="宋体" w:hAnsi="宋体" w:cs="宋体" w:hint="eastAsia"/>
          <w:kern w:val="0"/>
          <w:sz w:val="24"/>
          <w:szCs w:val="24"/>
        </w:rPr>
        <w:t>（一）财政拨款收入：指本年度从本级财政部门取得的财政拨款，包括一般公共预算财政拨款和政府性基金预算财政拨款。</w:t>
      </w:r>
    </w:p>
    <w:p w:rsidR="00775D0E" w:rsidRPr="00775D0E" w:rsidRDefault="00775D0E" w:rsidP="00775D0E">
      <w:pPr>
        <w:widowControl/>
        <w:spacing w:line="360" w:lineRule="atLeast"/>
        <w:ind w:firstLine="480"/>
        <w:jc w:val="left"/>
        <w:rPr>
          <w:rFonts w:ascii="宋体" w:eastAsia="宋体" w:hAnsi="宋体" w:cs="宋体"/>
          <w:kern w:val="0"/>
          <w:sz w:val="24"/>
          <w:szCs w:val="24"/>
        </w:rPr>
      </w:pPr>
      <w:r w:rsidRPr="00775D0E">
        <w:rPr>
          <w:rFonts w:ascii="宋体" w:eastAsia="宋体" w:hAnsi="宋体" w:cs="宋体" w:hint="eastAsia"/>
          <w:kern w:val="0"/>
          <w:sz w:val="24"/>
          <w:szCs w:val="24"/>
        </w:rPr>
        <w:t>（二）其他收入：指单位取得的除“财政拨款收入”、“事业收入”、“经营收入”等以外的收入。</w:t>
      </w:r>
    </w:p>
    <w:p w:rsidR="00775D0E" w:rsidRPr="00775D0E" w:rsidRDefault="00775D0E" w:rsidP="00775D0E">
      <w:pPr>
        <w:widowControl/>
        <w:spacing w:line="360" w:lineRule="atLeast"/>
        <w:ind w:firstLine="480"/>
        <w:jc w:val="left"/>
        <w:rPr>
          <w:rFonts w:ascii="宋体" w:eastAsia="宋体" w:hAnsi="宋体" w:cs="宋体"/>
          <w:kern w:val="0"/>
          <w:sz w:val="24"/>
          <w:szCs w:val="24"/>
        </w:rPr>
      </w:pPr>
      <w:r w:rsidRPr="00775D0E">
        <w:rPr>
          <w:rFonts w:ascii="宋体" w:eastAsia="宋体" w:hAnsi="宋体" w:cs="宋体" w:hint="eastAsia"/>
          <w:kern w:val="0"/>
          <w:sz w:val="24"/>
          <w:szCs w:val="24"/>
        </w:rPr>
        <w:t>（三）基本支出：指为保障机构正常运转、完成日常工作任务而发生的人员经费和公用经费。</w:t>
      </w:r>
    </w:p>
    <w:p w:rsidR="00775D0E" w:rsidRPr="00775D0E" w:rsidRDefault="00775D0E" w:rsidP="00775D0E">
      <w:pPr>
        <w:widowControl/>
        <w:spacing w:line="360" w:lineRule="atLeast"/>
        <w:ind w:firstLine="480"/>
        <w:jc w:val="left"/>
        <w:rPr>
          <w:rFonts w:ascii="宋体" w:eastAsia="宋体" w:hAnsi="宋体" w:cs="宋体"/>
          <w:kern w:val="0"/>
          <w:sz w:val="24"/>
          <w:szCs w:val="24"/>
        </w:rPr>
      </w:pPr>
      <w:r w:rsidRPr="00775D0E">
        <w:rPr>
          <w:rFonts w:ascii="宋体" w:eastAsia="宋体" w:hAnsi="宋体" w:cs="宋体" w:hint="eastAsia"/>
          <w:kern w:val="0"/>
          <w:sz w:val="24"/>
          <w:szCs w:val="24"/>
        </w:rPr>
        <w:t>（四）项目支出：指在基本支出之外为完成特定行政任务和事业发展目标所发生的支出。</w:t>
      </w:r>
    </w:p>
    <w:p w:rsidR="00775D0E" w:rsidRPr="00775D0E" w:rsidRDefault="00775D0E" w:rsidP="00775D0E">
      <w:pPr>
        <w:widowControl/>
        <w:spacing w:line="360" w:lineRule="atLeast"/>
        <w:ind w:firstLine="480"/>
        <w:jc w:val="left"/>
        <w:rPr>
          <w:rFonts w:ascii="宋体" w:eastAsia="宋体" w:hAnsi="宋体" w:cs="宋体"/>
          <w:kern w:val="0"/>
          <w:sz w:val="24"/>
          <w:szCs w:val="24"/>
        </w:rPr>
      </w:pPr>
      <w:r w:rsidRPr="00775D0E">
        <w:rPr>
          <w:rFonts w:ascii="宋体" w:eastAsia="宋体" w:hAnsi="宋体" w:cs="宋体" w:hint="eastAsia"/>
          <w:kern w:val="0"/>
          <w:sz w:val="24"/>
          <w:szCs w:val="24"/>
        </w:rPr>
        <w:t>（五）“三公”经费：指用一般公共预算财政拨款安排的因公出国（境）费、公务用车购置及运行维护费、公务接待费。其中，因公出国（境）</w:t>
      </w:r>
      <w:proofErr w:type="gramStart"/>
      <w:r w:rsidRPr="00775D0E">
        <w:rPr>
          <w:rFonts w:ascii="宋体" w:eastAsia="宋体" w:hAnsi="宋体" w:cs="宋体" w:hint="eastAsia"/>
          <w:kern w:val="0"/>
          <w:sz w:val="24"/>
          <w:szCs w:val="24"/>
        </w:rPr>
        <w:t>费反映</w:t>
      </w:r>
      <w:proofErr w:type="gramEnd"/>
      <w:r w:rsidRPr="00775D0E">
        <w:rPr>
          <w:rFonts w:ascii="宋体" w:eastAsia="宋体" w:hAnsi="宋体" w:cs="宋体" w:hint="eastAsia"/>
          <w:kern w:val="0"/>
          <w:sz w:val="24"/>
          <w:szCs w:val="24"/>
        </w:rPr>
        <w:t>单位公务出国（境）的国际旅费、国外城市间交通费、住宿费、伙食费、培训费、公杂费等支出；公务用车购置</w:t>
      </w:r>
      <w:proofErr w:type="gramStart"/>
      <w:r w:rsidRPr="00775D0E">
        <w:rPr>
          <w:rFonts w:ascii="宋体" w:eastAsia="宋体" w:hAnsi="宋体" w:cs="宋体" w:hint="eastAsia"/>
          <w:kern w:val="0"/>
          <w:sz w:val="24"/>
          <w:szCs w:val="24"/>
        </w:rPr>
        <w:t>费反映</w:t>
      </w:r>
      <w:proofErr w:type="gramEnd"/>
      <w:r w:rsidRPr="00775D0E">
        <w:rPr>
          <w:rFonts w:ascii="宋体" w:eastAsia="宋体" w:hAnsi="宋体" w:cs="宋体" w:hint="eastAsia"/>
          <w:kern w:val="0"/>
          <w:sz w:val="24"/>
          <w:szCs w:val="24"/>
        </w:rPr>
        <w:t>单位公务用车购置支出（</w:t>
      </w:r>
      <w:proofErr w:type="gramStart"/>
      <w:r w:rsidRPr="00775D0E">
        <w:rPr>
          <w:rFonts w:ascii="宋体" w:eastAsia="宋体" w:hAnsi="宋体" w:cs="宋体" w:hint="eastAsia"/>
          <w:kern w:val="0"/>
          <w:sz w:val="24"/>
          <w:szCs w:val="24"/>
        </w:rPr>
        <w:t>含车辆</w:t>
      </w:r>
      <w:proofErr w:type="gramEnd"/>
      <w:r w:rsidRPr="00775D0E">
        <w:rPr>
          <w:rFonts w:ascii="宋体" w:eastAsia="宋体" w:hAnsi="宋体" w:cs="宋体" w:hint="eastAsia"/>
          <w:kern w:val="0"/>
          <w:sz w:val="24"/>
          <w:szCs w:val="24"/>
        </w:rPr>
        <w:t>购置税）；公务用车运行维护费反映单位按规定保留的公务用车燃料费、维修费、过路过桥费、保险费、安全奖励费用等支出；公务接待</w:t>
      </w:r>
      <w:proofErr w:type="gramStart"/>
      <w:r w:rsidRPr="00775D0E">
        <w:rPr>
          <w:rFonts w:ascii="宋体" w:eastAsia="宋体" w:hAnsi="宋体" w:cs="宋体" w:hint="eastAsia"/>
          <w:kern w:val="0"/>
          <w:sz w:val="24"/>
          <w:szCs w:val="24"/>
        </w:rPr>
        <w:t>费反映</w:t>
      </w:r>
      <w:proofErr w:type="gramEnd"/>
      <w:r w:rsidRPr="00775D0E">
        <w:rPr>
          <w:rFonts w:ascii="宋体" w:eastAsia="宋体" w:hAnsi="宋体" w:cs="宋体" w:hint="eastAsia"/>
          <w:kern w:val="0"/>
          <w:sz w:val="24"/>
          <w:szCs w:val="24"/>
        </w:rPr>
        <w:t>单位按规定开支的各类公务接待（含外宾接待）支出。</w:t>
      </w:r>
    </w:p>
    <w:p w:rsidR="00775D0E" w:rsidRPr="00775D0E" w:rsidRDefault="00775D0E" w:rsidP="00775D0E">
      <w:pPr>
        <w:widowControl/>
        <w:spacing w:line="360" w:lineRule="atLeast"/>
        <w:ind w:firstLine="480"/>
        <w:jc w:val="left"/>
        <w:rPr>
          <w:rFonts w:ascii="宋体" w:eastAsia="宋体" w:hAnsi="宋体" w:cs="宋体"/>
          <w:kern w:val="0"/>
          <w:sz w:val="24"/>
          <w:szCs w:val="24"/>
        </w:rPr>
      </w:pPr>
      <w:r w:rsidRPr="00775D0E">
        <w:rPr>
          <w:rFonts w:ascii="宋体" w:eastAsia="宋体" w:hAnsi="宋体" w:cs="宋体" w:hint="eastAsia"/>
          <w:kern w:val="0"/>
          <w:sz w:val="24"/>
          <w:szCs w:val="24"/>
        </w:rPr>
        <w:t>部门预算公开联系人：熊天生</w:t>
      </w:r>
      <w:r w:rsidRPr="00775D0E">
        <w:rPr>
          <w:rFonts w:ascii="宋体" w:eastAsia="宋体" w:hAnsi="宋体" w:cs="宋体" w:hint="eastAsia"/>
          <w:kern w:val="0"/>
          <w:sz w:val="24"/>
          <w:szCs w:val="24"/>
        </w:rPr>
        <w:t> </w:t>
      </w:r>
      <w:r w:rsidRPr="00775D0E">
        <w:rPr>
          <w:rFonts w:ascii="宋体" w:eastAsia="宋体" w:hAnsi="宋体" w:cs="宋体" w:hint="eastAsia"/>
          <w:kern w:val="0"/>
          <w:sz w:val="24"/>
          <w:szCs w:val="24"/>
        </w:rPr>
        <w:t> </w:t>
      </w:r>
      <w:r w:rsidRPr="00775D0E">
        <w:rPr>
          <w:rFonts w:ascii="宋体" w:eastAsia="宋体" w:hAnsi="宋体" w:cs="宋体" w:hint="eastAsia"/>
          <w:kern w:val="0"/>
          <w:sz w:val="24"/>
          <w:szCs w:val="24"/>
        </w:rPr>
        <w:t>联系方式：023-64588008</w:t>
      </w:r>
    </w:p>
    <w:p w:rsidR="00113C56" w:rsidRPr="00775D0E" w:rsidRDefault="00113C56" w:rsidP="00775D0E"/>
    <w:sectPr w:rsidR="00113C56" w:rsidRPr="00775D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999" w:rsidRDefault="00450999" w:rsidP="00775D0E">
      <w:r>
        <w:separator/>
      </w:r>
    </w:p>
  </w:endnote>
  <w:endnote w:type="continuationSeparator" w:id="0">
    <w:p w:rsidR="00450999" w:rsidRDefault="00450999" w:rsidP="0077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999" w:rsidRDefault="00450999" w:rsidP="00775D0E">
      <w:r>
        <w:separator/>
      </w:r>
    </w:p>
  </w:footnote>
  <w:footnote w:type="continuationSeparator" w:id="0">
    <w:p w:rsidR="00450999" w:rsidRDefault="00450999" w:rsidP="00775D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A25"/>
    <w:rsid w:val="00113C56"/>
    <w:rsid w:val="00450999"/>
    <w:rsid w:val="00775D0E"/>
    <w:rsid w:val="00F57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57A25"/>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775D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75D0E"/>
    <w:rPr>
      <w:sz w:val="18"/>
      <w:szCs w:val="18"/>
    </w:rPr>
  </w:style>
  <w:style w:type="paragraph" w:styleId="a5">
    <w:name w:val="footer"/>
    <w:basedOn w:val="a"/>
    <w:link w:val="Char0"/>
    <w:uiPriority w:val="99"/>
    <w:unhideWhenUsed/>
    <w:rsid w:val="00775D0E"/>
    <w:pPr>
      <w:tabs>
        <w:tab w:val="center" w:pos="4153"/>
        <w:tab w:val="right" w:pos="8306"/>
      </w:tabs>
      <w:snapToGrid w:val="0"/>
      <w:jc w:val="left"/>
    </w:pPr>
    <w:rPr>
      <w:sz w:val="18"/>
      <w:szCs w:val="18"/>
    </w:rPr>
  </w:style>
  <w:style w:type="character" w:customStyle="1" w:styleId="Char0">
    <w:name w:val="页脚 Char"/>
    <w:basedOn w:val="a0"/>
    <w:link w:val="a5"/>
    <w:uiPriority w:val="99"/>
    <w:rsid w:val="00775D0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57A25"/>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775D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75D0E"/>
    <w:rPr>
      <w:sz w:val="18"/>
      <w:szCs w:val="18"/>
    </w:rPr>
  </w:style>
  <w:style w:type="paragraph" w:styleId="a5">
    <w:name w:val="footer"/>
    <w:basedOn w:val="a"/>
    <w:link w:val="Char0"/>
    <w:uiPriority w:val="99"/>
    <w:unhideWhenUsed/>
    <w:rsid w:val="00775D0E"/>
    <w:pPr>
      <w:tabs>
        <w:tab w:val="center" w:pos="4153"/>
        <w:tab w:val="right" w:pos="8306"/>
      </w:tabs>
      <w:snapToGrid w:val="0"/>
      <w:jc w:val="left"/>
    </w:pPr>
    <w:rPr>
      <w:sz w:val="18"/>
      <w:szCs w:val="18"/>
    </w:rPr>
  </w:style>
  <w:style w:type="character" w:customStyle="1" w:styleId="Char0">
    <w:name w:val="页脚 Char"/>
    <w:basedOn w:val="a0"/>
    <w:link w:val="a5"/>
    <w:uiPriority w:val="99"/>
    <w:rsid w:val="00775D0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491603">
      <w:bodyDiv w:val="1"/>
      <w:marLeft w:val="0"/>
      <w:marRight w:val="0"/>
      <w:marTop w:val="0"/>
      <w:marBottom w:val="0"/>
      <w:divBdr>
        <w:top w:val="none" w:sz="0" w:space="0" w:color="auto"/>
        <w:left w:val="none" w:sz="0" w:space="0" w:color="auto"/>
        <w:bottom w:val="none" w:sz="0" w:space="0" w:color="auto"/>
        <w:right w:val="none" w:sz="0" w:space="0" w:color="auto"/>
      </w:divBdr>
    </w:div>
    <w:div w:id="74299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273</Words>
  <Characters>1559</Characters>
  <Application>Microsoft Office Word</Application>
  <DocSecurity>0</DocSecurity>
  <Lines>12</Lines>
  <Paragraphs>3</Paragraphs>
  <ScaleCrop>false</ScaleCrop>
  <Company>XTC</Company>
  <LinksUpToDate>false</LinksUpToDate>
  <CharactersWithSpaces>1829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丰都教委</dc:creator>
  <cp:lastModifiedBy>丰都教委</cp:lastModifiedBy>
  <cp:revision>2</cp:revision>
  <dcterms:created xsi:type="dcterms:W3CDTF">2024-11-04T01:18:00Z</dcterms:created>
  <dcterms:modified xsi:type="dcterms:W3CDTF">2024-11-04T01:18:00Z</dcterms:modified>
</cp:coreProperties>
</file>