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before="0" w:beforeAutospacing="0"/>
        <w:jc w:val="center"/>
        <w:rPr>
          <w:rFonts w:hint="default" w:ascii="方正小标宋_GBK" w:hAnsi="方正小标宋_GBK" w:eastAsia="方正小标宋_GBK" w:cs="方正小标宋_GBK"/>
          <w:sz w:val="36"/>
          <w:szCs w:val="36"/>
          <w:shd w:val="clear" w:color="auto" w:fill="FFFFFF"/>
        </w:rPr>
      </w:pPr>
      <w:r>
        <w:rPr>
          <w:rFonts w:ascii="方正小标宋_GBK" w:hAnsi="方正小标宋_GBK" w:eastAsia="方正小标宋_GBK" w:cs="方正小标宋_GBK"/>
          <w:sz w:val="36"/>
          <w:szCs w:val="36"/>
        </w:rPr>
        <w:t>丰都县林业局</w:t>
      </w:r>
      <w:r>
        <w:rPr>
          <w:rFonts w:ascii="方正小标宋_GBK" w:hAnsi="方正小标宋_GBK" w:eastAsia="方正小标宋_GBK" w:cs="方正小标宋_GBK"/>
          <w:sz w:val="36"/>
          <w:szCs w:val="36"/>
          <w:shd w:val="clear" w:color="auto" w:fill="FFFFFF"/>
        </w:rPr>
        <w:t>2023年度决算公开说明</w:t>
      </w:r>
    </w:p>
    <w:p>
      <w:pPr>
        <w:pStyle w:val="6"/>
        <w:keepNext w:val="0"/>
        <w:keepLines w:val="0"/>
        <w:pageBreakBefore w:val="0"/>
        <w:widowControl/>
        <w:shd w:val="clear" w:color="auto" w:fill="FFFFFF"/>
        <w:kinsoku/>
        <w:wordWrap/>
        <w:overflowPunct/>
        <w:topLinePunct w:val="0"/>
        <w:autoSpaceDN/>
        <w:bidi w:val="0"/>
        <w:adjustRightInd/>
        <w:spacing w:line="594" w:lineRule="exact"/>
        <w:textAlignment w:val="auto"/>
        <w:rPr>
          <w:rFonts w:hint="eastAsia" w:ascii="方正黑体_GBK" w:hAnsi="方正黑体_GBK" w:eastAsia="方正黑体_GBK" w:cs="方正黑体_GBK"/>
          <w:b w:val="0"/>
          <w:bCs/>
          <w:sz w:val="28"/>
          <w:szCs w:val="28"/>
        </w:rPr>
      </w:pPr>
      <w:r>
        <w:rPr>
          <w:rStyle w:val="10"/>
          <w:rFonts w:hint="eastAsia" w:ascii="方正黑体_GBK" w:hAnsi="方正黑体_GBK" w:eastAsia="方正黑体_GBK" w:cs="方正黑体_GBK"/>
          <w:b w:val="0"/>
          <w:bCs/>
          <w:sz w:val="28"/>
          <w:szCs w:val="28"/>
          <w:shd w:val="clear" w:color="auto" w:fill="FFFFFF"/>
        </w:rPr>
        <w:t>一、部门基本情况</w:t>
      </w:r>
    </w:p>
    <w:p>
      <w:pPr>
        <w:pStyle w:val="6"/>
        <w:keepNext w:val="0"/>
        <w:keepLines w:val="0"/>
        <w:pageBreakBefore w:val="0"/>
        <w:widowControl/>
        <w:shd w:val="clear" w:color="auto" w:fill="FFFFFF"/>
        <w:kinsoku/>
        <w:wordWrap/>
        <w:overflowPunct/>
        <w:topLinePunct w:val="0"/>
        <w:autoSpaceDN/>
        <w:bidi w:val="0"/>
        <w:adjustRightInd/>
        <w:spacing w:line="594" w:lineRule="exact"/>
        <w:ind w:firstLine="562" w:firstLineChars="200"/>
        <w:jc w:val="both"/>
        <w:textAlignment w:val="auto"/>
        <w:rPr>
          <w:rFonts w:hint="eastAsia" w:ascii="方正仿宋_GBK" w:hAnsi="方正仿宋_GBK" w:eastAsia="方正仿宋_GBK" w:cs="方正仿宋_GBK"/>
          <w:b/>
          <w:bCs/>
          <w:sz w:val="28"/>
          <w:szCs w:val="28"/>
          <w:shd w:val="clear" w:color="auto" w:fill="FFFFFF"/>
        </w:rPr>
      </w:pPr>
      <w:r>
        <w:rPr>
          <w:rFonts w:hint="eastAsia" w:ascii="方正仿宋_GBK" w:hAnsi="方正仿宋_GBK" w:eastAsia="方正仿宋_GBK" w:cs="方正仿宋_GBK"/>
          <w:b/>
          <w:bCs/>
          <w:sz w:val="28"/>
          <w:szCs w:val="28"/>
          <w:shd w:val="clear" w:color="auto" w:fill="FFFFFF"/>
        </w:rPr>
        <w:t>（一）职能职责</w:t>
      </w:r>
    </w:p>
    <w:p>
      <w:pPr>
        <w:pStyle w:val="6"/>
        <w:keepNext w:val="0"/>
        <w:keepLines w:val="0"/>
        <w:pageBreakBefore w:val="0"/>
        <w:widowControl/>
        <w:shd w:val="clear" w:color="auto" w:fill="FFFFFF"/>
        <w:kinsoku/>
        <w:wordWrap/>
        <w:overflowPunct/>
        <w:topLinePunct w:val="0"/>
        <w:autoSpaceDN/>
        <w:bidi w:val="0"/>
        <w:adjustRightInd/>
        <w:spacing w:line="594" w:lineRule="exact"/>
        <w:ind w:firstLine="560" w:firstLineChars="200"/>
        <w:jc w:val="both"/>
        <w:textAlignment w:val="auto"/>
        <w:rPr>
          <w:rFonts w:hint="default" w:ascii="方正仿宋_GBK" w:hAnsi="方正仿宋_GBK" w:eastAsia="方正仿宋_GBK" w:cs="方正仿宋_GBK"/>
          <w:sz w:val="28"/>
          <w:szCs w:val="28"/>
          <w:shd w:val="clear" w:color="auto" w:fill="FFFFFF"/>
        </w:rPr>
      </w:pPr>
      <w:r>
        <w:rPr>
          <w:rFonts w:ascii="方正仿宋_GBK" w:hAnsi="方正仿宋_GBK" w:eastAsia="方正仿宋_GBK" w:cs="方正仿宋_GBK"/>
          <w:sz w:val="28"/>
          <w:szCs w:val="28"/>
          <w:shd w:val="clear" w:color="auto" w:fill="FFFFFF"/>
        </w:rPr>
        <w:t>丰都县林业局是县政府组成部门，由县规划和自然资源局归口管理。主要职责是：负责林业和草原及其生态保护修复的监督管理；牵头组织实施林业和草原等生态保护修复和造林绿化工作；负责森林、草原、湿地资源的监督管理；负责监督管理石漠化防治工作；负责陆生野生动植物资源的监督管理；负责监督管理各类自然保护地；负责推进林业和草原改革发展相关工作；负责森林资源开发利用的监督管理；负责林业和草原领域的相关行政执法工作的监管，指导有关林业行政执法、林区社会治安治理工作；负责落实综合防灾减灾规划相关要求，组织编制森林和草原火灾防治规划和防护计划并指导实施，指导开展防火巡护、火源管理、防火设施建设等工作；负责管理林业和草原及其生态保护县级以上资金和国有资产，提出林业、草原、湿地和石漠化防治预算内投资、财政性资金安排建议；负责林业和草原科技、教育和外事工作，指导全县林业人才队伍、林业科技创新体系、林业技术推广体系建设和林业科技教育培训。</w:t>
      </w:r>
    </w:p>
    <w:p>
      <w:pPr>
        <w:pStyle w:val="6"/>
        <w:keepNext w:val="0"/>
        <w:keepLines w:val="0"/>
        <w:pageBreakBefore w:val="0"/>
        <w:widowControl/>
        <w:shd w:val="clear" w:color="auto" w:fill="FFFFFF"/>
        <w:kinsoku/>
        <w:wordWrap/>
        <w:overflowPunct/>
        <w:topLinePunct w:val="0"/>
        <w:autoSpaceDN/>
        <w:bidi w:val="0"/>
        <w:adjustRightInd/>
        <w:spacing w:line="594" w:lineRule="exact"/>
        <w:ind w:firstLine="562" w:firstLineChars="200"/>
        <w:jc w:val="both"/>
        <w:textAlignment w:val="auto"/>
        <w:rPr>
          <w:rFonts w:hint="default" w:ascii="方正仿宋_GBK" w:hAnsi="方正仿宋_GBK" w:eastAsia="方正仿宋_GBK" w:cs="方正仿宋_GBK"/>
          <w:b/>
          <w:bCs/>
          <w:sz w:val="28"/>
          <w:szCs w:val="28"/>
          <w:shd w:val="clear" w:color="auto" w:fill="FFFFFF"/>
        </w:rPr>
      </w:pPr>
      <w:r>
        <w:rPr>
          <w:rFonts w:hint="eastAsia" w:ascii="方正仿宋_GBK" w:hAnsi="方正仿宋_GBK" w:eastAsia="方正仿宋_GBK" w:cs="方正仿宋_GBK"/>
          <w:b/>
          <w:bCs/>
          <w:sz w:val="28"/>
          <w:szCs w:val="28"/>
          <w:shd w:val="clear" w:color="auto" w:fill="FFFFFF"/>
        </w:rPr>
        <w:t>（二）机构设置</w:t>
      </w:r>
    </w:p>
    <w:p>
      <w:pPr>
        <w:pStyle w:val="6"/>
        <w:keepNext w:val="0"/>
        <w:keepLines w:val="0"/>
        <w:pageBreakBefore w:val="0"/>
        <w:widowControl/>
        <w:shd w:val="clear" w:color="auto" w:fill="FFFFFF"/>
        <w:kinsoku/>
        <w:wordWrap/>
        <w:overflowPunct/>
        <w:topLinePunct w:val="0"/>
        <w:autoSpaceDN/>
        <w:bidi w:val="0"/>
        <w:adjustRightInd/>
        <w:spacing w:line="594" w:lineRule="exact"/>
        <w:ind w:firstLine="560" w:firstLineChars="200"/>
        <w:jc w:val="both"/>
        <w:textAlignment w:val="auto"/>
        <w:rPr>
          <w:rFonts w:hint="default" w:ascii="方正仿宋_GBK" w:hAnsi="方正仿宋_GBK" w:eastAsia="方正仿宋_GBK" w:cs="方正仿宋_GBK"/>
          <w:sz w:val="28"/>
          <w:szCs w:val="28"/>
          <w:shd w:val="clear" w:color="auto" w:fill="FFFFFF"/>
        </w:rPr>
      </w:pPr>
      <w:r>
        <w:rPr>
          <w:rFonts w:ascii="方正仿宋_GBK" w:hAnsi="方正仿宋_GBK" w:eastAsia="方正仿宋_GBK" w:cs="方正仿宋_GBK"/>
          <w:sz w:val="28"/>
          <w:szCs w:val="28"/>
          <w:shd w:val="clear" w:color="auto" w:fill="FFFFFF"/>
        </w:rPr>
        <w:t>本决算包括10个二级决算单位：其中包括：丰都县林业局（本级）、丰都县森林病虫害防治站及丰都县林业行政执法支队，丰都县林木种苗管理站、丰都县林业产业发展中心、丰都县湿地保护管理中心、丰都县三抚林场、丰都县楠木林场、丰都县七跃山林场及丰都县风景名胜管理中心。</w:t>
      </w:r>
    </w:p>
    <w:p>
      <w:pPr>
        <w:pStyle w:val="6"/>
        <w:keepNext w:val="0"/>
        <w:keepLines w:val="0"/>
        <w:pageBreakBefore w:val="0"/>
        <w:widowControl/>
        <w:shd w:val="clear" w:color="auto" w:fill="FFFFFF"/>
        <w:kinsoku/>
        <w:wordWrap/>
        <w:overflowPunct/>
        <w:topLinePunct w:val="0"/>
        <w:autoSpaceDN/>
        <w:bidi w:val="0"/>
        <w:adjustRightInd/>
        <w:spacing w:line="594" w:lineRule="exact"/>
        <w:textAlignment w:val="auto"/>
        <w:rPr>
          <w:rStyle w:val="10"/>
          <w:rFonts w:hint="default" w:ascii="方正黑体_GBK" w:hAnsi="方正黑体_GBK" w:eastAsia="方正黑体_GBK" w:cs="方正黑体_GBK"/>
          <w:b w:val="0"/>
          <w:bCs/>
          <w:sz w:val="28"/>
          <w:szCs w:val="28"/>
          <w:shd w:val="clear" w:color="auto" w:fill="FFFFFF"/>
        </w:rPr>
      </w:pPr>
      <w:r>
        <w:rPr>
          <w:rStyle w:val="10"/>
          <w:rFonts w:hint="eastAsia" w:ascii="方正黑体_GBK" w:hAnsi="方正黑体_GBK" w:eastAsia="方正黑体_GBK" w:cs="方正黑体_GBK"/>
          <w:b w:val="0"/>
          <w:bCs/>
          <w:sz w:val="28"/>
          <w:szCs w:val="28"/>
          <w:shd w:val="clear" w:color="auto" w:fill="FFFFFF"/>
        </w:rPr>
        <w:t>二、部门决算情况说明</w:t>
      </w:r>
    </w:p>
    <w:p>
      <w:pPr>
        <w:pStyle w:val="6"/>
        <w:keepNext w:val="0"/>
        <w:keepLines w:val="0"/>
        <w:pageBreakBefore w:val="0"/>
        <w:widowControl/>
        <w:shd w:val="clear" w:color="auto" w:fill="FFFFFF"/>
        <w:kinsoku/>
        <w:wordWrap/>
        <w:overflowPunct/>
        <w:topLinePunct w:val="0"/>
        <w:autoSpaceDN/>
        <w:bidi w:val="0"/>
        <w:adjustRightInd/>
        <w:spacing w:line="594" w:lineRule="exact"/>
        <w:ind w:firstLine="562" w:firstLineChars="200"/>
        <w:jc w:val="both"/>
        <w:textAlignment w:val="auto"/>
        <w:rPr>
          <w:rFonts w:hint="eastAsia" w:ascii="方正仿宋_GBK" w:hAnsi="方正仿宋_GBK" w:eastAsia="方正仿宋_GBK" w:cs="方正仿宋_GBK"/>
          <w:b/>
          <w:bCs/>
          <w:sz w:val="28"/>
          <w:szCs w:val="28"/>
          <w:shd w:val="clear" w:color="auto" w:fill="FFFFFF"/>
        </w:rPr>
      </w:pPr>
      <w:r>
        <w:rPr>
          <w:rFonts w:hint="eastAsia" w:ascii="方正仿宋_GBK" w:hAnsi="方正仿宋_GBK" w:eastAsia="方正仿宋_GBK" w:cs="方正仿宋_GBK"/>
          <w:b/>
          <w:bCs/>
          <w:sz w:val="28"/>
          <w:szCs w:val="28"/>
          <w:shd w:val="clear" w:color="auto" w:fill="FFFFFF"/>
        </w:rPr>
        <w:t>（一）收入支出决算总体情况说明</w:t>
      </w:r>
    </w:p>
    <w:p>
      <w:pPr>
        <w:pStyle w:val="6"/>
        <w:keepNext w:val="0"/>
        <w:keepLines w:val="0"/>
        <w:pageBreakBefore w:val="0"/>
        <w:widowControl/>
        <w:shd w:val="clear" w:color="auto" w:fill="FFFFFF"/>
        <w:kinsoku/>
        <w:wordWrap/>
        <w:overflowPunct/>
        <w:topLinePunct w:val="0"/>
        <w:autoSpaceDN/>
        <w:bidi w:val="0"/>
        <w:adjustRightInd/>
        <w:spacing w:line="594" w:lineRule="exact"/>
        <w:ind w:firstLine="562" w:firstLineChars="200"/>
        <w:jc w:val="both"/>
        <w:textAlignment w:val="auto"/>
        <w:rPr>
          <w:rFonts w:hint="default" w:ascii="方正仿宋_GBK" w:hAnsi="方正仿宋_GBK" w:eastAsia="方正仿宋_GBK" w:cs="方正仿宋_GBK"/>
          <w:sz w:val="28"/>
          <w:szCs w:val="28"/>
        </w:rPr>
      </w:pPr>
      <w:r>
        <w:rPr>
          <w:rStyle w:val="10"/>
          <w:rFonts w:ascii="方正仿宋_GBK" w:hAnsi="方正仿宋_GBK" w:eastAsia="方正仿宋_GBK" w:cs="方正仿宋_GBK"/>
          <w:sz w:val="28"/>
          <w:szCs w:val="28"/>
          <w:shd w:val="clear" w:color="auto" w:fill="FFFFFF"/>
        </w:rPr>
        <w:t>1.总体情况。</w:t>
      </w:r>
      <w:r>
        <w:rPr>
          <w:rFonts w:ascii="方正仿宋_GBK" w:hAnsi="方正仿宋_GBK" w:eastAsia="方正仿宋_GBK" w:cs="方正仿宋_GBK"/>
          <w:sz w:val="28"/>
          <w:szCs w:val="28"/>
          <w:shd w:val="clear" w:color="auto" w:fill="FFFFFF"/>
        </w:rPr>
        <w:t>2023年度收入总计22167.04万元，支出总计</w:t>
      </w:r>
      <w:r>
        <w:rPr>
          <w:rFonts w:ascii="方正仿宋_GBK" w:hAnsi="方正仿宋_GBK" w:eastAsia="方正仿宋_GBK" w:cs="方正仿宋_GBK"/>
          <w:sz w:val="28"/>
          <w:szCs w:val="28"/>
        </w:rPr>
        <w:t>22167.04</w:t>
      </w:r>
      <w:r>
        <w:rPr>
          <w:rFonts w:ascii="方正仿宋_GBK" w:hAnsi="方正仿宋_GBK" w:eastAsia="方正仿宋_GBK" w:cs="方正仿宋_GBK"/>
          <w:sz w:val="28"/>
          <w:szCs w:val="28"/>
          <w:shd w:val="clear" w:color="auto" w:fill="FFFFFF"/>
        </w:rPr>
        <w:t>万元。收支较上年决算数增加3652.88万元，增长19.73%，主要原因是今年有新进人员、信访事务支出、招商</w:t>
      </w:r>
      <w:r>
        <w:rPr>
          <w:rFonts w:ascii="Times New Roman" w:hAnsi="Times New Roman" w:eastAsia="方正仿宋_GBK"/>
          <w:snapToGrid w:val="0"/>
          <w:sz w:val="28"/>
          <w:szCs w:val="28"/>
        </w:rPr>
        <w:t>引资支出以及2023年度的森林防火、森林资源调查、龙河左岸项目的增加</w:t>
      </w:r>
      <w:r>
        <w:rPr>
          <w:rFonts w:ascii="方正仿宋_GBK" w:hAnsi="方正仿宋_GBK" w:eastAsia="方正仿宋_GBK" w:cs="方正仿宋_GBK"/>
          <w:sz w:val="28"/>
          <w:szCs w:val="28"/>
          <w:shd w:val="clear" w:color="auto" w:fill="FFFFFF"/>
        </w:rPr>
        <w:t>。导致</w:t>
      </w:r>
      <w:r>
        <w:rPr>
          <w:rFonts w:ascii="Times New Roman" w:hAnsi="Times New Roman" w:eastAsia="方正仿宋_GBK"/>
          <w:snapToGrid w:val="0"/>
          <w:sz w:val="28"/>
          <w:szCs w:val="28"/>
        </w:rPr>
        <w:t>我部门一般公共预算拨款的项目资金及其他收入资金较上年有所增加。</w:t>
      </w:r>
    </w:p>
    <w:p>
      <w:pPr>
        <w:pStyle w:val="6"/>
        <w:keepNext w:val="0"/>
        <w:keepLines w:val="0"/>
        <w:pageBreakBefore w:val="0"/>
        <w:widowControl/>
        <w:shd w:val="clear" w:color="auto" w:fill="FFFFFF"/>
        <w:kinsoku/>
        <w:wordWrap/>
        <w:overflowPunct/>
        <w:topLinePunct w:val="0"/>
        <w:autoSpaceDN/>
        <w:bidi w:val="0"/>
        <w:adjustRightInd/>
        <w:spacing w:line="594" w:lineRule="exact"/>
        <w:ind w:firstLine="562" w:firstLineChars="200"/>
        <w:jc w:val="both"/>
        <w:textAlignment w:val="auto"/>
        <w:rPr>
          <w:rFonts w:hint="default" w:ascii="方正仿宋_GBK" w:hAnsi="方正仿宋_GBK" w:eastAsia="方正仿宋_GBK" w:cs="方正仿宋_GBK"/>
          <w:sz w:val="28"/>
          <w:szCs w:val="28"/>
          <w:shd w:val="clear" w:color="auto" w:fill="FFFFFF"/>
        </w:rPr>
      </w:pPr>
      <w:r>
        <w:rPr>
          <w:rStyle w:val="10"/>
          <w:rFonts w:ascii="方正仿宋_GBK" w:hAnsi="方正仿宋_GBK" w:eastAsia="方正仿宋_GBK" w:cs="方正仿宋_GBK"/>
          <w:sz w:val="28"/>
          <w:szCs w:val="28"/>
          <w:shd w:val="clear" w:color="auto" w:fill="FFFFFF"/>
        </w:rPr>
        <w:t>2.收入情况。</w:t>
      </w:r>
      <w:r>
        <w:rPr>
          <w:rFonts w:ascii="方正仿宋_GBK" w:hAnsi="方正仿宋_GBK" w:eastAsia="方正仿宋_GBK" w:cs="方正仿宋_GBK"/>
          <w:sz w:val="28"/>
          <w:szCs w:val="28"/>
          <w:shd w:val="clear" w:color="auto" w:fill="FFFFFF"/>
        </w:rPr>
        <w:t>2023年度收入合计20896.22万元，较上年决算数增加2581.19万元，增长14.09%，主要原因是今年有新进人员、信访事务支出、招商</w:t>
      </w:r>
      <w:r>
        <w:rPr>
          <w:rFonts w:ascii="Times New Roman" w:hAnsi="Times New Roman" w:eastAsia="方正仿宋_GBK"/>
          <w:snapToGrid w:val="0"/>
          <w:sz w:val="28"/>
          <w:szCs w:val="28"/>
        </w:rPr>
        <w:t>引资支出以及2023年度的森林防火、森林资源调查、龙河左岸项目的增加</w:t>
      </w:r>
      <w:r>
        <w:rPr>
          <w:rFonts w:ascii="方正仿宋_GBK" w:hAnsi="方正仿宋_GBK" w:eastAsia="方正仿宋_GBK" w:cs="方正仿宋_GBK"/>
          <w:sz w:val="28"/>
          <w:szCs w:val="28"/>
          <w:shd w:val="clear" w:color="auto" w:fill="FFFFFF"/>
        </w:rPr>
        <w:t>。导致</w:t>
      </w:r>
      <w:r>
        <w:rPr>
          <w:rFonts w:ascii="Times New Roman" w:hAnsi="Times New Roman" w:eastAsia="方正仿宋_GBK"/>
          <w:snapToGrid w:val="0"/>
          <w:sz w:val="28"/>
          <w:szCs w:val="28"/>
        </w:rPr>
        <w:t>我部门一般公共预算拨款的项目资金及其他资金支出较上年有所增加</w:t>
      </w:r>
      <w:r>
        <w:rPr>
          <w:rFonts w:ascii="方正仿宋_GBK" w:hAnsi="方正仿宋_GBK" w:eastAsia="方正仿宋_GBK" w:cs="方正仿宋_GBK"/>
          <w:sz w:val="28"/>
          <w:szCs w:val="28"/>
          <w:shd w:val="clear" w:color="auto" w:fill="FFFFFF"/>
        </w:rPr>
        <w:t>。其中：财政拨款收入</w:t>
      </w:r>
      <w:r>
        <w:rPr>
          <w:rFonts w:ascii="方正仿宋_GBK" w:hAnsi="方正仿宋_GBK" w:eastAsia="方正仿宋_GBK" w:cs="方正仿宋_GBK"/>
          <w:sz w:val="28"/>
          <w:szCs w:val="28"/>
        </w:rPr>
        <w:t>20896.22</w:t>
      </w:r>
      <w:r>
        <w:rPr>
          <w:rFonts w:ascii="方正仿宋_GBK" w:hAnsi="方正仿宋_GBK" w:eastAsia="方正仿宋_GBK" w:cs="方正仿宋_GBK"/>
          <w:sz w:val="28"/>
          <w:szCs w:val="28"/>
          <w:shd w:val="clear" w:color="auto" w:fill="FFFFFF"/>
        </w:rPr>
        <w:t>万元，占</w:t>
      </w:r>
      <w:r>
        <w:rPr>
          <w:rFonts w:ascii="方正仿宋_GBK" w:hAnsi="方正仿宋_GBK" w:eastAsia="方正仿宋_GBK" w:cs="方正仿宋_GBK"/>
          <w:sz w:val="28"/>
          <w:szCs w:val="28"/>
        </w:rPr>
        <w:t>100.00</w:t>
      </w:r>
      <w:r>
        <w:rPr>
          <w:rFonts w:ascii="方正仿宋_GBK" w:hAnsi="方正仿宋_GBK" w:eastAsia="方正仿宋_GBK" w:cs="方正仿宋_GBK"/>
          <w:sz w:val="28"/>
          <w:szCs w:val="28"/>
          <w:shd w:val="clear" w:color="auto" w:fill="FFFFFF"/>
        </w:rPr>
        <w:t>%；事业收入</w:t>
      </w:r>
      <w:r>
        <w:rPr>
          <w:rFonts w:ascii="方正仿宋_GBK" w:hAnsi="方正仿宋_GBK" w:eastAsia="方正仿宋_GBK" w:cs="方正仿宋_GBK"/>
          <w:sz w:val="28"/>
          <w:szCs w:val="28"/>
        </w:rPr>
        <w:t>0.00</w:t>
      </w:r>
      <w:r>
        <w:rPr>
          <w:rFonts w:ascii="方正仿宋_GBK" w:hAnsi="方正仿宋_GBK" w:eastAsia="方正仿宋_GBK" w:cs="方正仿宋_GBK"/>
          <w:sz w:val="28"/>
          <w:szCs w:val="28"/>
          <w:shd w:val="clear" w:color="auto" w:fill="FFFFFF"/>
        </w:rPr>
        <w:t>万元，占0.00%；经营收入</w:t>
      </w:r>
      <w:r>
        <w:rPr>
          <w:rFonts w:ascii="方正仿宋_GBK" w:hAnsi="方正仿宋_GBK" w:eastAsia="方正仿宋_GBK" w:cs="方正仿宋_GBK"/>
          <w:sz w:val="28"/>
          <w:szCs w:val="28"/>
        </w:rPr>
        <w:t>0.00</w:t>
      </w:r>
      <w:r>
        <w:rPr>
          <w:rFonts w:ascii="方正仿宋_GBK" w:hAnsi="方正仿宋_GBK" w:eastAsia="方正仿宋_GBK" w:cs="方正仿宋_GBK"/>
          <w:sz w:val="28"/>
          <w:szCs w:val="28"/>
          <w:shd w:val="clear" w:color="auto" w:fill="FFFFFF"/>
        </w:rPr>
        <w:t>万元，占0.00%；其他收入</w:t>
      </w:r>
      <w:r>
        <w:rPr>
          <w:rFonts w:ascii="方正仿宋_GBK" w:hAnsi="方正仿宋_GBK" w:eastAsia="方正仿宋_GBK" w:cs="方正仿宋_GBK"/>
          <w:sz w:val="28"/>
          <w:szCs w:val="28"/>
        </w:rPr>
        <w:t>0.00</w:t>
      </w:r>
      <w:r>
        <w:rPr>
          <w:rFonts w:ascii="方正仿宋_GBK" w:hAnsi="方正仿宋_GBK" w:eastAsia="方正仿宋_GBK" w:cs="方正仿宋_GBK"/>
          <w:sz w:val="28"/>
          <w:szCs w:val="28"/>
          <w:shd w:val="clear" w:color="auto" w:fill="FFFFFF"/>
        </w:rPr>
        <w:t>万元，占0.00%。此外，使用非财政拨款结余和专用结余</w:t>
      </w:r>
      <w:r>
        <w:rPr>
          <w:rFonts w:ascii="方正仿宋_GBK" w:hAnsi="方正仿宋_GBK" w:eastAsia="方正仿宋_GBK" w:cs="方正仿宋_GBK"/>
          <w:sz w:val="28"/>
          <w:szCs w:val="28"/>
        </w:rPr>
        <w:t>0.00</w:t>
      </w:r>
      <w:r>
        <w:rPr>
          <w:rFonts w:ascii="方正仿宋_GBK" w:hAnsi="方正仿宋_GBK" w:eastAsia="方正仿宋_GBK" w:cs="方正仿宋_GBK"/>
          <w:sz w:val="28"/>
          <w:szCs w:val="28"/>
          <w:shd w:val="clear" w:color="auto" w:fill="FFFFFF"/>
        </w:rPr>
        <w:t>万元，年初结转和结余</w:t>
      </w:r>
      <w:r>
        <w:rPr>
          <w:rFonts w:ascii="方正仿宋_GBK" w:hAnsi="方正仿宋_GBK" w:eastAsia="方正仿宋_GBK" w:cs="方正仿宋_GBK"/>
          <w:sz w:val="28"/>
          <w:szCs w:val="28"/>
        </w:rPr>
        <w:t>1270.83</w:t>
      </w:r>
      <w:r>
        <w:rPr>
          <w:rFonts w:ascii="方正仿宋_GBK" w:hAnsi="方正仿宋_GBK" w:eastAsia="方正仿宋_GBK" w:cs="方正仿宋_GBK"/>
          <w:sz w:val="28"/>
          <w:szCs w:val="28"/>
          <w:shd w:val="clear" w:color="auto" w:fill="FFFFFF"/>
        </w:rPr>
        <w:t>万元。</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562" w:firstLineChars="200"/>
        <w:jc w:val="both"/>
        <w:textAlignment w:val="auto"/>
        <w:rPr>
          <w:rFonts w:hint="default" w:ascii="方正仿宋_GBK" w:hAnsi="方正仿宋_GBK" w:eastAsia="方正仿宋_GBK" w:cs="方正仿宋_GBK"/>
          <w:sz w:val="28"/>
          <w:szCs w:val="28"/>
          <w:shd w:val="clear" w:color="auto" w:fill="FFFFFF"/>
        </w:rPr>
      </w:pPr>
      <w:r>
        <w:rPr>
          <w:rStyle w:val="10"/>
          <w:rFonts w:ascii="方正仿宋_GBK" w:hAnsi="方正仿宋_GBK" w:eastAsia="方正仿宋_GBK" w:cs="方正仿宋_GBK"/>
          <w:sz w:val="28"/>
          <w:szCs w:val="28"/>
          <w:shd w:val="clear" w:color="auto" w:fill="FFFFFF"/>
        </w:rPr>
        <w:t>3.支出情况。</w:t>
      </w:r>
      <w:r>
        <w:rPr>
          <w:rFonts w:ascii="方正仿宋_GBK" w:hAnsi="方正仿宋_GBK" w:eastAsia="方正仿宋_GBK" w:cs="方正仿宋_GBK"/>
          <w:sz w:val="28"/>
          <w:szCs w:val="28"/>
          <w:shd w:val="clear" w:color="auto" w:fill="FFFFFF"/>
        </w:rPr>
        <w:t>2023年度支出合计</w:t>
      </w:r>
      <w:r>
        <w:rPr>
          <w:rFonts w:ascii="方正仿宋_GBK" w:hAnsi="方正仿宋_GBK" w:eastAsia="方正仿宋_GBK" w:cs="方正仿宋_GBK"/>
          <w:sz w:val="28"/>
          <w:szCs w:val="28"/>
        </w:rPr>
        <w:t>21981.25</w:t>
      </w:r>
      <w:r>
        <w:rPr>
          <w:rFonts w:ascii="方正仿宋_GBK" w:hAnsi="方正仿宋_GBK" w:eastAsia="方正仿宋_GBK" w:cs="方正仿宋_GBK"/>
          <w:sz w:val="28"/>
          <w:szCs w:val="28"/>
          <w:shd w:val="clear" w:color="auto" w:fill="FFFFFF"/>
        </w:rPr>
        <w:t>万元，较上年决算数增加3653.43万元，增长19.93%，主要原因是今年的新进人员增加，导致人员经费增加。并且2023年龙河左岸、森林资源调查、管护站的修建等项目增加，支付的项目款项相应增加。其中：基本支出</w:t>
      </w:r>
      <w:r>
        <w:rPr>
          <w:rFonts w:ascii="方正仿宋_GBK" w:hAnsi="方正仿宋_GBK" w:eastAsia="方正仿宋_GBK" w:cs="方正仿宋_GBK"/>
          <w:sz w:val="28"/>
          <w:szCs w:val="28"/>
        </w:rPr>
        <w:t>6535.28</w:t>
      </w:r>
      <w:r>
        <w:rPr>
          <w:rFonts w:ascii="方正仿宋_GBK" w:hAnsi="方正仿宋_GBK" w:eastAsia="方正仿宋_GBK" w:cs="方正仿宋_GBK"/>
          <w:sz w:val="28"/>
          <w:szCs w:val="28"/>
          <w:shd w:val="clear" w:color="auto" w:fill="FFFFFF"/>
        </w:rPr>
        <w:t>万元，占29.73%；项目支出</w:t>
      </w:r>
      <w:r>
        <w:rPr>
          <w:rFonts w:ascii="方正仿宋_GBK" w:hAnsi="方正仿宋_GBK" w:eastAsia="方正仿宋_GBK" w:cs="方正仿宋_GBK"/>
          <w:sz w:val="28"/>
          <w:szCs w:val="28"/>
        </w:rPr>
        <w:t>15445.97</w:t>
      </w:r>
      <w:r>
        <w:rPr>
          <w:rFonts w:ascii="方正仿宋_GBK" w:hAnsi="方正仿宋_GBK" w:eastAsia="方正仿宋_GBK" w:cs="方正仿宋_GBK"/>
          <w:sz w:val="28"/>
          <w:szCs w:val="28"/>
          <w:shd w:val="clear" w:color="auto" w:fill="FFFFFF"/>
        </w:rPr>
        <w:t>万元，占70.27%；经营支出</w:t>
      </w:r>
      <w:r>
        <w:rPr>
          <w:rFonts w:ascii="方正仿宋_GBK" w:hAnsi="方正仿宋_GBK" w:eastAsia="方正仿宋_GBK" w:cs="方正仿宋_GBK"/>
          <w:sz w:val="28"/>
          <w:szCs w:val="28"/>
        </w:rPr>
        <w:t>0.00</w:t>
      </w:r>
      <w:r>
        <w:rPr>
          <w:rFonts w:ascii="方正仿宋_GBK" w:hAnsi="方正仿宋_GBK" w:eastAsia="方正仿宋_GBK" w:cs="方正仿宋_GBK"/>
          <w:sz w:val="28"/>
          <w:szCs w:val="28"/>
          <w:shd w:val="clear" w:color="auto" w:fill="FFFFFF"/>
        </w:rPr>
        <w:t>万元，占0.00%。此外，结余分配</w:t>
      </w:r>
      <w:r>
        <w:rPr>
          <w:rFonts w:ascii="方正仿宋_GBK" w:hAnsi="方正仿宋_GBK" w:eastAsia="方正仿宋_GBK" w:cs="方正仿宋_GBK"/>
          <w:sz w:val="28"/>
          <w:szCs w:val="28"/>
        </w:rPr>
        <w:t>0.00</w:t>
      </w:r>
      <w:r>
        <w:rPr>
          <w:rFonts w:ascii="方正仿宋_GBK" w:hAnsi="方正仿宋_GBK" w:eastAsia="方正仿宋_GBK" w:cs="方正仿宋_GBK"/>
          <w:sz w:val="28"/>
          <w:szCs w:val="28"/>
          <w:shd w:val="clear" w:color="auto" w:fill="FFFFFF"/>
        </w:rPr>
        <w:t>万元。</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562" w:firstLineChars="200"/>
        <w:jc w:val="both"/>
        <w:textAlignment w:val="auto"/>
        <w:rPr>
          <w:rFonts w:hint="default" w:ascii="方正仿宋_GBK" w:hAnsi="方正仿宋_GBK" w:eastAsia="方正仿宋_GBK" w:cs="方正仿宋_GBK"/>
          <w:sz w:val="28"/>
          <w:szCs w:val="28"/>
        </w:rPr>
      </w:pPr>
      <w:r>
        <w:rPr>
          <w:rStyle w:val="10"/>
          <w:rFonts w:ascii="方正仿宋_GBK" w:hAnsi="方正仿宋_GBK" w:eastAsia="方正仿宋_GBK" w:cs="方正仿宋_GBK"/>
          <w:sz w:val="28"/>
          <w:szCs w:val="28"/>
          <w:shd w:val="clear" w:color="auto" w:fill="FFFFFF"/>
        </w:rPr>
        <w:t>4.结转结余情况。</w:t>
      </w:r>
      <w:r>
        <w:rPr>
          <w:rFonts w:ascii="方正仿宋_GBK" w:hAnsi="方正仿宋_GBK" w:eastAsia="方正仿宋_GBK" w:cs="方正仿宋_GBK"/>
          <w:sz w:val="28"/>
          <w:szCs w:val="28"/>
          <w:shd w:val="clear" w:color="auto" w:fill="FFFFFF"/>
        </w:rPr>
        <w:t>2023年度年末结转和结余</w:t>
      </w:r>
      <w:r>
        <w:rPr>
          <w:rFonts w:ascii="方正仿宋_GBK" w:hAnsi="方正仿宋_GBK" w:eastAsia="方正仿宋_GBK" w:cs="方正仿宋_GBK"/>
          <w:sz w:val="28"/>
          <w:szCs w:val="28"/>
        </w:rPr>
        <w:t>185.79</w:t>
      </w:r>
      <w:r>
        <w:rPr>
          <w:rFonts w:ascii="方正仿宋_GBK" w:hAnsi="方正仿宋_GBK" w:eastAsia="方正仿宋_GBK" w:cs="方正仿宋_GBK"/>
          <w:sz w:val="28"/>
          <w:szCs w:val="28"/>
          <w:shd w:val="clear" w:color="auto" w:fill="FFFFFF"/>
        </w:rPr>
        <w:t>万元，较上年决算数减少0.55万元，下降0.30%，主要原因是今年的支出部分款项是从年初的结转结余中支出，且年初的收入已全部支出。</w:t>
      </w:r>
    </w:p>
    <w:p>
      <w:pPr>
        <w:pStyle w:val="6"/>
        <w:keepNext w:val="0"/>
        <w:keepLines w:val="0"/>
        <w:pageBreakBefore w:val="0"/>
        <w:widowControl/>
        <w:shd w:val="clear" w:color="auto" w:fill="FFFFFF"/>
        <w:kinsoku/>
        <w:wordWrap/>
        <w:overflowPunct/>
        <w:topLinePunct w:val="0"/>
        <w:autoSpaceDN/>
        <w:bidi w:val="0"/>
        <w:adjustRightInd/>
        <w:spacing w:line="594" w:lineRule="exact"/>
        <w:ind w:firstLine="562" w:firstLineChars="200"/>
        <w:jc w:val="both"/>
        <w:textAlignment w:val="auto"/>
        <w:rPr>
          <w:rFonts w:hint="eastAsia" w:ascii="方正仿宋_GBK" w:hAnsi="方正仿宋_GBK" w:eastAsia="方正仿宋_GBK" w:cs="方正仿宋_GBK"/>
          <w:b/>
          <w:bCs/>
          <w:sz w:val="28"/>
          <w:szCs w:val="28"/>
          <w:shd w:val="clear" w:color="auto" w:fill="FFFFFF"/>
        </w:rPr>
      </w:pPr>
      <w:r>
        <w:rPr>
          <w:rFonts w:hint="eastAsia" w:ascii="方正仿宋_GBK" w:hAnsi="方正仿宋_GBK" w:eastAsia="方正仿宋_GBK" w:cs="方正仿宋_GBK"/>
          <w:b/>
          <w:bCs/>
          <w:sz w:val="28"/>
          <w:szCs w:val="28"/>
          <w:shd w:val="clear" w:color="auto" w:fill="FFFFFF"/>
        </w:rPr>
        <w:t>（二）财政拨款收入支出决算总体情况说明</w:t>
      </w:r>
    </w:p>
    <w:p>
      <w:pPr>
        <w:pStyle w:val="6"/>
        <w:keepNext w:val="0"/>
        <w:keepLines w:val="0"/>
        <w:pageBreakBefore w:val="0"/>
        <w:widowControl/>
        <w:shd w:val="clear" w:color="auto" w:fill="FFFFFF"/>
        <w:kinsoku/>
        <w:wordWrap/>
        <w:overflowPunct/>
        <w:topLinePunct w:val="0"/>
        <w:autoSpaceDN/>
        <w:bidi w:val="0"/>
        <w:adjustRightInd/>
        <w:spacing w:line="594" w:lineRule="exact"/>
        <w:ind w:firstLine="560" w:firstLineChars="200"/>
        <w:jc w:val="both"/>
        <w:textAlignment w:val="auto"/>
        <w:rPr>
          <w:rFonts w:hint="default" w:ascii="方正仿宋_GBK" w:hAnsi="方正仿宋_GBK" w:eastAsia="方正仿宋_GBK" w:cs="方正仿宋_GBK"/>
          <w:sz w:val="28"/>
          <w:szCs w:val="28"/>
        </w:rPr>
      </w:pPr>
      <w:r>
        <w:rPr>
          <w:rFonts w:ascii="方正仿宋_GBK" w:hAnsi="方正仿宋_GBK" w:eastAsia="方正仿宋_GBK" w:cs="方正仿宋_GBK"/>
          <w:sz w:val="28"/>
          <w:szCs w:val="28"/>
          <w:shd w:val="clear" w:color="auto" w:fill="FFFFFF"/>
        </w:rPr>
        <w:t>2023年度财政拨款收、支总计22062.59万元。与2022年相比，财政拨款收、支总计各增加3708.37万元，增长20.20%。主要原因是今年的新进人员增加，导致人员经费增加。并且2023年龙河左岸、森林资源调查、管护站的修建等项目增加，支付的项目款项相应增加</w:t>
      </w:r>
      <w:r>
        <w:rPr>
          <w:rFonts w:ascii="Times New Roman" w:hAnsi="Times New Roman" w:eastAsia="方正仿宋_GBK"/>
          <w:snapToGrid w:val="0"/>
          <w:sz w:val="28"/>
          <w:szCs w:val="28"/>
        </w:rPr>
        <w:t>。</w:t>
      </w:r>
    </w:p>
    <w:p>
      <w:pPr>
        <w:pStyle w:val="6"/>
        <w:keepNext w:val="0"/>
        <w:keepLines w:val="0"/>
        <w:pageBreakBefore w:val="0"/>
        <w:widowControl/>
        <w:shd w:val="clear" w:color="auto" w:fill="FFFFFF"/>
        <w:kinsoku/>
        <w:wordWrap/>
        <w:overflowPunct/>
        <w:topLinePunct w:val="0"/>
        <w:autoSpaceDN/>
        <w:bidi w:val="0"/>
        <w:adjustRightInd/>
        <w:spacing w:line="594" w:lineRule="exact"/>
        <w:ind w:firstLine="562" w:firstLineChars="200"/>
        <w:jc w:val="both"/>
        <w:textAlignment w:val="auto"/>
        <w:rPr>
          <w:rFonts w:hint="eastAsia" w:ascii="方正仿宋_GBK" w:hAnsi="方正仿宋_GBK" w:eastAsia="方正仿宋_GBK" w:cs="方正仿宋_GBK"/>
          <w:b/>
          <w:bCs/>
          <w:sz w:val="28"/>
          <w:szCs w:val="28"/>
          <w:shd w:val="clear" w:color="auto" w:fill="FFFFFF"/>
        </w:rPr>
      </w:pPr>
      <w:r>
        <w:rPr>
          <w:rFonts w:hint="eastAsia" w:ascii="方正仿宋_GBK" w:hAnsi="方正仿宋_GBK" w:eastAsia="方正仿宋_GBK" w:cs="方正仿宋_GBK"/>
          <w:b/>
          <w:bCs/>
          <w:sz w:val="28"/>
          <w:szCs w:val="28"/>
          <w:shd w:val="clear" w:color="auto" w:fill="FFFFFF"/>
        </w:rPr>
        <w:t>（三）一般公共预算财政拨款收入支出决算情况说明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562" w:firstLineChars="200"/>
        <w:jc w:val="both"/>
        <w:textAlignment w:val="auto"/>
        <w:rPr>
          <w:rFonts w:hint="default" w:ascii="方正仿宋_GBK" w:hAnsi="方正仿宋_GBK" w:eastAsia="方正仿宋_GBK" w:cs="方正仿宋_GBK"/>
          <w:sz w:val="28"/>
          <w:szCs w:val="28"/>
        </w:rPr>
      </w:pPr>
      <w:r>
        <w:rPr>
          <w:rStyle w:val="10"/>
          <w:rFonts w:ascii="方正仿宋_GBK" w:hAnsi="方正仿宋_GBK" w:eastAsia="方正仿宋_GBK" w:cs="方正仿宋_GBK"/>
          <w:sz w:val="28"/>
          <w:szCs w:val="28"/>
          <w:shd w:val="clear" w:color="auto" w:fill="FFFFFF"/>
        </w:rPr>
        <w:t>1.收入情况。</w:t>
      </w:r>
      <w:r>
        <w:rPr>
          <w:rFonts w:ascii="方正仿宋_GBK" w:hAnsi="方正仿宋_GBK" w:eastAsia="方正仿宋_GBK" w:cs="方正仿宋_GBK"/>
          <w:sz w:val="28"/>
          <w:szCs w:val="28"/>
          <w:shd w:val="clear" w:color="auto" w:fill="FFFFFF"/>
        </w:rPr>
        <w:t>2023年度一般公共预算财政拨款收入</w:t>
      </w:r>
      <w:r>
        <w:rPr>
          <w:rFonts w:ascii="方正仿宋_GBK" w:hAnsi="方正仿宋_GBK" w:eastAsia="方正仿宋_GBK" w:cs="方正仿宋_GBK"/>
          <w:sz w:val="28"/>
          <w:szCs w:val="28"/>
        </w:rPr>
        <w:t>20896.22</w:t>
      </w:r>
      <w:r>
        <w:rPr>
          <w:rFonts w:ascii="方正仿宋_GBK" w:hAnsi="方正仿宋_GBK" w:eastAsia="方正仿宋_GBK" w:cs="方正仿宋_GBK"/>
          <w:sz w:val="28"/>
          <w:szCs w:val="28"/>
          <w:shd w:val="clear" w:color="auto" w:fill="FFFFFF"/>
        </w:rPr>
        <w:t>万元，较上年决算数增加2903.42万元，增长16.14%。主要原因是今年有新增人员以及项目款的增多。导致</w:t>
      </w:r>
      <w:r>
        <w:rPr>
          <w:rFonts w:ascii="Times New Roman" w:hAnsi="Times New Roman" w:eastAsia="方正仿宋_GBK"/>
          <w:snapToGrid w:val="0"/>
          <w:sz w:val="28"/>
          <w:szCs w:val="28"/>
        </w:rPr>
        <w:t>我部门一般公共预算拨款的项目资金及其他收入资金较上年有所增加</w:t>
      </w:r>
      <w:r>
        <w:rPr>
          <w:rFonts w:ascii="方正仿宋_GBK" w:hAnsi="方正仿宋_GBK" w:eastAsia="方正仿宋_GBK" w:cs="方正仿宋_GBK"/>
          <w:sz w:val="28"/>
          <w:szCs w:val="28"/>
          <w:shd w:val="clear" w:color="auto" w:fill="FFFFFF"/>
        </w:rPr>
        <w:t>。较年初预算数增加1426.82万元，增长7.33%。</w:t>
      </w:r>
      <w:r>
        <w:rPr>
          <w:rFonts w:ascii="Times New Roman" w:hAnsi="Times New Roman" w:eastAsia="方正仿宋_GBK"/>
          <w:snapToGrid w:val="0"/>
          <w:sz w:val="28"/>
          <w:szCs w:val="28"/>
        </w:rPr>
        <w:t>主要原因是市级拨入的林业生态保护与恢复资金及林业改革发展资金较年初预算拨款增加, 一般公共预算拨款的基本支出拨款较年初预算增加。</w:t>
      </w:r>
      <w:r>
        <w:rPr>
          <w:rFonts w:ascii="方正仿宋_GBK" w:hAnsi="方正仿宋_GBK" w:eastAsia="方正仿宋_GBK" w:cs="方正仿宋_GBK"/>
          <w:sz w:val="28"/>
          <w:szCs w:val="28"/>
          <w:shd w:val="clear" w:color="auto" w:fill="FFFFFF"/>
        </w:rPr>
        <w:t>此外，年初财政拨款结转和结余</w:t>
      </w:r>
      <w:r>
        <w:rPr>
          <w:rFonts w:ascii="方正仿宋_GBK" w:hAnsi="方正仿宋_GBK" w:eastAsia="方正仿宋_GBK" w:cs="方正仿宋_GBK"/>
          <w:sz w:val="28"/>
          <w:szCs w:val="28"/>
        </w:rPr>
        <w:t>1166.37</w:t>
      </w:r>
      <w:r>
        <w:rPr>
          <w:rFonts w:ascii="方正仿宋_GBK" w:hAnsi="方正仿宋_GBK" w:eastAsia="方正仿宋_GBK" w:cs="方正仿宋_GBK"/>
          <w:sz w:val="28"/>
          <w:szCs w:val="28"/>
          <w:shd w:val="clear" w:color="auto" w:fill="FFFFFF"/>
        </w:rPr>
        <w:t>万元。</w:t>
      </w:r>
    </w:p>
    <w:p>
      <w:pPr>
        <w:pStyle w:val="6"/>
        <w:keepNext w:val="0"/>
        <w:keepLines w:val="0"/>
        <w:pageBreakBefore w:val="0"/>
        <w:widowControl/>
        <w:kinsoku/>
        <w:wordWrap/>
        <w:overflowPunct/>
        <w:topLinePunct w:val="0"/>
        <w:autoSpaceDN/>
        <w:bidi w:val="0"/>
        <w:adjustRightInd/>
        <w:spacing w:line="594" w:lineRule="exact"/>
        <w:ind w:firstLine="562" w:firstLineChars="200"/>
        <w:jc w:val="both"/>
        <w:textAlignment w:val="auto"/>
        <w:rPr>
          <w:rFonts w:hint="default" w:ascii="Times New Roman" w:hAnsi="Times New Roman" w:eastAsia="方正仿宋_GBK"/>
          <w:snapToGrid w:val="0"/>
          <w:sz w:val="28"/>
          <w:szCs w:val="28"/>
        </w:rPr>
      </w:pPr>
      <w:r>
        <w:rPr>
          <w:rStyle w:val="10"/>
          <w:rFonts w:ascii="方正仿宋_GBK" w:hAnsi="方正仿宋_GBK" w:eastAsia="方正仿宋_GBK" w:cs="方正仿宋_GBK"/>
          <w:sz w:val="28"/>
          <w:szCs w:val="28"/>
          <w:shd w:val="clear" w:color="auto" w:fill="FFFFFF"/>
        </w:rPr>
        <w:t>2.支出情况。</w:t>
      </w:r>
      <w:r>
        <w:rPr>
          <w:rFonts w:ascii="方正仿宋_GBK" w:hAnsi="方正仿宋_GBK" w:eastAsia="方正仿宋_GBK" w:cs="方正仿宋_GBK"/>
          <w:sz w:val="28"/>
          <w:szCs w:val="28"/>
          <w:shd w:val="clear" w:color="auto" w:fill="FFFFFF"/>
        </w:rPr>
        <w:t>2023年度一般公共预算财政拨款支出</w:t>
      </w:r>
      <w:r>
        <w:rPr>
          <w:rFonts w:ascii="方正仿宋_GBK" w:hAnsi="方正仿宋_GBK" w:eastAsia="方正仿宋_GBK" w:cs="方正仿宋_GBK"/>
          <w:sz w:val="28"/>
          <w:szCs w:val="28"/>
        </w:rPr>
        <w:t>21980.70</w:t>
      </w:r>
      <w:r>
        <w:rPr>
          <w:rFonts w:ascii="方正仿宋_GBK" w:hAnsi="方正仿宋_GBK" w:eastAsia="方正仿宋_GBK" w:cs="方正仿宋_GBK"/>
          <w:sz w:val="28"/>
          <w:szCs w:val="28"/>
          <w:shd w:val="clear" w:color="auto" w:fill="FFFFFF"/>
        </w:rPr>
        <w:t>万元，较上年决算数增加3984.29万元，增长22.14%。主要原因是2023年的项目较去年的项目增加，相应的项目款项也有所增加。较年初预算数增加2511.30万元，增长12.90%。主要原因是</w:t>
      </w:r>
      <w:r>
        <w:rPr>
          <w:rFonts w:ascii="Times New Roman" w:hAnsi="Times New Roman" w:eastAsia="方正仿宋_GBK"/>
          <w:snapToGrid w:val="0"/>
          <w:sz w:val="28"/>
          <w:szCs w:val="28"/>
        </w:rPr>
        <w:t>林业生态保护与恢复资金及林业改革发展资金较年初预算增加，一般公共预算拨款的基本支出拨款较年初预算增加，支出相应增加。</w:t>
      </w:r>
    </w:p>
    <w:p>
      <w:pPr>
        <w:pStyle w:val="6"/>
        <w:keepNext w:val="0"/>
        <w:keepLines w:val="0"/>
        <w:pageBreakBefore w:val="0"/>
        <w:widowControl/>
        <w:kinsoku/>
        <w:wordWrap/>
        <w:overflowPunct/>
        <w:topLinePunct w:val="0"/>
        <w:autoSpaceDN/>
        <w:bidi w:val="0"/>
        <w:adjustRightInd/>
        <w:spacing w:line="594" w:lineRule="exact"/>
        <w:ind w:firstLine="562" w:firstLineChars="200"/>
        <w:jc w:val="both"/>
        <w:textAlignment w:val="auto"/>
        <w:rPr>
          <w:rFonts w:hint="default" w:ascii="方正仿宋_GBK" w:hAnsi="方正仿宋_GBK" w:eastAsia="方正仿宋_GBK" w:cs="方正仿宋_GBK"/>
          <w:sz w:val="28"/>
          <w:szCs w:val="28"/>
        </w:rPr>
      </w:pPr>
      <w:r>
        <w:rPr>
          <w:rStyle w:val="10"/>
          <w:rFonts w:ascii="方正仿宋_GBK" w:hAnsi="方正仿宋_GBK" w:eastAsia="方正仿宋_GBK" w:cs="方正仿宋_GBK"/>
          <w:sz w:val="28"/>
          <w:szCs w:val="28"/>
          <w:shd w:val="clear" w:color="auto" w:fill="FFFFFF"/>
        </w:rPr>
        <w:t>3.结转结余情况。</w:t>
      </w:r>
      <w:r>
        <w:rPr>
          <w:rFonts w:ascii="方正仿宋_GBK" w:hAnsi="方正仿宋_GBK" w:eastAsia="方正仿宋_GBK" w:cs="方正仿宋_GBK"/>
          <w:sz w:val="28"/>
          <w:szCs w:val="28"/>
          <w:shd w:val="clear" w:color="auto" w:fill="FFFFFF"/>
        </w:rPr>
        <w:t>2023年度年末一般公共预算财政拨款结转和结余</w:t>
      </w:r>
      <w:r>
        <w:rPr>
          <w:rFonts w:ascii="方正仿宋_GBK" w:hAnsi="方正仿宋_GBK" w:eastAsia="方正仿宋_GBK" w:cs="方正仿宋_GBK"/>
          <w:sz w:val="28"/>
          <w:szCs w:val="28"/>
        </w:rPr>
        <w:t>81.88</w:t>
      </w:r>
      <w:r>
        <w:rPr>
          <w:rFonts w:ascii="方正仿宋_GBK" w:hAnsi="方正仿宋_GBK" w:eastAsia="方正仿宋_GBK" w:cs="方正仿宋_GBK"/>
          <w:sz w:val="28"/>
          <w:szCs w:val="28"/>
          <w:shd w:val="clear" w:color="auto" w:fill="FFFFFF"/>
        </w:rPr>
        <w:t>万元，较上年决算数增加46.30万元，增长130.13%，主要原因是</w:t>
      </w:r>
      <w:r>
        <w:rPr>
          <w:rFonts w:ascii="Times New Roman" w:hAnsi="Times New Roman" w:eastAsia="方正仿宋_GBK"/>
          <w:snapToGrid w:val="0"/>
          <w:sz w:val="28"/>
          <w:szCs w:val="28"/>
        </w:rPr>
        <w:t>单位支出的款项是从一般公共预算里支出。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562" w:firstLineChars="200"/>
        <w:jc w:val="both"/>
        <w:textAlignment w:val="auto"/>
        <w:rPr>
          <w:rFonts w:ascii="方正仿宋_GBK" w:hAnsi="方正仿宋_GBK" w:eastAsia="方正仿宋_GBK" w:cs="方正仿宋_GBK"/>
          <w:sz w:val="28"/>
          <w:szCs w:val="28"/>
          <w:shd w:val="clear" w:color="auto" w:fill="FFFFFF"/>
        </w:rPr>
      </w:pPr>
      <w:r>
        <w:rPr>
          <w:rStyle w:val="10"/>
          <w:rFonts w:ascii="方正仿宋_GBK" w:hAnsi="方正仿宋_GBK" w:eastAsia="方正仿宋_GBK" w:cs="方正仿宋_GBK"/>
          <w:sz w:val="28"/>
          <w:szCs w:val="28"/>
          <w:shd w:val="clear" w:color="auto" w:fill="FFFFFF"/>
        </w:rPr>
        <w:t>4.比较情况。</w:t>
      </w:r>
      <w:r>
        <w:rPr>
          <w:rFonts w:ascii="方正仿宋_GBK" w:hAnsi="方正仿宋_GBK" w:eastAsia="方正仿宋_GBK" w:cs="方正仿宋_GBK"/>
          <w:sz w:val="28"/>
          <w:szCs w:val="28"/>
          <w:shd w:val="clear" w:color="auto" w:fill="FFFFFF"/>
        </w:rPr>
        <w:t>本部门2023年度一般公共预算财政拨款支出主要用于以下几个方面：</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560" w:firstLineChars="200"/>
        <w:jc w:val="both"/>
        <w:textAlignment w:val="auto"/>
        <w:rPr>
          <w:rFonts w:hint="default" w:ascii="Times New Roman" w:hAnsi="Times New Roman" w:eastAsia="方正仿宋_GBK"/>
          <w:snapToGrid w:val="0"/>
          <w:sz w:val="28"/>
          <w:szCs w:val="28"/>
        </w:rPr>
      </w:pPr>
      <w:r>
        <w:rPr>
          <w:rFonts w:ascii="方正仿宋_GBK" w:hAnsi="方正仿宋_GBK" w:eastAsia="方正仿宋_GBK" w:cs="方正仿宋_GBK"/>
          <w:sz w:val="28"/>
          <w:szCs w:val="28"/>
          <w:shd w:val="clear" w:color="auto" w:fill="FFFFFF"/>
        </w:rPr>
        <w:t>（1）一般公共服务支出24.80万元，占0.11%，较年初预算数增加24.80万元，增长100.00%，主要原因是信访事务支出、招商</w:t>
      </w:r>
      <w:r>
        <w:rPr>
          <w:rFonts w:ascii="Times New Roman" w:hAnsi="Times New Roman" w:eastAsia="方正仿宋_GBK"/>
          <w:snapToGrid w:val="0"/>
          <w:sz w:val="28"/>
          <w:szCs w:val="28"/>
        </w:rPr>
        <w:t>引资支出以及2023年度的森林防火、森林资源调查、龙河左岸项目的增加，导致支出增加。</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560" w:firstLineChars="200"/>
        <w:jc w:val="both"/>
        <w:textAlignment w:val="auto"/>
        <w:rPr>
          <w:rFonts w:hint="default" w:ascii="Times New Roman" w:hAnsi="Times New Roman" w:eastAsia="方正仿宋_GBK"/>
          <w:snapToGrid w:val="0"/>
          <w:sz w:val="28"/>
          <w:szCs w:val="28"/>
        </w:rPr>
      </w:pPr>
      <w:r>
        <w:rPr>
          <w:rFonts w:ascii="方正仿宋_GBK" w:hAnsi="方正仿宋_GBK" w:eastAsia="方正仿宋_GBK" w:cs="方正仿宋_GBK"/>
          <w:sz w:val="28"/>
          <w:szCs w:val="28"/>
          <w:shd w:val="clear" w:color="auto" w:fill="FFFFFF"/>
        </w:rPr>
        <w:t>（2）社会保障与就业支出</w:t>
      </w:r>
      <w:r>
        <w:rPr>
          <w:rFonts w:ascii="方正仿宋_GBK" w:hAnsi="方正仿宋_GBK" w:eastAsia="方正仿宋_GBK" w:cs="方正仿宋_GBK"/>
          <w:sz w:val="28"/>
          <w:szCs w:val="28"/>
        </w:rPr>
        <w:t>1312.01</w:t>
      </w:r>
      <w:r>
        <w:rPr>
          <w:rFonts w:ascii="方正仿宋_GBK" w:hAnsi="方正仿宋_GBK" w:eastAsia="方正仿宋_GBK" w:cs="方正仿宋_GBK"/>
          <w:sz w:val="28"/>
          <w:szCs w:val="28"/>
          <w:shd w:val="clear" w:color="auto" w:fill="FFFFFF"/>
        </w:rPr>
        <w:t>万元，占</w:t>
      </w:r>
      <w:r>
        <w:rPr>
          <w:rFonts w:ascii="方正仿宋_GBK" w:hAnsi="方正仿宋_GBK" w:eastAsia="方正仿宋_GBK" w:cs="方正仿宋_GBK"/>
          <w:sz w:val="28"/>
          <w:szCs w:val="28"/>
        </w:rPr>
        <w:t>5.97</w:t>
      </w:r>
      <w:r>
        <w:rPr>
          <w:rFonts w:ascii="方正仿宋_GBK" w:hAnsi="方正仿宋_GBK" w:eastAsia="方正仿宋_GBK" w:cs="方正仿宋_GBK"/>
          <w:sz w:val="28"/>
          <w:szCs w:val="28"/>
          <w:shd w:val="clear" w:color="auto" w:fill="FFFFFF"/>
        </w:rPr>
        <w:t>%，较年初预算数增加533.31万元，增长68.49%，主要原因是</w:t>
      </w:r>
      <w:r>
        <w:rPr>
          <w:rFonts w:ascii="Times New Roman" w:hAnsi="Times New Roman" w:eastAsia="方正仿宋_GBK"/>
          <w:snapToGrid w:val="0"/>
          <w:sz w:val="28"/>
          <w:szCs w:val="28"/>
        </w:rPr>
        <w:t>人员调入及人员工资调资晋级、社会保障缴费标准调整。</w:t>
      </w:r>
    </w:p>
    <w:p>
      <w:pPr>
        <w:pStyle w:val="6"/>
        <w:keepNext w:val="0"/>
        <w:keepLines w:val="0"/>
        <w:pageBreakBefore w:val="0"/>
        <w:widowControl/>
        <w:kinsoku/>
        <w:wordWrap/>
        <w:overflowPunct/>
        <w:topLinePunct w:val="0"/>
        <w:autoSpaceDN/>
        <w:bidi w:val="0"/>
        <w:adjustRightInd/>
        <w:snapToGrid w:val="0"/>
        <w:spacing w:before="0" w:beforeAutospacing="0" w:line="594" w:lineRule="exact"/>
        <w:ind w:firstLine="560" w:firstLineChars="200"/>
        <w:jc w:val="both"/>
        <w:textAlignment w:val="auto"/>
        <w:rPr>
          <w:rFonts w:hint="default" w:ascii="Times New Roman" w:hAnsi="Times New Roman" w:eastAsia="方正仿宋_GBK"/>
          <w:snapToGrid w:val="0"/>
          <w:sz w:val="28"/>
          <w:szCs w:val="28"/>
        </w:rPr>
      </w:pPr>
      <w:r>
        <w:rPr>
          <w:rFonts w:ascii="方正仿宋_GBK" w:hAnsi="方正仿宋_GBK" w:eastAsia="方正仿宋_GBK" w:cs="方正仿宋_GBK"/>
          <w:sz w:val="28"/>
          <w:szCs w:val="28"/>
          <w:shd w:val="clear" w:color="auto" w:fill="FFFFFF"/>
        </w:rPr>
        <w:t>（3）卫生健康支出</w:t>
      </w:r>
      <w:r>
        <w:rPr>
          <w:rFonts w:ascii="方正仿宋_GBK" w:hAnsi="方正仿宋_GBK" w:eastAsia="方正仿宋_GBK" w:cs="方正仿宋_GBK"/>
          <w:sz w:val="28"/>
          <w:szCs w:val="28"/>
        </w:rPr>
        <w:t>289.72</w:t>
      </w:r>
      <w:r>
        <w:rPr>
          <w:rFonts w:ascii="方正仿宋_GBK" w:hAnsi="方正仿宋_GBK" w:eastAsia="方正仿宋_GBK" w:cs="方正仿宋_GBK"/>
          <w:sz w:val="28"/>
          <w:szCs w:val="28"/>
          <w:shd w:val="clear" w:color="auto" w:fill="FFFFFF"/>
        </w:rPr>
        <w:t>万元，占</w:t>
      </w:r>
      <w:r>
        <w:rPr>
          <w:rFonts w:ascii="方正仿宋_GBK" w:hAnsi="方正仿宋_GBK" w:eastAsia="方正仿宋_GBK" w:cs="方正仿宋_GBK"/>
          <w:sz w:val="28"/>
          <w:szCs w:val="28"/>
        </w:rPr>
        <w:t>1.32</w:t>
      </w:r>
      <w:r>
        <w:rPr>
          <w:rFonts w:ascii="方正仿宋_GBK" w:hAnsi="方正仿宋_GBK" w:eastAsia="方正仿宋_GBK" w:cs="方正仿宋_GBK"/>
          <w:sz w:val="28"/>
          <w:szCs w:val="28"/>
          <w:shd w:val="clear" w:color="auto" w:fill="FFFFFF"/>
        </w:rPr>
        <w:t>%，较年初预算数减少19.95万元，下降6.44%，主要原因是</w:t>
      </w:r>
      <w:r>
        <w:rPr>
          <w:rFonts w:ascii="Times New Roman" w:hAnsi="Times New Roman" w:eastAsia="方正仿宋_GBK"/>
          <w:snapToGrid w:val="0"/>
          <w:sz w:val="28"/>
          <w:szCs w:val="28"/>
        </w:rPr>
        <w:t>人员退休减少等导致缴费减少。</w:t>
      </w:r>
    </w:p>
    <w:p>
      <w:pPr>
        <w:pStyle w:val="6"/>
        <w:keepNext w:val="0"/>
        <w:keepLines w:val="0"/>
        <w:pageBreakBefore w:val="0"/>
        <w:widowControl/>
        <w:kinsoku/>
        <w:wordWrap/>
        <w:overflowPunct/>
        <w:topLinePunct w:val="0"/>
        <w:autoSpaceDN/>
        <w:bidi w:val="0"/>
        <w:adjustRightInd/>
        <w:snapToGrid w:val="0"/>
        <w:spacing w:before="0" w:beforeAutospacing="0" w:line="594" w:lineRule="exact"/>
        <w:ind w:firstLine="560" w:firstLineChars="200"/>
        <w:jc w:val="both"/>
        <w:textAlignment w:val="auto"/>
        <w:rPr>
          <w:rFonts w:hint="default" w:ascii="Times New Roman" w:hAnsi="Times New Roman" w:eastAsia="方正仿宋_GBK"/>
          <w:snapToGrid w:val="0"/>
          <w:sz w:val="28"/>
          <w:szCs w:val="28"/>
        </w:rPr>
      </w:pPr>
      <w:r>
        <w:rPr>
          <w:rFonts w:ascii="方正仿宋_GBK" w:hAnsi="方正仿宋_GBK" w:eastAsia="方正仿宋_GBK" w:cs="方正仿宋_GBK"/>
          <w:sz w:val="28"/>
          <w:szCs w:val="28"/>
          <w:shd w:val="clear" w:color="auto" w:fill="FFFFFF"/>
        </w:rPr>
        <w:t>（4）节能环保支出</w:t>
      </w:r>
      <w:r>
        <w:rPr>
          <w:rFonts w:ascii="方正仿宋_GBK" w:hAnsi="方正仿宋_GBK" w:eastAsia="方正仿宋_GBK" w:cs="方正仿宋_GBK"/>
          <w:sz w:val="28"/>
          <w:szCs w:val="28"/>
        </w:rPr>
        <w:t>6540.13</w:t>
      </w:r>
      <w:r>
        <w:rPr>
          <w:rFonts w:ascii="方正仿宋_GBK" w:hAnsi="方正仿宋_GBK" w:eastAsia="方正仿宋_GBK" w:cs="方正仿宋_GBK"/>
          <w:sz w:val="28"/>
          <w:szCs w:val="28"/>
          <w:shd w:val="clear" w:color="auto" w:fill="FFFFFF"/>
        </w:rPr>
        <w:t>万元，占</w:t>
      </w:r>
      <w:r>
        <w:rPr>
          <w:rFonts w:ascii="方正仿宋_GBK" w:hAnsi="方正仿宋_GBK" w:eastAsia="方正仿宋_GBK" w:cs="方正仿宋_GBK"/>
          <w:sz w:val="28"/>
          <w:szCs w:val="28"/>
        </w:rPr>
        <w:t>29.75</w:t>
      </w:r>
      <w:r>
        <w:rPr>
          <w:rFonts w:ascii="方正仿宋_GBK" w:hAnsi="方正仿宋_GBK" w:eastAsia="方正仿宋_GBK" w:cs="方正仿宋_GBK"/>
          <w:sz w:val="28"/>
          <w:szCs w:val="28"/>
          <w:shd w:val="clear" w:color="auto" w:fill="FFFFFF"/>
        </w:rPr>
        <w:t>%，较年初预算数增加471.13万元，增长7.76%，主要原因是</w:t>
      </w:r>
      <w:r>
        <w:rPr>
          <w:rFonts w:ascii="Times New Roman" w:hAnsi="Times New Roman" w:eastAsia="方正仿宋_GBK"/>
          <w:snapToGrid w:val="0"/>
          <w:sz w:val="28"/>
          <w:szCs w:val="28"/>
        </w:rPr>
        <w:t>林业生态保护与恢复资金的节能环保建设资金拨入增加，相应的支出增加。</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560" w:firstLineChars="200"/>
        <w:jc w:val="both"/>
        <w:textAlignment w:val="auto"/>
        <w:rPr>
          <w:rFonts w:hint="default" w:ascii="方正仿宋_GBK" w:hAnsi="方正仿宋_GBK" w:eastAsia="方正仿宋_GBK" w:cs="方正仿宋_GBK"/>
          <w:sz w:val="28"/>
          <w:szCs w:val="28"/>
          <w:shd w:val="clear" w:color="auto" w:fill="FFFFFF"/>
        </w:rPr>
      </w:pPr>
      <w:r>
        <w:rPr>
          <w:rFonts w:ascii="方正仿宋_GBK" w:hAnsi="方正仿宋_GBK" w:eastAsia="方正仿宋_GBK" w:cs="方正仿宋_GBK"/>
          <w:sz w:val="28"/>
          <w:szCs w:val="28"/>
          <w:shd w:val="clear" w:color="auto" w:fill="FFFFFF"/>
        </w:rPr>
        <w:t>（5）农林水支出</w:t>
      </w:r>
      <w:r>
        <w:rPr>
          <w:rFonts w:ascii="方正仿宋_GBK" w:hAnsi="方正仿宋_GBK" w:eastAsia="方正仿宋_GBK" w:cs="方正仿宋_GBK"/>
          <w:sz w:val="28"/>
          <w:szCs w:val="28"/>
        </w:rPr>
        <w:t>12876.11</w:t>
      </w:r>
      <w:r>
        <w:rPr>
          <w:rFonts w:ascii="方正仿宋_GBK" w:hAnsi="方正仿宋_GBK" w:eastAsia="方正仿宋_GBK" w:cs="方正仿宋_GBK"/>
          <w:sz w:val="28"/>
          <w:szCs w:val="28"/>
          <w:shd w:val="clear" w:color="auto" w:fill="FFFFFF"/>
        </w:rPr>
        <w:t>万元，占</w:t>
      </w:r>
      <w:r>
        <w:rPr>
          <w:rFonts w:ascii="方正仿宋_GBK" w:hAnsi="方正仿宋_GBK" w:eastAsia="方正仿宋_GBK" w:cs="方正仿宋_GBK"/>
          <w:sz w:val="28"/>
          <w:szCs w:val="28"/>
        </w:rPr>
        <w:t>58.58</w:t>
      </w:r>
      <w:r>
        <w:rPr>
          <w:rFonts w:ascii="方正仿宋_GBK" w:hAnsi="方正仿宋_GBK" w:eastAsia="方正仿宋_GBK" w:cs="方正仿宋_GBK"/>
          <w:sz w:val="28"/>
          <w:szCs w:val="28"/>
          <w:shd w:val="clear" w:color="auto" w:fill="FFFFFF"/>
        </w:rPr>
        <w:t>%，较年初预算数增加839.64万元，增长6.98%，主要原因是2023年的项目较上年增加，相应的项目款项支出增加</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560" w:firstLineChars="200"/>
        <w:jc w:val="both"/>
        <w:textAlignment w:val="auto"/>
        <w:rPr>
          <w:rFonts w:hint="default" w:ascii="方正仿宋_GBK" w:hAnsi="方正仿宋_GBK" w:eastAsia="方正仿宋_GBK" w:cs="方正仿宋_GBK"/>
          <w:sz w:val="28"/>
          <w:szCs w:val="28"/>
        </w:rPr>
      </w:pPr>
      <w:r>
        <w:rPr>
          <w:rFonts w:ascii="方正仿宋_GBK" w:hAnsi="方正仿宋_GBK" w:eastAsia="方正仿宋_GBK" w:cs="方正仿宋_GBK"/>
          <w:sz w:val="28"/>
          <w:szCs w:val="28"/>
          <w:shd w:val="clear" w:color="auto" w:fill="FFFFFF"/>
        </w:rPr>
        <w:t>（6）交通运输支出</w:t>
      </w:r>
      <w:r>
        <w:rPr>
          <w:rFonts w:ascii="方正仿宋_GBK" w:hAnsi="方正仿宋_GBK" w:eastAsia="方正仿宋_GBK" w:cs="方正仿宋_GBK"/>
          <w:sz w:val="28"/>
          <w:szCs w:val="28"/>
        </w:rPr>
        <w:t>66.69</w:t>
      </w:r>
      <w:r>
        <w:rPr>
          <w:rFonts w:ascii="方正仿宋_GBK" w:hAnsi="方正仿宋_GBK" w:eastAsia="方正仿宋_GBK" w:cs="方正仿宋_GBK"/>
          <w:sz w:val="28"/>
          <w:szCs w:val="28"/>
          <w:shd w:val="clear" w:color="auto" w:fill="FFFFFF"/>
        </w:rPr>
        <w:t>万元，占</w:t>
      </w:r>
      <w:r>
        <w:rPr>
          <w:rFonts w:ascii="方正仿宋_GBK" w:hAnsi="方正仿宋_GBK" w:eastAsia="方正仿宋_GBK" w:cs="方正仿宋_GBK"/>
          <w:sz w:val="28"/>
          <w:szCs w:val="28"/>
        </w:rPr>
        <w:t>0.30</w:t>
      </w:r>
      <w:r>
        <w:rPr>
          <w:rFonts w:ascii="方正仿宋_GBK" w:hAnsi="方正仿宋_GBK" w:eastAsia="方正仿宋_GBK" w:cs="方正仿宋_GBK"/>
          <w:sz w:val="28"/>
          <w:szCs w:val="28"/>
          <w:shd w:val="clear" w:color="auto" w:fill="FFFFFF"/>
        </w:rPr>
        <w:t>%，较年初预算数增加66.69万元，增长100.00%，主要原因是三抚林场以及七跃山林场的市级拨入的封山育林以及公路排危整治项目资金增加。</w:t>
      </w:r>
    </w:p>
    <w:p>
      <w:pPr>
        <w:pStyle w:val="6"/>
        <w:keepNext w:val="0"/>
        <w:keepLines w:val="0"/>
        <w:pageBreakBefore w:val="0"/>
        <w:widowControl/>
        <w:shd w:val="clear" w:color="auto" w:fill="FFFFFF"/>
        <w:kinsoku/>
        <w:wordWrap/>
        <w:overflowPunct/>
        <w:topLinePunct w:val="0"/>
        <w:autoSpaceDN/>
        <w:bidi w:val="0"/>
        <w:adjustRightInd/>
        <w:spacing w:line="594" w:lineRule="exact"/>
        <w:ind w:firstLine="560" w:firstLineChars="200"/>
        <w:jc w:val="both"/>
        <w:textAlignment w:val="auto"/>
        <w:rPr>
          <w:rFonts w:hint="default" w:ascii="方正仿宋_GBK" w:hAnsi="方正仿宋_GBK" w:eastAsia="方正仿宋_GBK" w:cs="方正仿宋_GBK"/>
          <w:sz w:val="28"/>
          <w:szCs w:val="28"/>
          <w:shd w:val="clear" w:color="auto" w:fill="FFFFFF"/>
        </w:rPr>
      </w:pPr>
      <w:r>
        <w:rPr>
          <w:rFonts w:ascii="方正仿宋_GBK" w:hAnsi="方正仿宋_GBK" w:eastAsia="方正仿宋_GBK" w:cs="方正仿宋_GBK"/>
          <w:sz w:val="28"/>
          <w:szCs w:val="28"/>
          <w:shd w:val="clear" w:color="auto" w:fill="FFFFFF"/>
        </w:rPr>
        <w:t>（7）</w:t>
      </w:r>
      <w:r>
        <w:rPr>
          <w:rFonts w:ascii="方正仿宋_GBK" w:hAnsi="方正仿宋_GBK" w:eastAsia="方正仿宋_GBK" w:cs="方正仿宋_GBK"/>
          <w:sz w:val="28"/>
          <w:szCs w:val="28"/>
        </w:rPr>
        <w:t>自然资源海洋气象等支出68.41</w:t>
      </w:r>
      <w:r>
        <w:rPr>
          <w:rFonts w:ascii="方正仿宋_GBK" w:hAnsi="方正仿宋_GBK" w:eastAsia="方正仿宋_GBK" w:cs="方正仿宋_GBK"/>
          <w:sz w:val="28"/>
          <w:szCs w:val="28"/>
          <w:shd w:val="clear" w:color="auto" w:fill="FFFFFF"/>
        </w:rPr>
        <w:t>万元，占</w:t>
      </w:r>
      <w:r>
        <w:rPr>
          <w:rFonts w:ascii="方正仿宋_GBK" w:hAnsi="方正仿宋_GBK" w:eastAsia="方正仿宋_GBK" w:cs="方正仿宋_GBK"/>
          <w:sz w:val="28"/>
          <w:szCs w:val="28"/>
        </w:rPr>
        <w:t>0.31</w:t>
      </w:r>
      <w:r>
        <w:rPr>
          <w:rFonts w:ascii="方正仿宋_GBK" w:hAnsi="方正仿宋_GBK" w:eastAsia="方正仿宋_GBK" w:cs="方正仿宋_GBK"/>
          <w:sz w:val="28"/>
          <w:szCs w:val="28"/>
          <w:shd w:val="clear" w:color="auto" w:fill="FFFFFF"/>
        </w:rPr>
        <w:t>%，较年初预算数增加68.41万元，增长100.00%，主要原因是林业局2023年的龙河左岸（龙河口至两会大桥)边坡治理建设支出较去年增加。</w:t>
      </w:r>
    </w:p>
    <w:p>
      <w:pPr>
        <w:pStyle w:val="6"/>
        <w:keepNext w:val="0"/>
        <w:keepLines w:val="0"/>
        <w:pageBreakBefore w:val="0"/>
        <w:widowControl/>
        <w:kinsoku/>
        <w:wordWrap/>
        <w:overflowPunct/>
        <w:topLinePunct w:val="0"/>
        <w:autoSpaceDN/>
        <w:bidi w:val="0"/>
        <w:adjustRightInd/>
        <w:snapToGrid w:val="0"/>
        <w:spacing w:before="0" w:beforeAutospacing="0" w:line="594" w:lineRule="exact"/>
        <w:ind w:firstLine="560" w:firstLineChars="200"/>
        <w:jc w:val="both"/>
        <w:textAlignment w:val="auto"/>
        <w:rPr>
          <w:rFonts w:hint="default" w:ascii="Times New Roman" w:hAnsi="Times New Roman" w:eastAsia="方正仿宋_GBK"/>
          <w:snapToGrid w:val="0"/>
          <w:sz w:val="28"/>
          <w:szCs w:val="28"/>
        </w:rPr>
      </w:pPr>
      <w:r>
        <w:rPr>
          <w:rFonts w:ascii="方正仿宋_GBK" w:hAnsi="方正仿宋_GBK" w:eastAsia="方正仿宋_GBK" w:cs="方正仿宋_GBK"/>
          <w:sz w:val="28"/>
          <w:szCs w:val="28"/>
          <w:shd w:val="clear" w:color="auto" w:fill="FFFFFF"/>
        </w:rPr>
        <w:t>（8）</w:t>
      </w:r>
      <w:r>
        <w:rPr>
          <w:rFonts w:ascii="方正仿宋_GBK" w:hAnsi="方正仿宋_GBK" w:eastAsia="方正仿宋_GBK" w:cs="方正仿宋_GBK"/>
          <w:sz w:val="28"/>
          <w:szCs w:val="28"/>
        </w:rPr>
        <w:t>住房保障支出223.32</w:t>
      </w:r>
      <w:r>
        <w:rPr>
          <w:rFonts w:ascii="方正仿宋_GBK" w:hAnsi="方正仿宋_GBK" w:eastAsia="方正仿宋_GBK" w:cs="方正仿宋_GBK"/>
          <w:sz w:val="28"/>
          <w:szCs w:val="28"/>
          <w:shd w:val="clear" w:color="auto" w:fill="FFFFFF"/>
        </w:rPr>
        <w:t>万元，占</w:t>
      </w:r>
      <w:r>
        <w:rPr>
          <w:rFonts w:ascii="方正仿宋_GBK" w:hAnsi="方正仿宋_GBK" w:eastAsia="方正仿宋_GBK" w:cs="方正仿宋_GBK"/>
          <w:sz w:val="28"/>
          <w:szCs w:val="28"/>
        </w:rPr>
        <w:t>1.02</w:t>
      </w:r>
      <w:r>
        <w:rPr>
          <w:rFonts w:ascii="方正仿宋_GBK" w:hAnsi="方正仿宋_GBK" w:eastAsia="方正仿宋_GBK" w:cs="方正仿宋_GBK"/>
          <w:sz w:val="28"/>
          <w:szCs w:val="28"/>
          <w:shd w:val="clear" w:color="auto" w:fill="FFFFFF"/>
        </w:rPr>
        <w:t>%，较年初预算数减少52.24万元，下降18.96%，主要原因是</w:t>
      </w:r>
      <w:r>
        <w:rPr>
          <w:rFonts w:ascii="Times New Roman" w:hAnsi="Times New Roman" w:eastAsia="方正仿宋_GBK"/>
          <w:snapToGrid w:val="0"/>
          <w:sz w:val="28"/>
          <w:szCs w:val="28"/>
        </w:rPr>
        <w:t>根据住房公积金缴费标准进行调整。</w:t>
      </w:r>
    </w:p>
    <w:p>
      <w:pPr>
        <w:keepNext w:val="0"/>
        <w:keepLines w:val="0"/>
        <w:pageBreakBefore w:val="0"/>
        <w:widowControl/>
        <w:kinsoku/>
        <w:wordWrap/>
        <w:overflowPunct/>
        <w:topLinePunct w:val="0"/>
        <w:autoSpaceDN/>
        <w:bidi w:val="0"/>
        <w:adjustRightInd/>
        <w:spacing w:line="594" w:lineRule="exact"/>
        <w:ind w:firstLine="560" w:firstLineChars="200"/>
        <w:jc w:val="both"/>
        <w:textAlignment w:val="auto"/>
        <w:rPr>
          <w:rFonts w:hint="default" w:ascii="方正仿宋_GBK" w:hAnsi="方正仿宋_GBK" w:eastAsia="方正仿宋_GBK" w:cs="方正仿宋_GBK"/>
          <w:sz w:val="28"/>
          <w:szCs w:val="28"/>
          <w:shd w:val="clear" w:color="auto" w:fill="FFFFFF"/>
        </w:rPr>
      </w:pPr>
      <w:r>
        <w:rPr>
          <w:rFonts w:ascii="方正仿宋_GBK" w:hAnsi="方正仿宋_GBK" w:eastAsia="方正仿宋_GBK" w:cs="方正仿宋_GBK"/>
          <w:sz w:val="28"/>
          <w:szCs w:val="28"/>
          <w:shd w:val="clear" w:color="auto" w:fill="FFFFFF"/>
        </w:rPr>
        <w:t>（9）</w:t>
      </w:r>
      <w:r>
        <w:rPr>
          <w:rFonts w:ascii="方正仿宋_GBK" w:hAnsi="方正仿宋_GBK" w:eastAsia="方正仿宋_GBK" w:cs="方正仿宋_GBK"/>
          <w:sz w:val="28"/>
          <w:szCs w:val="28"/>
        </w:rPr>
        <w:t>灾害防治及应急管理支出579.51</w:t>
      </w:r>
      <w:r>
        <w:rPr>
          <w:rFonts w:ascii="方正仿宋_GBK" w:hAnsi="方正仿宋_GBK" w:eastAsia="方正仿宋_GBK" w:cs="方正仿宋_GBK"/>
          <w:sz w:val="28"/>
          <w:szCs w:val="28"/>
          <w:shd w:val="clear" w:color="auto" w:fill="FFFFFF"/>
        </w:rPr>
        <w:t>万元，占</w:t>
      </w:r>
      <w:r>
        <w:rPr>
          <w:rFonts w:ascii="方正仿宋_GBK" w:hAnsi="方正仿宋_GBK" w:eastAsia="方正仿宋_GBK" w:cs="方正仿宋_GBK"/>
          <w:sz w:val="28"/>
          <w:szCs w:val="28"/>
        </w:rPr>
        <w:t>2.64</w:t>
      </w:r>
      <w:r>
        <w:rPr>
          <w:rFonts w:ascii="方正仿宋_GBK" w:hAnsi="方正仿宋_GBK" w:eastAsia="方正仿宋_GBK" w:cs="方正仿宋_GBK"/>
          <w:sz w:val="28"/>
          <w:szCs w:val="28"/>
          <w:shd w:val="clear" w:color="auto" w:fill="FFFFFF"/>
        </w:rPr>
        <w:t>%，较年初预算数增加579.51万元，增长100.00%，主要原因是支付了七跃山林场2021年的国有林场管护用房建设款项。</w:t>
      </w:r>
    </w:p>
    <w:p>
      <w:pPr>
        <w:pStyle w:val="6"/>
        <w:keepNext w:val="0"/>
        <w:keepLines w:val="0"/>
        <w:pageBreakBefore w:val="0"/>
        <w:widowControl/>
        <w:shd w:val="clear" w:color="auto" w:fill="FFFFFF"/>
        <w:kinsoku/>
        <w:wordWrap/>
        <w:overflowPunct/>
        <w:topLinePunct w:val="0"/>
        <w:autoSpaceDN/>
        <w:bidi w:val="0"/>
        <w:adjustRightInd/>
        <w:spacing w:line="594" w:lineRule="exact"/>
        <w:ind w:firstLine="562" w:firstLineChars="200"/>
        <w:jc w:val="both"/>
        <w:textAlignment w:val="auto"/>
        <w:rPr>
          <w:rFonts w:hint="eastAsia" w:ascii="方正仿宋_GBK" w:hAnsi="方正仿宋_GBK" w:eastAsia="方正仿宋_GBK" w:cs="方正仿宋_GBK"/>
          <w:b/>
          <w:bCs/>
          <w:sz w:val="28"/>
          <w:szCs w:val="28"/>
          <w:shd w:val="clear" w:color="auto" w:fill="FFFFFF"/>
        </w:rPr>
      </w:pPr>
      <w:r>
        <w:rPr>
          <w:rFonts w:hint="eastAsia" w:ascii="方正仿宋_GBK" w:hAnsi="方正仿宋_GBK" w:eastAsia="方正仿宋_GBK" w:cs="方正仿宋_GBK"/>
          <w:b/>
          <w:bCs/>
          <w:sz w:val="28"/>
          <w:szCs w:val="28"/>
          <w:shd w:val="clear" w:color="auto" w:fill="FFFFFF"/>
        </w:rPr>
        <w:t>（四）一般公共预算财政拨款基本支出决算情况说明</w:t>
      </w:r>
    </w:p>
    <w:p>
      <w:pPr>
        <w:pStyle w:val="6"/>
        <w:keepNext w:val="0"/>
        <w:keepLines w:val="0"/>
        <w:pageBreakBefore w:val="0"/>
        <w:widowControl/>
        <w:kinsoku/>
        <w:wordWrap/>
        <w:overflowPunct/>
        <w:topLinePunct w:val="0"/>
        <w:autoSpaceDN/>
        <w:bidi w:val="0"/>
        <w:adjustRightInd/>
        <w:spacing w:line="594" w:lineRule="exact"/>
        <w:ind w:firstLine="560" w:firstLineChars="200"/>
        <w:jc w:val="both"/>
        <w:textAlignment w:val="auto"/>
        <w:rPr>
          <w:rFonts w:hint="default" w:ascii="方正仿宋_GBK" w:hAnsi="方正仿宋_GBK" w:eastAsia="方正仿宋_GBK" w:cs="方正仿宋_GBK"/>
          <w:sz w:val="28"/>
          <w:szCs w:val="28"/>
        </w:rPr>
      </w:pPr>
      <w:r>
        <w:rPr>
          <w:rFonts w:ascii="方正仿宋_GBK" w:hAnsi="方正仿宋_GBK" w:eastAsia="方正仿宋_GBK" w:cs="方正仿宋_GBK"/>
          <w:sz w:val="28"/>
          <w:szCs w:val="28"/>
          <w:shd w:val="clear" w:color="auto" w:fill="FFFFFF"/>
        </w:rPr>
        <w:t>2023年度一般公共财政拨款基本支出</w:t>
      </w:r>
      <w:r>
        <w:rPr>
          <w:rFonts w:ascii="方正仿宋_GBK" w:hAnsi="方正仿宋_GBK" w:eastAsia="方正仿宋_GBK" w:cs="方正仿宋_GBK"/>
          <w:sz w:val="28"/>
          <w:szCs w:val="28"/>
        </w:rPr>
        <w:t>6534.74</w:t>
      </w:r>
      <w:r>
        <w:rPr>
          <w:rFonts w:ascii="方正仿宋_GBK" w:hAnsi="方正仿宋_GBK" w:eastAsia="方正仿宋_GBK" w:cs="方正仿宋_GBK"/>
          <w:sz w:val="28"/>
          <w:szCs w:val="28"/>
          <w:shd w:val="clear" w:color="auto" w:fill="FFFFFF"/>
        </w:rPr>
        <w:t>万元。其中：人员经费</w:t>
      </w:r>
      <w:r>
        <w:rPr>
          <w:rFonts w:ascii="方正仿宋_GBK" w:hAnsi="方正仿宋_GBK" w:eastAsia="方正仿宋_GBK" w:cs="方正仿宋_GBK"/>
          <w:sz w:val="28"/>
          <w:szCs w:val="28"/>
        </w:rPr>
        <w:t>5690.71</w:t>
      </w:r>
      <w:r>
        <w:rPr>
          <w:rFonts w:ascii="方正仿宋_GBK" w:hAnsi="方正仿宋_GBK" w:eastAsia="方正仿宋_GBK" w:cs="方正仿宋_GBK"/>
          <w:sz w:val="28"/>
          <w:szCs w:val="28"/>
          <w:shd w:val="clear" w:color="auto" w:fill="FFFFFF"/>
        </w:rPr>
        <w:t>万元，较上年决算数增加146.12万元，增长2.64%，主要原因是人员增加以及调入人员增加。人员经费用途主要包括</w:t>
      </w:r>
      <w:r>
        <w:rPr>
          <w:rFonts w:ascii="Times New Roman" w:hAnsi="Times New Roman" w:eastAsia="方正仿宋_GBK"/>
          <w:snapToGrid w:val="0"/>
          <w:sz w:val="28"/>
          <w:szCs w:val="28"/>
        </w:rPr>
        <w:t>职工基本工资、津贴补贴、奖金、社会保障缴费等。</w:t>
      </w:r>
      <w:r>
        <w:rPr>
          <w:rFonts w:ascii="方正仿宋_GBK" w:hAnsi="方正仿宋_GBK" w:eastAsia="方正仿宋_GBK" w:cs="方正仿宋_GBK"/>
          <w:sz w:val="28"/>
          <w:szCs w:val="28"/>
          <w:shd w:val="clear" w:color="auto" w:fill="FFFFFF"/>
        </w:rPr>
        <w:t>公用经费</w:t>
      </w:r>
      <w:r>
        <w:rPr>
          <w:rFonts w:ascii="方正仿宋_GBK" w:hAnsi="方正仿宋_GBK" w:eastAsia="方正仿宋_GBK" w:cs="方正仿宋_GBK"/>
          <w:sz w:val="28"/>
          <w:szCs w:val="28"/>
        </w:rPr>
        <w:t>844.03</w:t>
      </w:r>
      <w:r>
        <w:rPr>
          <w:rFonts w:ascii="方正仿宋_GBK" w:hAnsi="方正仿宋_GBK" w:eastAsia="方正仿宋_GBK" w:cs="方正仿宋_GBK"/>
          <w:sz w:val="28"/>
          <w:szCs w:val="28"/>
          <w:shd w:val="clear" w:color="auto" w:fill="FFFFFF"/>
        </w:rPr>
        <w:t>万元，较上年决算数增加99.71万元，增长13.40%，主要原因是</w:t>
      </w:r>
      <w:r>
        <w:rPr>
          <w:rFonts w:ascii="Times New Roman" w:hAnsi="Times New Roman" w:eastAsia="方正仿宋_GBK"/>
          <w:snapToGrid w:val="0"/>
          <w:sz w:val="28"/>
          <w:szCs w:val="28"/>
        </w:rPr>
        <w:t>部分公用经费用于弥补人员经费不足。</w:t>
      </w:r>
      <w:r>
        <w:rPr>
          <w:rFonts w:ascii="方正仿宋_GBK" w:hAnsi="方正仿宋_GBK" w:eastAsia="方正仿宋_GBK" w:cs="方正仿宋_GBK"/>
          <w:sz w:val="28"/>
          <w:szCs w:val="28"/>
          <w:shd w:val="clear" w:color="auto" w:fill="FFFFFF"/>
        </w:rPr>
        <w:t>公用经费用途主要包括</w:t>
      </w:r>
      <w:r>
        <w:rPr>
          <w:rFonts w:ascii="Times New Roman" w:hAnsi="Times New Roman" w:eastAsia="方正仿宋_GBK"/>
          <w:snapToGrid w:val="0"/>
          <w:sz w:val="28"/>
          <w:szCs w:val="28"/>
        </w:rPr>
        <w:t>办公费、水电费、印刷费、咨询费、手续费、差旅费、劳务费等。</w:t>
      </w:r>
    </w:p>
    <w:p>
      <w:pPr>
        <w:pStyle w:val="6"/>
        <w:keepNext w:val="0"/>
        <w:keepLines w:val="0"/>
        <w:pageBreakBefore w:val="0"/>
        <w:widowControl/>
        <w:shd w:val="clear" w:color="auto" w:fill="FFFFFF"/>
        <w:kinsoku/>
        <w:wordWrap/>
        <w:overflowPunct/>
        <w:topLinePunct w:val="0"/>
        <w:autoSpaceDN/>
        <w:bidi w:val="0"/>
        <w:adjustRightInd/>
        <w:spacing w:line="594" w:lineRule="exact"/>
        <w:ind w:firstLine="562" w:firstLineChars="200"/>
        <w:jc w:val="both"/>
        <w:textAlignment w:val="auto"/>
        <w:rPr>
          <w:rFonts w:hint="eastAsia" w:ascii="方正仿宋_GBK" w:hAnsi="方正仿宋_GBK" w:eastAsia="方正仿宋_GBK" w:cs="方正仿宋_GBK"/>
          <w:b/>
          <w:bCs/>
          <w:sz w:val="28"/>
          <w:szCs w:val="28"/>
          <w:shd w:val="clear" w:color="auto" w:fill="FFFFFF"/>
        </w:rPr>
      </w:pPr>
      <w:r>
        <w:rPr>
          <w:rFonts w:hint="eastAsia" w:ascii="方正仿宋_GBK" w:hAnsi="方正仿宋_GBK" w:eastAsia="方正仿宋_GBK" w:cs="方正仿宋_GBK"/>
          <w:b/>
          <w:bCs/>
          <w:sz w:val="28"/>
          <w:szCs w:val="28"/>
          <w:shd w:val="clear" w:color="auto" w:fill="FFFFFF"/>
        </w:rPr>
        <w:t>（五）政府性基金预算收支决算情况说明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560" w:firstLineChars="200"/>
        <w:jc w:val="both"/>
        <w:textAlignment w:val="auto"/>
        <w:rPr>
          <w:rFonts w:hint="default" w:ascii="方正仿宋_GBK" w:hAnsi="方正仿宋_GBK" w:eastAsia="方正仿宋_GBK" w:cs="方正仿宋_GBK"/>
          <w:sz w:val="28"/>
          <w:szCs w:val="28"/>
          <w:shd w:val="clear" w:color="auto" w:fill="FFFFFF"/>
        </w:rPr>
      </w:pPr>
      <w:r>
        <w:rPr>
          <w:rFonts w:ascii="方正仿宋_GBK" w:hAnsi="方正仿宋_GBK" w:eastAsia="方正仿宋_GBK" w:cs="方正仿宋_GBK"/>
          <w:sz w:val="28"/>
          <w:szCs w:val="28"/>
          <w:shd w:val="clear" w:color="auto" w:fill="FFFFFF"/>
        </w:rPr>
        <w:t>2023年度政府性基金预算财政拨款年初结转结余</w:t>
      </w:r>
      <w:r>
        <w:rPr>
          <w:rFonts w:ascii="方正仿宋_GBK" w:hAnsi="方正仿宋_GBK" w:eastAsia="方正仿宋_GBK" w:cs="方正仿宋_GBK"/>
          <w:sz w:val="28"/>
          <w:szCs w:val="28"/>
        </w:rPr>
        <w:t>0.00</w:t>
      </w:r>
      <w:r>
        <w:rPr>
          <w:rFonts w:ascii="方正仿宋_GBK" w:hAnsi="方正仿宋_GBK" w:eastAsia="方正仿宋_GBK" w:cs="方正仿宋_GBK"/>
          <w:sz w:val="28"/>
          <w:szCs w:val="28"/>
          <w:shd w:val="clear" w:color="auto" w:fill="FFFFFF"/>
        </w:rPr>
        <w:t>万元，年末结转结余</w:t>
      </w:r>
      <w:r>
        <w:rPr>
          <w:rFonts w:ascii="方正仿宋_GBK" w:hAnsi="方正仿宋_GBK" w:eastAsia="方正仿宋_GBK" w:cs="方正仿宋_GBK"/>
          <w:sz w:val="28"/>
          <w:szCs w:val="28"/>
        </w:rPr>
        <w:t>0.00</w:t>
      </w:r>
      <w:r>
        <w:rPr>
          <w:rFonts w:ascii="方正仿宋_GBK" w:hAnsi="方正仿宋_GBK" w:eastAsia="方正仿宋_GBK" w:cs="方正仿宋_GBK"/>
          <w:sz w:val="28"/>
          <w:szCs w:val="28"/>
          <w:shd w:val="clear" w:color="auto" w:fill="FFFFFF"/>
        </w:rPr>
        <w:t>万元。本年收入</w:t>
      </w:r>
      <w:r>
        <w:rPr>
          <w:rFonts w:ascii="方正仿宋_GBK" w:hAnsi="方正仿宋_GBK" w:eastAsia="方正仿宋_GBK" w:cs="方正仿宋_GBK"/>
          <w:sz w:val="28"/>
          <w:szCs w:val="28"/>
        </w:rPr>
        <w:t>0.00</w:t>
      </w:r>
      <w:r>
        <w:rPr>
          <w:rFonts w:ascii="方正仿宋_GBK" w:hAnsi="方正仿宋_GBK" w:eastAsia="方正仿宋_GBK" w:cs="方正仿宋_GBK"/>
          <w:sz w:val="28"/>
          <w:szCs w:val="28"/>
          <w:shd w:val="clear" w:color="auto" w:fill="FFFFFF"/>
        </w:rPr>
        <w:t>万元，较上年决算数减少322.23万元，下降100.00%，主要原因是本部门2023年度无政府性基金预算财政拨款收支。本年支出0.00万元，较上年决算数减少322.23万元，下降100.00%，主要原因是本部门2023年度无政府性基金预</w:t>
      </w:r>
      <w:r>
        <w:rPr>
          <w:rFonts w:ascii="方正仿宋_GBK" w:hAnsi="方正仿宋_GBK" w:eastAsia="方正仿宋_GBK" w:cs="方正仿宋_GBK"/>
          <w:sz w:val="28"/>
          <w:szCs w:val="28"/>
        </w:rPr>
        <w:t>算财政拨款收支。</w:t>
      </w:r>
    </w:p>
    <w:p>
      <w:pPr>
        <w:pStyle w:val="6"/>
        <w:keepNext w:val="0"/>
        <w:keepLines w:val="0"/>
        <w:pageBreakBefore w:val="0"/>
        <w:widowControl/>
        <w:shd w:val="clear" w:color="auto" w:fill="FFFFFF"/>
        <w:kinsoku/>
        <w:wordWrap/>
        <w:overflowPunct/>
        <w:topLinePunct w:val="0"/>
        <w:autoSpaceDN/>
        <w:bidi w:val="0"/>
        <w:adjustRightInd/>
        <w:spacing w:line="594" w:lineRule="exact"/>
        <w:ind w:firstLine="562" w:firstLineChars="200"/>
        <w:jc w:val="both"/>
        <w:textAlignment w:val="auto"/>
        <w:rPr>
          <w:rFonts w:hint="eastAsia" w:ascii="方正仿宋_GBK" w:hAnsi="方正仿宋_GBK" w:eastAsia="方正仿宋_GBK" w:cs="方正仿宋_GBK"/>
          <w:b/>
          <w:bCs/>
          <w:sz w:val="28"/>
          <w:szCs w:val="28"/>
          <w:shd w:val="clear" w:color="auto" w:fill="FFFFFF"/>
        </w:rPr>
      </w:pPr>
      <w:r>
        <w:rPr>
          <w:rFonts w:hint="eastAsia" w:ascii="方正仿宋_GBK" w:hAnsi="方正仿宋_GBK" w:eastAsia="方正仿宋_GBK" w:cs="方正仿宋_GBK"/>
          <w:b/>
          <w:bCs/>
          <w:sz w:val="28"/>
          <w:szCs w:val="28"/>
          <w:shd w:val="clear" w:color="auto" w:fill="FFFFFF"/>
        </w:rPr>
        <w:t>（六）国有资本经营预算财政拨款支出决算情况说明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560" w:firstLineChars="200"/>
        <w:jc w:val="both"/>
        <w:textAlignment w:val="auto"/>
        <w:rPr>
          <w:rFonts w:hint="default" w:ascii="方正仿宋_GBK" w:hAnsi="方正仿宋_GBK" w:eastAsia="方正仿宋_GBK" w:cs="方正仿宋_GBK"/>
          <w:sz w:val="28"/>
          <w:szCs w:val="28"/>
          <w:shd w:val="clear" w:color="auto" w:fill="FFFFFF"/>
        </w:rPr>
      </w:pPr>
      <w:r>
        <w:rPr>
          <w:rFonts w:ascii="方正仿宋_GBK" w:hAnsi="方正仿宋_GBK" w:eastAsia="方正仿宋_GBK" w:cs="方正仿宋_GBK"/>
          <w:sz w:val="28"/>
          <w:szCs w:val="28"/>
          <w:shd w:val="clear" w:color="auto" w:fill="FFFFFF"/>
        </w:rPr>
        <w:t>本部门2023年度无国有资本经营预算财政拨款支出。</w:t>
      </w:r>
    </w:p>
    <w:p>
      <w:pPr>
        <w:pStyle w:val="6"/>
        <w:keepNext w:val="0"/>
        <w:keepLines w:val="0"/>
        <w:pageBreakBefore w:val="0"/>
        <w:widowControl/>
        <w:shd w:val="clear" w:color="auto" w:fill="FFFFFF"/>
        <w:kinsoku/>
        <w:wordWrap/>
        <w:overflowPunct/>
        <w:topLinePunct w:val="0"/>
        <w:autoSpaceDN/>
        <w:bidi w:val="0"/>
        <w:adjustRightInd/>
        <w:spacing w:line="594" w:lineRule="exact"/>
        <w:textAlignment w:val="auto"/>
        <w:rPr>
          <w:rStyle w:val="10"/>
          <w:rFonts w:hint="default" w:ascii="方正黑体_GBK" w:hAnsi="方正黑体_GBK" w:eastAsia="方正黑体_GBK" w:cs="方正黑体_GBK"/>
          <w:b w:val="0"/>
          <w:bCs/>
          <w:sz w:val="28"/>
          <w:szCs w:val="28"/>
          <w:shd w:val="clear" w:color="auto" w:fill="FFFFFF"/>
        </w:rPr>
      </w:pPr>
      <w:r>
        <w:rPr>
          <w:rStyle w:val="10"/>
          <w:rFonts w:hint="eastAsia" w:ascii="方正黑体_GBK" w:hAnsi="方正黑体_GBK" w:eastAsia="方正黑体_GBK" w:cs="方正黑体_GBK"/>
          <w:b w:val="0"/>
          <w:bCs/>
          <w:sz w:val="28"/>
          <w:szCs w:val="28"/>
          <w:shd w:val="clear" w:color="auto" w:fill="FFFFFF"/>
        </w:rPr>
        <w:t>三、“三公”经费情况说明</w:t>
      </w:r>
    </w:p>
    <w:p>
      <w:pPr>
        <w:pStyle w:val="6"/>
        <w:keepNext w:val="0"/>
        <w:keepLines w:val="0"/>
        <w:pageBreakBefore w:val="0"/>
        <w:widowControl/>
        <w:shd w:val="clear" w:color="auto" w:fill="FFFFFF"/>
        <w:kinsoku/>
        <w:wordWrap/>
        <w:overflowPunct/>
        <w:topLinePunct w:val="0"/>
        <w:autoSpaceDN/>
        <w:bidi w:val="0"/>
        <w:adjustRightInd/>
        <w:spacing w:line="594" w:lineRule="exact"/>
        <w:ind w:firstLine="562" w:firstLineChars="200"/>
        <w:jc w:val="both"/>
        <w:textAlignment w:val="auto"/>
        <w:rPr>
          <w:rFonts w:hint="eastAsia" w:ascii="方正仿宋_GBK" w:hAnsi="方正仿宋_GBK" w:eastAsia="方正仿宋_GBK" w:cs="方正仿宋_GBK"/>
          <w:b/>
          <w:bCs/>
          <w:sz w:val="28"/>
          <w:szCs w:val="28"/>
          <w:shd w:val="clear" w:color="auto" w:fill="FFFFFF"/>
        </w:rPr>
      </w:pPr>
      <w:r>
        <w:rPr>
          <w:rFonts w:hint="eastAsia" w:ascii="方正仿宋_GBK" w:hAnsi="方正仿宋_GBK" w:eastAsia="方正仿宋_GBK" w:cs="方正仿宋_GBK"/>
          <w:b/>
          <w:bCs/>
          <w:sz w:val="28"/>
          <w:szCs w:val="28"/>
          <w:shd w:val="clear" w:color="auto" w:fill="FFFFFF"/>
        </w:rPr>
        <w:t>（一）“三公”经费支出总体情况说明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560" w:firstLineChars="200"/>
        <w:jc w:val="both"/>
        <w:textAlignment w:val="auto"/>
        <w:rPr>
          <w:rFonts w:hint="default" w:ascii="方正仿宋_GBK" w:hAnsi="方正仿宋_GBK" w:eastAsia="方正仿宋_GBK" w:cs="方正仿宋_GBK"/>
          <w:sz w:val="28"/>
          <w:szCs w:val="28"/>
        </w:rPr>
      </w:pPr>
      <w:r>
        <w:rPr>
          <w:rFonts w:ascii="方正仿宋_GBK" w:hAnsi="方正仿宋_GBK" w:eastAsia="方正仿宋_GBK" w:cs="方正仿宋_GBK"/>
          <w:sz w:val="28"/>
          <w:szCs w:val="28"/>
          <w:shd w:val="clear" w:color="auto" w:fill="FFFFFF"/>
        </w:rPr>
        <w:t>2023年度“三公”经费支出共计</w:t>
      </w:r>
      <w:r>
        <w:rPr>
          <w:rFonts w:ascii="方正仿宋_GBK" w:hAnsi="方正仿宋_GBK" w:eastAsia="方正仿宋_GBK" w:cs="方正仿宋_GBK"/>
          <w:sz w:val="28"/>
          <w:szCs w:val="28"/>
        </w:rPr>
        <w:t>120.65</w:t>
      </w:r>
      <w:r>
        <w:rPr>
          <w:rFonts w:ascii="方正仿宋_GBK" w:hAnsi="方正仿宋_GBK" w:eastAsia="方正仿宋_GBK" w:cs="方正仿宋_GBK"/>
          <w:sz w:val="28"/>
          <w:szCs w:val="28"/>
          <w:shd w:val="clear" w:color="auto" w:fill="FFFFFF"/>
        </w:rPr>
        <w:t>万元，较年初预算数增加61.70万元，增长104.66%，主要原因是2023年林业局</w:t>
      </w:r>
      <w:r>
        <w:rPr>
          <w:rFonts w:ascii="Times New Roman" w:hAnsi="Times New Roman" w:eastAsia="方正仿宋_GBK"/>
          <w:snapToGrid w:val="0"/>
          <w:sz w:val="28"/>
          <w:szCs w:val="28"/>
        </w:rPr>
        <w:t>因工作需求新购置公务用车</w:t>
      </w:r>
      <w:r>
        <w:rPr>
          <w:rFonts w:ascii="方正仿宋_GBK" w:hAnsi="方正仿宋_GBK" w:eastAsia="方正仿宋_GBK" w:cs="方正仿宋_GBK"/>
          <w:sz w:val="28"/>
          <w:szCs w:val="28"/>
          <w:shd w:val="clear" w:color="auto" w:fill="FFFFFF"/>
        </w:rPr>
        <w:t>。较上年支出数增加58.25万元，增长93.35%，主要原因是林业局因工作需要新增购置4辆公务车（</w:t>
      </w:r>
      <w:r>
        <w:rPr>
          <w:rFonts w:ascii="Times New Roman" w:hAnsi="Times New Roman" w:eastAsia="方正仿宋_GBK"/>
          <w:snapToGrid w:val="0"/>
          <w:sz w:val="28"/>
          <w:szCs w:val="28"/>
        </w:rPr>
        <w:t>执法执勤用车2辆，应急保障用车2辆）</w:t>
      </w:r>
      <w:r>
        <w:rPr>
          <w:rFonts w:ascii="方正仿宋_GBK" w:hAnsi="方正仿宋_GBK" w:eastAsia="方正仿宋_GBK" w:cs="方正仿宋_GBK"/>
          <w:sz w:val="28"/>
          <w:szCs w:val="28"/>
          <w:shd w:val="clear" w:color="auto" w:fill="FFFFFF"/>
        </w:rPr>
        <w:t>，导致费用增加。</w:t>
      </w:r>
    </w:p>
    <w:p>
      <w:pPr>
        <w:pStyle w:val="6"/>
        <w:keepNext w:val="0"/>
        <w:keepLines w:val="0"/>
        <w:pageBreakBefore w:val="0"/>
        <w:widowControl/>
        <w:shd w:val="clear" w:color="auto" w:fill="FFFFFF"/>
        <w:kinsoku/>
        <w:wordWrap/>
        <w:overflowPunct/>
        <w:topLinePunct w:val="0"/>
        <w:autoSpaceDN/>
        <w:bidi w:val="0"/>
        <w:adjustRightInd/>
        <w:spacing w:line="594" w:lineRule="exact"/>
        <w:ind w:firstLine="562" w:firstLineChars="200"/>
        <w:jc w:val="both"/>
        <w:textAlignment w:val="auto"/>
        <w:rPr>
          <w:rFonts w:hint="eastAsia" w:ascii="方正仿宋_GBK" w:hAnsi="方正仿宋_GBK" w:eastAsia="方正仿宋_GBK" w:cs="方正仿宋_GBK"/>
          <w:b/>
          <w:bCs/>
          <w:sz w:val="28"/>
          <w:szCs w:val="28"/>
          <w:shd w:val="clear" w:color="auto" w:fill="FFFFFF"/>
        </w:rPr>
      </w:pPr>
      <w:r>
        <w:rPr>
          <w:rFonts w:hint="eastAsia" w:ascii="方正仿宋_GBK" w:hAnsi="方正仿宋_GBK" w:eastAsia="方正仿宋_GBK" w:cs="方正仿宋_GBK"/>
          <w:b/>
          <w:bCs/>
          <w:sz w:val="28"/>
          <w:szCs w:val="28"/>
          <w:shd w:val="clear" w:color="auto" w:fill="FFFFFF"/>
        </w:rPr>
        <w:t>（二）“三公”经费分项支出情况</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560" w:firstLineChars="200"/>
        <w:jc w:val="both"/>
        <w:textAlignment w:val="auto"/>
        <w:rPr>
          <w:rFonts w:hint="default" w:ascii="方正仿宋_GBK" w:hAnsi="方正仿宋_GBK" w:eastAsia="方正仿宋_GBK" w:cs="方正仿宋_GBK"/>
          <w:sz w:val="28"/>
          <w:szCs w:val="28"/>
        </w:rPr>
      </w:pPr>
      <w:r>
        <w:rPr>
          <w:rFonts w:ascii="方正仿宋_GBK" w:hAnsi="方正仿宋_GBK" w:eastAsia="方正仿宋_GBK" w:cs="方正仿宋_GBK"/>
          <w:sz w:val="28"/>
          <w:szCs w:val="28"/>
          <w:shd w:val="clear" w:color="auto" w:fill="FFFFFF"/>
        </w:rPr>
        <w:t>公务车购置费</w:t>
      </w:r>
      <w:r>
        <w:rPr>
          <w:rFonts w:ascii="方正仿宋_GBK" w:hAnsi="方正仿宋_GBK" w:eastAsia="方正仿宋_GBK" w:cs="方正仿宋_GBK"/>
          <w:sz w:val="28"/>
          <w:szCs w:val="28"/>
        </w:rPr>
        <w:t>71.95</w:t>
      </w:r>
      <w:r>
        <w:rPr>
          <w:rFonts w:ascii="方正仿宋_GBK" w:hAnsi="方正仿宋_GBK" w:eastAsia="方正仿宋_GBK" w:cs="方正仿宋_GBK"/>
          <w:sz w:val="28"/>
          <w:szCs w:val="28"/>
          <w:shd w:val="clear" w:color="auto" w:fill="FFFFFF"/>
        </w:rPr>
        <w:t>万元，主要用于购置公务用车。费用支出较年初预算数增加71.95万元，增长100.00%，主要原因是林业局因为工作的需要新购置了4辆公务车（</w:t>
      </w:r>
      <w:r>
        <w:rPr>
          <w:rFonts w:ascii="Times New Roman" w:hAnsi="Times New Roman" w:eastAsia="方正仿宋_GBK"/>
          <w:snapToGrid w:val="0"/>
          <w:sz w:val="28"/>
          <w:szCs w:val="28"/>
        </w:rPr>
        <w:t>执法执勤用车2辆，应急保障用车2辆）</w:t>
      </w:r>
      <w:r>
        <w:rPr>
          <w:rFonts w:ascii="方正仿宋_GBK" w:hAnsi="方正仿宋_GBK" w:eastAsia="方正仿宋_GBK" w:cs="方正仿宋_GBK"/>
          <w:sz w:val="28"/>
          <w:szCs w:val="28"/>
          <w:shd w:val="clear" w:color="auto" w:fill="FFFFFF"/>
        </w:rPr>
        <w:t>。</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560" w:firstLineChars="200"/>
        <w:jc w:val="both"/>
        <w:textAlignment w:val="auto"/>
        <w:rPr>
          <w:rFonts w:hint="default" w:ascii="Times New Roman" w:hAnsi="Times New Roman" w:eastAsia="方正仿宋_GBK"/>
          <w:snapToGrid w:val="0"/>
          <w:sz w:val="28"/>
          <w:szCs w:val="28"/>
        </w:rPr>
      </w:pPr>
      <w:r>
        <w:rPr>
          <w:rFonts w:ascii="方正仿宋_GBK" w:hAnsi="方正仿宋_GBK" w:eastAsia="方正仿宋_GBK" w:cs="方正仿宋_GBK"/>
          <w:sz w:val="28"/>
          <w:szCs w:val="28"/>
          <w:shd w:val="clear" w:color="auto" w:fill="FFFFFF"/>
        </w:rPr>
        <w:t>公务车运行维护费</w:t>
      </w:r>
      <w:r>
        <w:rPr>
          <w:rFonts w:ascii="方正仿宋_GBK" w:hAnsi="方正仿宋_GBK" w:eastAsia="方正仿宋_GBK" w:cs="方正仿宋_GBK"/>
          <w:sz w:val="28"/>
          <w:szCs w:val="28"/>
        </w:rPr>
        <w:t>35.59</w:t>
      </w:r>
      <w:r>
        <w:rPr>
          <w:rFonts w:ascii="方正仿宋_GBK" w:hAnsi="方正仿宋_GBK" w:eastAsia="方正仿宋_GBK" w:cs="方正仿宋_GBK"/>
          <w:sz w:val="28"/>
          <w:szCs w:val="28"/>
          <w:shd w:val="clear" w:color="auto" w:fill="FFFFFF"/>
        </w:rPr>
        <w:t>万元，</w:t>
      </w:r>
      <w:r>
        <w:rPr>
          <w:rFonts w:ascii="Times New Roman" w:hAnsi="Times New Roman" w:eastAsia="方正仿宋_GBK"/>
          <w:snapToGrid w:val="0"/>
          <w:sz w:val="28"/>
          <w:szCs w:val="28"/>
        </w:rPr>
        <w:t>主要用于机要文件交换、市内因公出行、财政业务检查等工作所需车辆的燃料费、维修费、过桥过路费、保险费等</w:t>
      </w:r>
      <w:r>
        <w:rPr>
          <w:rFonts w:ascii="方正仿宋_GBK" w:hAnsi="方正仿宋_GBK" w:eastAsia="方正仿宋_GBK" w:cs="方正仿宋_GBK"/>
          <w:sz w:val="28"/>
          <w:szCs w:val="28"/>
          <w:shd w:val="clear" w:color="auto" w:fill="FFFFFF"/>
        </w:rPr>
        <w:t>。费用支出较年初预算数减少3.36万元，下降8.63%，</w:t>
      </w:r>
      <w:r>
        <w:rPr>
          <w:rFonts w:ascii="Times New Roman" w:hAnsi="Times New Roman" w:eastAsia="方正仿宋_GBK"/>
          <w:snapToGrid w:val="0"/>
          <w:sz w:val="28"/>
          <w:szCs w:val="28"/>
        </w:rPr>
        <w:t>主要原因是部门严格落实公车使用规定，严禁公车私用，公车运行维护成本实际支出较年初下降。</w:t>
      </w:r>
      <w:r>
        <w:rPr>
          <w:rFonts w:ascii="方正仿宋_GBK" w:hAnsi="方正仿宋_GBK" w:eastAsia="方正仿宋_GBK" w:cs="方正仿宋_GBK"/>
          <w:sz w:val="28"/>
          <w:szCs w:val="28"/>
          <w:shd w:val="clear" w:color="auto" w:fill="FFFFFF"/>
        </w:rPr>
        <w:t>较上年支出数增加1.94万元，增长5.77%，主要原因是较去年</w:t>
      </w:r>
      <w:r>
        <w:rPr>
          <w:rFonts w:ascii="Times New Roman" w:hAnsi="Times New Roman" w:eastAsia="方正仿宋_GBK"/>
          <w:snapToGrid w:val="0"/>
          <w:sz w:val="28"/>
          <w:szCs w:val="28"/>
        </w:rPr>
        <w:t>增加了公务用车3辆，故公务车运行维护费相应增加。</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560" w:firstLineChars="200"/>
        <w:jc w:val="both"/>
        <w:textAlignment w:val="auto"/>
        <w:rPr>
          <w:rFonts w:hint="default" w:ascii="Times New Roman" w:hAnsi="Times New Roman" w:eastAsia="方正仿宋_GBK"/>
          <w:snapToGrid w:val="0"/>
          <w:sz w:val="28"/>
          <w:szCs w:val="28"/>
        </w:rPr>
      </w:pPr>
      <w:r>
        <w:rPr>
          <w:rFonts w:ascii="方正仿宋_GBK" w:hAnsi="方正仿宋_GBK" w:eastAsia="方正仿宋_GBK" w:cs="方正仿宋_GBK"/>
          <w:sz w:val="28"/>
          <w:szCs w:val="28"/>
          <w:shd w:val="clear" w:color="auto" w:fill="FFFFFF"/>
        </w:rPr>
        <w:t>公务接待费</w:t>
      </w:r>
      <w:r>
        <w:rPr>
          <w:rFonts w:ascii="方正仿宋_GBK" w:hAnsi="方正仿宋_GBK" w:eastAsia="方正仿宋_GBK" w:cs="方正仿宋_GBK"/>
          <w:sz w:val="28"/>
          <w:szCs w:val="28"/>
        </w:rPr>
        <w:t>13.10</w:t>
      </w:r>
      <w:r>
        <w:rPr>
          <w:rFonts w:ascii="方正仿宋_GBK" w:hAnsi="方正仿宋_GBK" w:eastAsia="方正仿宋_GBK" w:cs="方正仿宋_GBK"/>
          <w:sz w:val="28"/>
          <w:szCs w:val="28"/>
          <w:shd w:val="clear" w:color="auto" w:fill="FFFFFF"/>
        </w:rPr>
        <w:t>万元，主要用于接待</w:t>
      </w:r>
      <w:r>
        <w:rPr>
          <w:rFonts w:ascii="Times New Roman" w:hAnsi="Times New Roman" w:eastAsia="方正仿宋_GBK"/>
          <w:snapToGrid w:val="0"/>
          <w:sz w:val="28"/>
          <w:szCs w:val="28"/>
        </w:rPr>
        <w:t>上级相关部门检查指导工作发生的接待支出及其他市、县林业部门的林业工作交流、学习等接待支出。</w:t>
      </w:r>
      <w:r>
        <w:rPr>
          <w:rFonts w:ascii="方正仿宋_GBK" w:hAnsi="方正仿宋_GBK" w:eastAsia="方正仿宋_GBK" w:cs="方正仿宋_GBK"/>
          <w:sz w:val="28"/>
          <w:szCs w:val="28"/>
          <w:shd w:val="clear" w:color="auto" w:fill="FFFFFF"/>
        </w:rPr>
        <w:t>费用支出较年初预算数减少6.90万元，下降34.50%，主要原因是</w:t>
      </w:r>
      <w:r>
        <w:rPr>
          <w:rFonts w:ascii="Times New Roman" w:hAnsi="Times New Roman" w:eastAsia="方正仿宋_GBK"/>
          <w:snapToGrid w:val="0"/>
          <w:sz w:val="28"/>
          <w:szCs w:val="28"/>
        </w:rPr>
        <w:t>强化公务接待支出管理，严格遵守公务接待开支范围和开支标准，严格控制陪餐人数，公务接待费实际支出较年初预算相对有所减少。</w:t>
      </w:r>
      <w:r>
        <w:rPr>
          <w:rFonts w:ascii="方正仿宋_GBK" w:hAnsi="方正仿宋_GBK" w:eastAsia="方正仿宋_GBK" w:cs="方正仿宋_GBK"/>
          <w:sz w:val="28"/>
          <w:szCs w:val="28"/>
          <w:shd w:val="clear" w:color="auto" w:fill="FFFFFF"/>
        </w:rPr>
        <w:t>较上年支出数增加2.30万元，增长21.30%，主要原因是</w:t>
      </w:r>
      <w:r>
        <w:rPr>
          <w:rFonts w:ascii="Times New Roman" w:hAnsi="Times New Roman" w:eastAsia="方正仿宋_GBK"/>
          <w:snapToGrid w:val="0"/>
          <w:sz w:val="28"/>
          <w:szCs w:val="28"/>
        </w:rPr>
        <w:t>今年的项目增加，接受上级相关部门的检查以及相关单位的工作交流也相应增加。</w:t>
      </w:r>
    </w:p>
    <w:p>
      <w:pPr>
        <w:pStyle w:val="6"/>
        <w:keepNext w:val="0"/>
        <w:keepLines w:val="0"/>
        <w:pageBreakBefore w:val="0"/>
        <w:widowControl/>
        <w:shd w:val="clear" w:color="auto" w:fill="FFFFFF"/>
        <w:kinsoku/>
        <w:wordWrap/>
        <w:overflowPunct/>
        <w:topLinePunct w:val="0"/>
        <w:autoSpaceDN/>
        <w:bidi w:val="0"/>
        <w:adjustRightInd/>
        <w:spacing w:line="594" w:lineRule="exact"/>
        <w:ind w:firstLine="562" w:firstLineChars="200"/>
        <w:jc w:val="both"/>
        <w:textAlignment w:val="auto"/>
        <w:rPr>
          <w:rFonts w:hint="eastAsia" w:ascii="方正仿宋_GBK" w:hAnsi="方正仿宋_GBK" w:eastAsia="方正仿宋_GBK" w:cs="方正仿宋_GBK"/>
          <w:b/>
          <w:bCs/>
          <w:sz w:val="28"/>
          <w:szCs w:val="28"/>
          <w:shd w:val="clear" w:color="auto" w:fill="FFFFFF"/>
        </w:rPr>
      </w:pPr>
      <w:r>
        <w:rPr>
          <w:rFonts w:hint="eastAsia" w:ascii="方正仿宋_GBK" w:hAnsi="方正仿宋_GBK" w:eastAsia="方正仿宋_GBK" w:cs="方正仿宋_GBK"/>
          <w:b/>
          <w:bCs/>
          <w:sz w:val="28"/>
          <w:szCs w:val="28"/>
          <w:shd w:val="clear" w:color="auto" w:fill="FFFFFF"/>
        </w:rPr>
        <w:t>（三）“三公”经费实物量情况</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560" w:firstLineChars="200"/>
        <w:jc w:val="both"/>
        <w:textAlignment w:val="auto"/>
        <w:rPr>
          <w:rFonts w:hint="default" w:ascii="方正仿宋_GBK" w:hAnsi="方正仿宋_GBK" w:eastAsia="方正仿宋_GBK" w:cs="方正仿宋_GBK"/>
          <w:sz w:val="28"/>
          <w:szCs w:val="28"/>
        </w:rPr>
      </w:pPr>
      <w:r>
        <w:rPr>
          <w:rFonts w:ascii="方正仿宋_GBK" w:hAnsi="方正仿宋_GBK" w:eastAsia="方正仿宋_GBK" w:cs="方正仿宋_GBK"/>
          <w:sz w:val="28"/>
          <w:szCs w:val="28"/>
          <w:shd w:val="clear" w:color="auto" w:fill="FFFFFF"/>
        </w:rPr>
        <w:t>2023年度本部门因公出国（境）共计</w:t>
      </w:r>
      <w:r>
        <w:rPr>
          <w:rFonts w:ascii="方正仿宋_GBK" w:hAnsi="方正仿宋_GBK" w:eastAsia="方正仿宋_GBK" w:cs="方正仿宋_GBK"/>
          <w:sz w:val="28"/>
          <w:szCs w:val="28"/>
        </w:rPr>
        <w:t>0</w:t>
      </w:r>
      <w:r>
        <w:rPr>
          <w:rFonts w:ascii="方正仿宋_GBK" w:hAnsi="方正仿宋_GBK" w:eastAsia="方正仿宋_GBK" w:cs="方正仿宋_GBK"/>
          <w:sz w:val="28"/>
          <w:szCs w:val="28"/>
          <w:shd w:val="clear" w:color="auto" w:fill="FFFFFF"/>
        </w:rPr>
        <w:t>个团组，</w:t>
      </w:r>
      <w:r>
        <w:rPr>
          <w:rFonts w:ascii="方正仿宋_GBK" w:hAnsi="方正仿宋_GBK" w:eastAsia="方正仿宋_GBK" w:cs="方正仿宋_GBK"/>
          <w:sz w:val="28"/>
          <w:szCs w:val="28"/>
        </w:rPr>
        <w:t>0</w:t>
      </w:r>
      <w:r>
        <w:rPr>
          <w:rFonts w:ascii="方正仿宋_GBK" w:hAnsi="方正仿宋_GBK" w:eastAsia="方正仿宋_GBK" w:cs="方正仿宋_GBK"/>
          <w:sz w:val="28"/>
          <w:szCs w:val="28"/>
          <w:shd w:val="clear" w:color="auto" w:fill="FFFFFF"/>
        </w:rPr>
        <w:t>人；公务用车购置</w:t>
      </w:r>
      <w:r>
        <w:rPr>
          <w:rFonts w:ascii="方正仿宋_GBK" w:hAnsi="方正仿宋_GBK" w:eastAsia="方正仿宋_GBK" w:cs="方正仿宋_GBK"/>
          <w:sz w:val="28"/>
          <w:szCs w:val="28"/>
        </w:rPr>
        <w:t>4</w:t>
      </w:r>
      <w:r>
        <w:rPr>
          <w:rFonts w:ascii="方正仿宋_GBK" w:hAnsi="方正仿宋_GBK" w:eastAsia="方正仿宋_GBK" w:cs="方正仿宋_GBK"/>
          <w:sz w:val="28"/>
          <w:szCs w:val="28"/>
          <w:shd w:val="clear" w:color="auto" w:fill="FFFFFF"/>
        </w:rPr>
        <w:t>辆，公务车保有量为</w:t>
      </w:r>
      <w:r>
        <w:rPr>
          <w:rFonts w:ascii="方正仿宋_GBK" w:hAnsi="方正仿宋_GBK" w:eastAsia="方正仿宋_GBK" w:cs="方正仿宋_GBK"/>
          <w:sz w:val="28"/>
          <w:szCs w:val="28"/>
        </w:rPr>
        <w:t>13</w:t>
      </w:r>
      <w:r>
        <w:rPr>
          <w:rFonts w:ascii="方正仿宋_GBK" w:hAnsi="方正仿宋_GBK" w:eastAsia="方正仿宋_GBK" w:cs="方正仿宋_GBK"/>
          <w:sz w:val="28"/>
          <w:szCs w:val="28"/>
          <w:shd w:val="clear" w:color="auto" w:fill="FFFFFF"/>
        </w:rPr>
        <w:t>辆；国内公务接待</w:t>
      </w:r>
      <w:r>
        <w:rPr>
          <w:rFonts w:ascii="方正仿宋_GBK" w:hAnsi="方正仿宋_GBK" w:eastAsia="方正仿宋_GBK" w:cs="方正仿宋_GBK"/>
          <w:sz w:val="28"/>
          <w:szCs w:val="28"/>
        </w:rPr>
        <w:t>447</w:t>
      </w:r>
      <w:r>
        <w:rPr>
          <w:rFonts w:ascii="方正仿宋_GBK" w:hAnsi="方正仿宋_GBK" w:eastAsia="方正仿宋_GBK" w:cs="方正仿宋_GBK"/>
          <w:sz w:val="28"/>
          <w:szCs w:val="28"/>
          <w:shd w:val="clear" w:color="auto" w:fill="FFFFFF"/>
        </w:rPr>
        <w:t>批次</w:t>
      </w:r>
      <w:r>
        <w:rPr>
          <w:rFonts w:ascii="方正仿宋_GBK" w:hAnsi="方正仿宋_GBK" w:eastAsia="方正仿宋_GBK" w:cs="方正仿宋_GBK"/>
          <w:sz w:val="28"/>
          <w:szCs w:val="28"/>
        </w:rPr>
        <w:t>1912</w:t>
      </w:r>
      <w:r>
        <w:rPr>
          <w:rFonts w:ascii="方正仿宋_GBK" w:hAnsi="方正仿宋_GBK" w:eastAsia="方正仿宋_GBK" w:cs="方正仿宋_GBK"/>
          <w:sz w:val="28"/>
          <w:szCs w:val="28"/>
          <w:shd w:val="clear" w:color="auto" w:fill="FFFFFF"/>
        </w:rPr>
        <w:t>人，其中：国内外事接待</w:t>
      </w:r>
      <w:r>
        <w:rPr>
          <w:rFonts w:ascii="方正仿宋_GBK" w:hAnsi="方正仿宋_GBK" w:eastAsia="方正仿宋_GBK" w:cs="方正仿宋_GBK"/>
          <w:sz w:val="28"/>
          <w:szCs w:val="28"/>
        </w:rPr>
        <w:t>0</w:t>
      </w:r>
      <w:r>
        <w:rPr>
          <w:rFonts w:ascii="方正仿宋_GBK" w:hAnsi="方正仿宋_GBK" w:eastAsia="方正仿宋_GBK" w:cs="方正仿宋_GBK"/>
          <w:sz w:val="28"/>
          <w:szCs w:val="28"/>
          <w:shd w:val="clear" w:color="auto" w:fill="FFFFFF"/>
        </w:rPr>
        <w:t>批次，</w:t>
      </w:r>
      <w:r>
        <w:rPr>
          <w:rFonts w:ascii="方正仿宋_GBK" w:hAnsi="方正仿宋_GBK" w:eastAsia="方正仿宋_GBK" w:cs="方正仿宋_GBK"/>
          <w:sz w:val="28"/>
          <w:szCs w:val="28"/>
        </w:rPr>
        <w:t>0</w:t>
      </w:r>
      <w:r>
        <w:rPr>
          <w:rFonts w:ascii="方正仿宋_GBK" w:hAnsi="方正仿宋_GBK" w:eastAsia="方正仿宋_GBK" w:cs="方正仿宋_GBK"/>
          <w:sz w:val="28"/>
          <w:szCs w:val="28"/>
          <w:shd w:val="clear" w:color="auto" w:fill="FFFFFF"/>
        </w:rPr>
        <w:t>人；国（境）外公务接待</w:t>
      </w:r>
      <w:r>
        <w:rPr>
          <w:rFonts w:ascii="方正仿宋_GBK" w:hAnsi="方正仿宋_GBK" w:eastAsia="方正仿宋_GBK" w:cs="方正仿宋_GBK"/>
          <w:sz w:val="28"/>
          <w:szCs w:val="28"/>
        </w:rPr>
        <w:t>0</w:t>
      </w:r>
      <w:r>
        <w:rPr>
          <w:rFonts w:ascii="方正仿宋_GBK" w:hAnsi="方正仿宋_GBK" w:eastAsia="方正仿宋_GBK" w:cs="方正仿宋_GBK"/>
          <w:sz w:val="28"/>
          <w:szCs w:val="28"/>
          <w:shd w:val="clear" w:color="auto" w:fill="FFFFFF"/>
        </w:rPr>
        <w:t>批次，</w:t>
      </w:r>
      <w:r>
        <w:rPr>
          <w:rFonts w:ascii="方正仿宋_GBK" w:hAnsi="方正仿宋_GBK" w:eastAsia="方正仿宋_GBK" w:cs="方正仿宋_GBK"/>
          <w:sz w:val="28"/>
          <w:szCs w:val="28"/>
        </w:rPr>
        <w:t>0</w:t>
      </w:r>
      <w:r>
        <w:rPr>
          <w:rFonts w:ascii="方正仿宋_GBK" w:hAnsi="方正仿宋_GBK" w:eastAsia="方正仿宋_GBK" w:cs="方正仿宋_GBK"/>
          <w:sz w:val="28"/>
          <w:szCs w:val="28"/>
          <w:shd w:val="clear" w:color="auto" w:fill="FFFFFF"/>
        </w:rPr>
        <w:t>人。2023年本部门人均接待费</w:t>
      </w:r>
      <w:r>
        <w:rPr>
          <w:rFonts w:ascii="方正仿宋_GBK" w:hAnsi="方正仿宋_GBK" w:eastAsia="方正仿宋_GBK" w:cs="方正仿宋_GBK"/>
          <w:sz w:val="28"/>
          <w:szCs w:val="28"/>
        </w:rPr>
        <w:t>68.52</w:t>
      </w:r>
      <w:r>
        <w:rPr>
          <w:rFonts w:ascii="方正仿宋_GBK" w:hAnsi="方正仿宋_GBK" w:eastAsia="方正仿宋_GBK" w:cs="方正仿宋_GBK"/>
          <w:sz w:val="28"/>
          <w:szCs w:val="28"/>
          <w:shd w:val="clear" w:color="auto" w:fill="FFFFFF"/>
        </w:rPr>
        <w:t>元，车均购置费</w:t>
      </w:r>
      <w:r>
        <w:rPr>
          <w:rFonts w:ascii="方正仿宋_GBK" w:hAnsi="方正仿宋_GBK" w:eastAsia="方正仿宋_GBK" w:cs="方正仿宋_GBK"/>
          <w:sz w:val="28"/>
          <w:szCs w:val="28"/>
        </w:rPr>
        <w:t>17.99</w:t>
      </w:r>
      <w:r>
        <w:rPr>
          <w:rFonts w:ascii="方正仿宋_GBK" w:hAnsi="方正仿宋_GBK" w:eastAsia="方正仿宋_GBK" w:cs="方正仿宋_GBK"/>
          <w:sz w:val="28"/>
          <w:szCs w:val="28"/>
          <w:shd w:val="clear" w:color="auto" w:fill="FFFFFF"/>
        </w:rPr>
        <w:t>万元，车均维护费</w:t>
      </w:r>
      <w:r>
        <w:rPr>
          <w:rFonts w:ascii="方正仿宋_GBK" w:hAnsi="方正仿宋_GBK" w:eastAsia="方正仿宋_GBK" w:cs="方正仿宋_GBK"/>
          <w:sz w:val="28"/>
          <w:szCs w:val="28"/>
        </w:rPr>
        <w:t>2.74</w:t>
      </w:r>
      <w:r>
        <w:rPr>
          <w:rFonts w:ascii="方正仿宋_GBK" w:hAnsi="方正仿宋_GBK" w:eastAsia="方正仿宋_GBK" w:cs="方正仿宋_GBK"/>
          <w:sz w:val="28"/>
          <w:szCs w:val="28"/>
          <w:shd w:val="clear" w:color="auto" w:fill="FFFFFF"/>
        </w:rPr>
        <w:t>万元。</w:t>
      </w:r>
    </w:p>
    <w:p>
      <w:pPr>
        <w:pStyle w:val="6"/>
        <w:keepNext w:val="0"/>
        <w:keepLines w:val="0"/>
        <w:pageBreakBefore w:val="0"/>
        <w:widowControl/>
        <w:shd w:val="clear" w:color="auto" w:fill="FFFFFF"/>
        <w:kinsoku/>
        <w:wordWrap/>
        <w:overflowPunct/>
        <w:topLinePunct w:val="0"/>
        <w:autoSpaceDN/>
        <w:bidi w:val="0"/>
        <w:adjustRightInd/>
        <w:spacing w:line="594" w:lineRule="exact"/>
        <w:textAlignment w:val="auto"/>
        <w:rPr>
          <w:rStyle w:val="10"/>
          <w:rFonts w:hint="default" w:ascii="方正黑体_GBK" w:hAnsi="方正黑体_GBK" w:eastAsia="方正黑体_GBK" w:cs="方正黑体_GBK"/>
          <w:b w:val="0"/>
          <w:bCs/>
          <w:sz w:val="28"/>
          <w:szCs w:val="28"/>
          <w:shd w:val="clear" w:color="auto" w:fill="FFFFFF"/>
        </w:rPr>
      </w:pPr>
      <w:r>
        <w:rPr>
          <w:rStyle w:val="10"/>
          <w:rFonts w:hint="eastAsia" w:ascii="方正黑体_GBK" w:hAnsi="方正黑体_GBK" w:eastAsia="方正黑体_GBK" w:cs="方正黑体_GBK"/>
          <w:b w:val="0"/>
          <w:bCs/>
          <w:sz w:val="28"/>
          <w:szCs w:val="28"/>
          <w:shd w:val="clear" w:color="auto" w:fill="FFFFFF"/>
        </w:rPr>
        <w:t>四、其他需要说明的事项</w:t>
      </w:r>
    </w:p>
    <w:p>
      <w:pPr>
        <w:pStyle w:val="6"/>
        <w:keepNext w:val="0"/>
        <w:keepLines w:val="0"/>
        <w:pageBreakBefore w:val="0"/>
        <w:widowControl/>
        <w:shd w:val="clear" w:color="auto" w:fill="FFFFFF"/>
        <w:kinsoku/>
        <w:wordWrap/>
        <w:overflowPunct/>
        <w:topLinePunct w:val="0"/>
        <w:autoSpaceDN/>
        <w:bidi w:val="0"/>
        <w:adjustRightInd/>
        <w:spacing w:line="594" w:lineRule="exact"/>
        <w:ind w:firstLine="562" w:firstLineChars="200"/>
        <w:jc w:val="both"/>
        <w:textAlignment w:val="auto"/>
        <w:rPr>
          <w:rFonts w:hint="eastAsia" w:ascii="方正仿宋_GBK" w:hAnsi="方正仿宋_GBK" w:eastAsia="方正仿宋_GBK" w:cs="方正仿宋_GBK"/>
          <w:b/>
          <w:bCs/>
          <w:sz w:val="28"/>
          <w:szCs w:val="28"/>
          <w:shd w:val="clear" w:color="auto" w:fill="FFFFFF"/>
        </w:rPr>
      </w:pPr>
      <w:r>
        <w:rPr>
          <w:rFonts w:hint="eastAsia" w:ascii="方正仿宋_GBK" w:hAnsi="方正仿宋_GBK" w:eastAsia="方正仿宋_GBK" w:cs="方正仿宋_GBK"/>
          <w:b/>
          <w:bCs/>
          <w:sz w:val="28"/>
          <w:szCs w:val="28"/>
          <w:shd w:val="clear" w:color="auto" w:fill="FFFFFF"/>
        </w:rPr>
        <w:t>（一）财政拨款会议费和培训费情况说明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560" w:firstLineChars="200"/>
        <w:jc w:val="both"/>
        <w:textAlignment w:val="auto"/>
        <w:rPr>
          <w:rFonts w:hint="default" w:ascii="方正仿宋_GBK" w:hAnsi="方正仿宋_GBK" w:eastAsia="方正仿宋_GBK" w:cs="方正仿宋_GBK"/>
          <w:sz w:val="28"/>
          <w:szCs w:val="28"/>
        </w:rPr>
      </w:pPr>
      <w:r>
        <w:rPr>
          <w:rFonts w:ascii="方正仿宋_GBK" w:hAnsi="方正仿宋_GBK" w:eastAsia="方正仿宋_GBK" w:cs="方正仿宋_GBK"/>
          <w:sz w:val="28"/>
          <w:szCs w:val="28"/>
          <w:shd w:val="clear" w:color="auto" w:fill="FFFFFF"/>
        </w:rPr>
        <w:t>本年度会议费支出</w:t>
      </w:r>
      <w:r>
        <w:rPr>
          <w:rFonts w:ascii="方正仿宋_GBK" w:hAnsi="方正仿宋_GBK" w:eastAsia="方正仿宋_GBK" w:cs="方正仿宋_GBK"/>
          <w:sz w:val="28"/>
          <w:szCs w:val="28"/>
        </w:rPr>
        <w:t>23.79</w:t>
      </w:r>
      <w:r>
        <w:rPr>
          <w:rFonts w:ascii="方正仿宋_GBK" w:hAnsi="方正仿宋_GBK" w:eastAsia="方正仿宋_GBK" w:cs="方正仿宋_GBK"/>
          <w:sz w:val="28"/>
          <w:szCs w:val="28"/>
          <w:shd w:val="clear" w:color="auto" w:fill="FFFFFF"/>
        </w:rPr>
        <w:t>万元，较上年决算数增加23.70万元，增长26333.33%，主要原因是2023年的项目增加导致相关的会议增多，以及召开了两岸青山.千里林带等会议。本年度培训费支出</w:t>
      </w:r>
      <w:r>
        <w:rPr>
          <w:rFonts w:ascii="方正仿宋_GBK" w:hAnsi="方正仿宋_GBK" w:eastAsia="方正仿宋_GBK" w:cs="方正仿宋_GBK"/>
          <w:sz w:val="28"/>
          <w:szCs w:val="28"/>
        </w:rPr>
        <w:t>11.59</w:t>
      </w:r>
      <w:r>
        <w:rPr>
          <w:rFonts w:ascii="方正仿宋_GBK" w:hAnsi="方正仿宋_GBK" w:eastAsia="方正仿宋_GBK" w:cs="方正仿宋_GBK"/>
          <w:sz w:val="28"/>
          <w:szCs w:val="28"/>
          <w:shd w:val="clear" w:color="auto" w:fill="FFFFFF"/>
        </w:rPr>
        <w:t>万元，较上年决算数增加8.67万元，增长296.92%，主要原因是新进人员增加的工作技能培训费用增加。</w:t>
      </w:r>
    </w:p>
    <w:p>
      <w:pPr>
        <w:pStyle w:val="6"/>
        <w:keepNext w:val="0"/>
        <w:keepLines w:val="0"/>
        <w:pageBreakBefore w:val="0"/>
        <w:widowControl/>
        <w:shd w:val="clear" w:color="auto" w:fill="FFFFFF"/>
        <w:kinsoku/>
        <w:wordWrap/>
        <w:overflowPunct/>
        <w:topLinePunct w:val="0"/>
        <w:autoSpaceDN/>
        <w:bidi w:val="0"/>
        <w:adjustRightInd/>
        <w:spacing w:line="594" w:lineRule="exact"/>
        <w:ind w:firstLine="562" w:firstLineChars="200"/>
        <w:jc w:val="both"/>
        <w:textAlignment w:val="auto"/>
        <w:rPr>
          <w:rFonts w:hint="eastAsia" w:ascii="方正仿宋_GBK" w:hAnsi="方正仿宋_GBK" w:eastAsia="方正仿宋_GBK" w:cs="方正仿宋_GBK"/>
          <w:b/>
          <w:bCs/>
          <w:sz w:val="28"/>
          <w:szCs w:val="28"/>
          <w:shd w:val="clear" w:color="auto" w:fill="FFFFFF"/>
        </w:rPr>
      </w:pPr>
      <w:r>
        <w:rPr>
          <w:rFonts w:hint="eastAsia" w:ascii="方正仿宋_GBK" w:hAnsi="方正仿宋_GBK" w:eastAsia="方正仿宋_GBK" w:cs="方正仿宋_GBK"/>
          <w:b/>
          <w:bCs/>
          <w:sz w:val="28"/>
          <w:szCs w:val="28"/>
          <w:shd w:val="clear" w:color="auto" w:fill="FFFFFF"/>
        </w:rPr>
        <w:t>（二）机关运行经费情况说明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560" w:firstLineChars="200"/>
        <w:jc w:val="both"/>
        <w:textAlignment w:val="auto"/>
        <w:rPr>
          <w:rFonts w:hint="default" w:ascii="方正仿宋_GBK" w:hAnsi="方正仿宋_GBK" w:eastAsia="方正仿宋_GBK" w:cs="方正仿宋_GBK"/>
          <w:sz w:val="28"/>
          <w:szCs w:val="28"/>
          <w:shd w:val="clear" w:color="auto" w:fill="FFFFFF"/>
        </w:rPr>
      </w:pPr>
      <w:r>
        <w:rPr>
          <w:rFonts w:ascii="方正仿宋_GBK" w:hAnsi="方正仿宋_GBK" w:eastAsia="方正仿宋_GBK" w:cs="方正仿宋_GBK"/>
          <w:sz w:val="28"/>
          <w:szCs w:val="28"/>
          <w:shd w:val="clear" w:color="auto" w:fill="FFFFFF"/>
        </w:rPr>
        <w:t>2023年度本部门机关运行经费支出</w:t>
      </w:r>
      <w:r>
        <w:rPr>
          <w:rFonts w:ascii="方正仿宋_GBK" w:hAnsi="方正仿宋_GBK" w:eastAsia="方正仿宋_GBK" w:cs="方正仿宋_GBK"/>
          <w:sz w:val="28"/>
          <w:szCs w:val="28"/>
        </w:rPr>
        <w:t>199.89</w:t>
      </w:r>
      <w:r>
        <w:rPr>
          <w:rFonts w:ascii="方正仿宋_GBK" w:hAnsi="方正仿宋_GBK" w:eastAsia="方正仿宋_GBK" w:cs="方正仿宋_GBK"/>
          <w:sz w:val="28"/>
          <w:szCs w:val="28"/>
          <w:shd w:val="clear" w:color="auto" w:fill="FFFFFF"/>
        </w:rPr>
        <w:t>万元，机关运行经费主要用于开支办公费、公务车运行维护费、信息网络费、劳务费、差旅费等。机关运行经费较上年支出数减少35.68万元，下降15.15%，主要原因是严格落实单位经费管理制度，控制相关的经费支出。</w:t>
      </w:r>
    </w:p>
    <w:p>
      <w:pPr>
        <w:pStyle w:val="6"/>
        <w:keepNext w:val="0"/>
        <w:keepLines w:val="0"/>
        <w:pageBreakBefore w:val="0"/>
        <w:widowControl/>
        <w:shd w:val="clear" w:color="auto" w:fill="FFFFFF"/>
        <w:kinsoku/>
        <w:wordWrap/>
        <w:overflowPunct/>
        <w:topLinePunct w:val="0"/>
        <w:autoSpaceDN/>
        <w:bidi w:val="0"/>
        <w:adjustRightInd/>
        <w:spacing w:line="594" w:lineRule="exact"/>
        <w:ind w:firstLine="562" w:firstLineChars="200"/>
        <w:jc w:val="both"/>
        <w:textAlignment w:val="auto"/>
        <w:rPr>
          <w:rFonts w:hint="eastAsia" w:ascii="方正仿宋_GBK" w:hAnsi="方正仿宋_GBK" w:eastAsia="方正仿宋_GBK" w:cs="方正仿宋_GBK"/>
          <w:b/>
          <w:bCs/>
          <w:sz w:val="28"/>
          <w:szCs w:val="28"/>
          <w:shd w:val="clear" w:color="auto" w:fill="FFFFFF"/>
        </w:rPr>
      </w:pPr>
      <w:r>
        <w:rPr>
          <w:rFonts w:hint="eastAsia" w:ascii="方正仿宋_GBK" w:hAnsi="方正仿宋_GBK" w:eastAsia="方正仿宋_GBK" w:cs="方正仿宋_GBK"/>
          <w:b/>
          <w:bCs/>
          <w:sz w:val="28"/>
          <w:szCs w:val="28"/>
          <w:shd w:val="clear" w:color="auto" w:fill="FFFFFF"/>
        </w:rPr>
        <w:t>（三）国有资产占用情况说明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560" w:firstLineChars="200"/>
        <w:jc w:val="both"/>
        <w:textAlignment w:val="auto"/>
        <w:rPr>
          <w:rFonts w:hint="default" w:ascii="方正仿宋_GBK" w:hAnsi="方正仿宋_GBK" w:eastAsia="方正仿宋_GBK" w:cs="方正仿宋_GBK"/>
          <w:sz w:val="28"/>
          <w:szCs w:val="28"/>
        </w:rPr>
      </w:pPr>
      <w:r>
        <w:rPr>
          <w:rFonts w:ascii="方正仿宋_GBK" w:hAnsi="方正仿宋_GBK" w:eastAsia="方正仿宋_GBK" w:cs="方正仿宋_GBK"/>
          <w:sz w:val="28"/>
          <w:szCs w:val="28"/>
          <w:shd w:val="clear" w:color="auto" w:fill="FFFFFF"/>
        </w:rPr>
        <w:t>截至2023年12月31日，本部门共有车辆</w:t>
      </w:r>
      <w:r>
        <w:rPr>
          <w:rFonts w:ascii="方正仿宋_GBK" w:hAnsi="方正仿宋_GBK" w:eastAsia="方正仿宋_GBK" w:cs="方正仿宋_GBK"/>
          <w:sz w:val="28"/>
          <w:szCs w:val="28"/>
        </w:rPr>
        <w:t>13</w:t>
      </w:r>
      <w:r>
        <w:rPr>
          <w:rFonts w:ascii="方正仿宋_GBK" w:hAnsi="方正仿宋_GBK" w:eastAsia="方正仿宋_GBK" w:cs="方正仿宋_GBK"/>
          <w:sz w:val="28"/>
          <w:szCs w:val="28"/>
          <w:shd w:val="clear" w:color="auto" w:fill="FFFFFF"/>
        </w:rPr>
        <w:t>辆，其中，副部（省）级及以上领导用车</w:t>
      </w:r>
      <w:r>
        <w:rPr>
          <w:rFonts w:ascii="方正仿宋_GBK" w:hAnsi="方正仿宋_GBK" w:eastAsia="方正仿宋_GBK" w:cs="方正仿宋_GBK"/>
          <w:sz w:val="28"/>
          <w:szCs w:val="28"/>
        </w:rPr>
        <w:t>0</w:t>
      </w:r>
      <w:r>
        <w:rPr>
          <w:rFonts w:ascii="方正仿宋_GBK" w:hAnsi="方正仿宋_GBK" w:eastAsia="方正仿宋_GBK" w:cs="方正仿宋_GBK"/>
          <w:sz w:val="28"/>
          <w:szCs w:val="28"/>
          <w:shd w:val="clear" w:color="auto" w:fill="FFFFFF"/>
        </w:rPr>
        <w:t>辆、主要领导干部用车</w:t>
      </w:r>
      <w:r>
        <w:rPr>
          <w:rFonts w:ascii="方正仿宋_GBK" w:hAnsi="方正仿宋_GBK" w:eastAsia="方正仿宋_GBK" w:cs="方正仿宋_GBK"/>
          <w:sz w:val="28"/>
          <w:szCs w:val="28"/>
        </w:rPr>
        <w:t>0</w:t>
      </w:r>
      <w:r>
        <w:rPr>
          <w:rFonts w:ascii="方正仿宋_GBK" w:hAnsi="方正仿宋_GBK" w:eastAsia="方正仿宋_GBK" w:cs="方正仿宋_GBK"/>
          <w:sz w:val="28"/>
          <w:szCs w:val="28"/>
          <w:shd w:val="clear" w:color="auto" w:fill="FFFFFF"/>
        </w:rPr>
        <w:t>辆、机要通信用车</w:t>
      </w:r>
      <w:r>
        <w:rPr>
          <w:rFonts w:ascii="方正仿宋_GBK" w:hAnsi="方正仿宋_GBK" w:eastAsia="方正仿宋_GBK" w:cs="方正仿宋_GBK"/>
          <w:sz w:val="28"/>
          <w:szCs w:val="28"/>
        </w:rPr>
        <w:t>2</w:t>
      </w:r>
      <w:r>
        <w:rPr>
          <w:rFonts w:ascii="方正仿宋_GBK" w:hAnsi="方正仿宋_GBK" w:eastAsia="方正仿宋_GBK" w:cs="方正仿宋_GBK"/>
          <w:sz w:val="28"/>
          <w:szCs w:val="28"/>
          <w:shd w:val="clear" w:color="auto" w:fill="FFFFFF"/>
        </w:rPr>
        <w:t>辆、应急保障用车</w:t>
      </w:r>
      <w:r>
        <w:rPr>
          <w:rFonts w:ascii="方正仿宋_GBK" w:hAnsi="方正仿宋_GBK" w:eastAsia="方正仿宋_GBK" w:cs="方正仿宋_GBK"/>
          <w:sz w:val="28"/>
          <w:szCs w:val="28"/>
        </w:rPr>
        <w:t>9</w:t>
      </w:r>
      <w:r>
        <w:rPr>
          <w:rFonts w:ascii="方正仿宋_GBK" w:hAnsi="方正仿宋_GBK" w:eastAsia="方正仿宋_GBK" w:cs="方正仿宋_GBK"/>
          <w:sz w:val="28"/>
          <w:szCs w:val="28"/>
          <w:shd w:val="clear" w:color="auto" w:fill="FFFFFF"/>
        </w:rPr>
        <w:t>辆、执法执勤用车</w:t>
      </w:r>
      <w:r>
        <w:rPr>
          <w:rFonts w:ascii="方正仿宋_GBK" w:hAnsi="方正仿宋_GBK" w:eastAsia="方正仿宋_GBK" w:cs="方正仿宋_GBK"/>
          <w:sz w:val="28"/>
          <w:szCs w:val="28"/>
        </w:rPr>
        <w:t>2</w:t>
      </w:r>
      <w:r>
        <w:rPr>
          <w:rFonts w:ascii="方正仿宋_GBK" w:hAnsi="方正仿宋_GBK" w:eastAsia="方正仿宋_GBK" w:cs="方正仿宋_GBK"/>
          <w:sz w:val="28"/>
          <w:szCs w:val="28"/>
          <w:shd w:val="clear" w:color="auto" w:fill="FFFFFF"/>
        </w:rPr>
        <w:t>辆，特种专业技术用车</w:t>
      </w:r>
      <w:r>
        <w:rPr>
          <w:rFonts w:ascii="方正仿宋_GBK" w:hAnsi="方正仿宋_GBK" w:eastAsia="方正仿宋_GBK" w:cs="方正仿宋_GBK"/>
          <w:sz w:val="28"/>
          <w:szCs w:val="28"/>
        </w:rPr>
        <w:t>0</w:t>
      </w:r>
      <w:r>
        <w:rPr>
          <w:rFonts w:ascii="方正仿宋_GBK" w:hAnsi="方正仿宋_GBK" w:eastAsia="方正仿宋_GBK" w:cs="方正仿宋_GBK"/>
          <w:sz w:val="28"/>
          <w:szCs w:val="28"/>
          <w:shd w:val="clear" w:color="auto" w:fill="FFFFFF"/>
        </w:rPr>
        <w:t>辆，离退休干部用车</w:t>
      </w:r>
      <w:r>
        <w:rPr>
          <w:rFonts w:ascii="方正仿宋_GBK" w:hAnsi="方正仿宋_GBK" w:eastAsia="方正仿宋_GBK" w:cs="方正仿宋_GBK"/>
          <w:sz w:val="28"/>
          <w:szCs w:val="28"/>
        </w:rPr>
        <w:t>0</w:t>
      </w:r>
      <w:r>
        <w:rPr>
          <w:rFonts w:ascii="方正仿宋_GBK" w:hAnsi="方正仿宋_GBK" w:eastAsia="方正仿宋_GBK" w:cs="方正仿宋_GBK"/>
          <w:sz w:val="28"/>
          <w:szCs w:val="28"/>
          <w:shd w:val="clear" w:color="auto" w:fill="FFFFFF"/>
        </w:rPr>
        <w:t>辆。单价100万元（含）以上设备（不含车辆）</w:t>
      </w:r>
      <w:r>
        <w:rPr>
          <w:rFonts w:ascii="方正仿宋_GBK" w:hAnsi="方正仿宋_GBK" w:eastAsia="方正仿宋_GBK" w:cs="方正仿宋_GBK"/>
          <w:sz w:val="28"/>
          <w:szCs w:val="28"/>
        </w:rPr>
        <w:t>0</w:t>
      </w:r>
      <w:r>
        <w:rPr>
          <w:rFonts w:ascii="方正仿宋_GBK" w:hAnsi="方正仿宋_GBK" w:eastAsia="方正仿宋_GBK" w:cs="方正仿宋_GBK"/>
          <w:sz w:val="28"/>
          <w:szCs w:val="28"/>
          <w:shd w:val="clear" w:color="auto" w:fill="FFFFFF"/>
        </w:rPr>
        <w:t>台（套）。</w:t>
      </w:r>
    </w:p>
    <w:p>
      <w:pPr>
        <w:pStyle w:val="6"/>
        <w:keepNext w:val="0"/>
        <w:keepLines w:val="0"/>
        <w:pageBreakBefore w:val="0"/>
        <w:widowControl/>
        <w:shd w:val="clear" w:color="auto" w:fill="FFFFFF"/>
        <w:kinsoku/>
        <w:wordWrap/>
        <w:overflowPunct/>
        <w:topLinePunct w:val="0"/>
        <w:autoSpaceDN/>
        <w:bidi w:val="0"/>
        <w:adjustRightInd/>
        <w:spacing w:line="594" w:lineRule="exact"/>
        <w:ind w:firstLine="562" w:firstLineChars="200"/>
        <w:jc w:val="both"/>
        <w:textAlignment w:val="auto"/>
        <w:rPr>
          <w:rFonts w:hint="eastAsia" w:ascii="方正仿宋_GBK" w:hAnsi="方正仿宋_GBK" w:eastAsia="方正仿宋_GBK" w:cs="方正仿宋_GBK"/>
          <w:b/>
          <w:bCs/>
          <w:sz w:val="28"/>
          <w:szCs w:val="28"/>
          <w:shd w:val="clear" w:color="auto" w:fill="FFFFFF"/>
        </w:rPr>
      </w:pPr>
      <w:r>
        <w:rPr>
          <w:rFonts w:hint="eastAsia" w:ascii="方正仿宋_GBK" w:hAnsi="方正仿宋_GBK" w:eastAsia="方正仿宋_GBK" w:cs="方正仿宋_GBK"/>
          <w:b/>
          <w:bCs/>
          <w:sz w:val="28"/>
          <w:szCs w:val="28"/>
          <w:shd w:val="clear" w:color="auto" w:fill="FFFFFF"/>
        </w:rPr>
        <w:t>（四）政府采购支出情况说明</w:t>
      </w:r>
    </w:p>
    <w:p>
      <w:pPr>
        <w:pStyle w:val="6"/>
        <w:keepNext w:val="0"/>
        <w:keepLines w:val="0"/>
        <w:pageBreakBefore w:val="0"/>
        <w:widowControl/>
        <w:kinsoku/>
        <w:wordWrap/>
        <w:overflowPunct/>
        <w:topLinePunct w:val="0"/>
        <w:autoSpaceDN/>
        <w:bidi w:val="0"/>
        <w:adjustRightInd/>
        <w:spacing w:line="594" w:lineRule="exact"/>
        <w:ind w:firstLine="560" w:firstLineChars="200"/>
        <w:jc w:val="both"/>
        <w:textAlignment w:val="auto"/>
        <w:rPr>
          <w:rFonts w:hint="default" w:ascii="方正仿宋_GBK" w:hAnsi="方正仿宋_GBK" w:eastAsia="方正仿宋_GBK" w:cs="方正仿宋_GBK"/>
          <w:color w:val="FF0000"/>
          <w:sz w:val="28"/>
          <w:szCs w:val="28"/>
          <w:shd w:val="clear" w:color="auto" w:fill="FFFFFF"/>
        </w:rPr>
      </w:pPr>
      <w:r>
        <w:rPr>
          <w:rFonts w:ascii="方正仿宋_GBK" w:hAnsi="方正仿宋_GBK" w:eastAsia="方正仿宋_GBK" w:cs="方正仿宋_GBK"/>
          <w:sz w:val="28"/>
          <w:szCs w:val="28"/>
          <w:shd w:val="clear" w:color="auto" w:fill="FFFFFF"/>
        </w:rPr>
        <w:t>2023年度本部门政府采购支出总额</w:t>
      </w:r>
      <w:r>
        <w:rPr>
          <w:rFonts w:ascii="方正仿宋_GBK" w:hAnsi="方正仿宋_GBK" w:eastAsia="方正仿宋_GBK" w:cs="方正仿宋_GBK"/>
          <w:sz w:val="28"/>
          <w:szCs w:val="28"/>
        </w:rPr>
        <w:t>5.94</w:t>
      </w:r>
      <w:r>
        <w:rPr>
          <w:rFonts w:ascii="方正仿宋_GBK" w:hAnsi="方正仿宋_GBK" w:eastAsia="方正仿宋_GBK" w:cs="方正仿宋_GBK"/>
          <w:sz w:val="28"/>
          <w:szCs w:val="28"/>
          <w:shd w:val="clear" w:color="auto" w:fill="FFFFFF"/>
        </w:rPr>
        <w:t>万元，其中：政府采购货物支出</w:t>
      </w:r>
      <w:r>
        <w:rPr>
          <w:rFonts w:ascii="方正仿宋_GBK" w:hAnsi="方正仿宋_GBK" w:eastAsia="方正仿宋_GBK" w:cs="方正仿宋_GBK"/>
          <w:sz w:val="28"/>
          <w:szCs w:val="28"/>
        </w:rPr>
        <w:t>5.94</w:t>
      </w:r>
      <w:r>
        <w:rPr>
          <w:rFonts w:ascii="方正仿宋_GBK" w:hAnsi="方正仿宋_GBK" w:eastAsia="方正仿宋_GBK" w:cs="方正仿宋_GBK"/>
          <w:sz w:val="28"/>
          <w:szCs w:val="28"/>
          <w:shd w:val="clear" w:color="auto" w:fill="FFFFFF"/>
        </w:rPr>
        <w:t>万元、政府采购工程支出</w:t>
      </w:r>
      <w:r>
        <w:rPr>
          <w:rFonts w:ascii="方正仿宋_GBK" w:hAnsi="方正仿宋_GBK" w:eastAsia="方正仿宋_GBK" w:cs="方正仿宋_GBK"/>
          <w:sz w:val="28"/>
          <w:szCs w:val="28"/>
        </w:rPr>
        <w:t>0.00</w:t>
      </w:r>
      <w:r>
        <w:rPr>
          <w:rFonts w:ascii="方正仿宋_GBK" w:hAnsi="方正仿宋_GBK" w:eastAsia="方正仿宋_GBK" w:cs="方正仿宋_GBK"/>
          <w:sz w:val="28"/>
          <w:szCs w:val="28"/>
          <w:shd w:val="clear" w:color="auto" w:fill="FFFFFF"/>
        </w:rPr>
        <w:t>万元、政府采购服务支出</w:t>
      </w:r>
      <w:r>
        <w:rPr>
          <w:rFonts w:ascii="方正仿宋_GBK" w:hAnsi="方正仿宋_GBK" w:eastAsia="方正仿宋_GBK" w:cs="方正仿宋_GBK"/>
          <w:sz w:val="28"/>
          <w:szCs w:val="28"/>
        </w:rPr>
        <w:t>0.00</w:t>
      </w:r>
      <w:r>
        <w:rPr>
          <w:rFonts w:ascii="方正仿宋_GBK" w:hAnsi="方正仿宋_GBK" w:eastAsia="方正仿宋_GBK" w:cs="方正仿宋_GBK"/>
          <w:sz w:val="28"/>
          <w:szCs w:val="28"/>
          <w:shd w:val="clear" w:color="auto" w:fill="FFFFFF"/>
        </w:rPr>
        <w:t>万元。授予中小企业合同金额</w:t>
      </w:r>
      <w:r>
        <w:rPr>
          <w:rFonts w:ascii="方正仿宋_GBK" w:hAnsi="方正仿宋_GBK" w:eastAsia="方正仿宋_GBK" w:cs="方正仿宋_GBK"/>
          <w:sz w:val="28"/>
          <w:szCs w:val="28"/>
        </w:rPr>
        <w:t>5.94万</w:t>
      </w:r>
      <w:r>
        <w:rPr>
          <w:rFonts w:ascii="方正仿宋_GBK" w:hAnsi="方正仿宋_GBK" w:eastAsia="方正仿宋_GBK" w:cs="方正仿宋_GBK"/>
          <w:sz w:val="28"/>
          <w:szCs w:val="28"/>
          <w:shd w:val="clear" w:color="auto" w:fill="FFFFFF"/>
        </w:rPr>
        <w:t>元，占政府采购支出总额的</w:t>
      </w:r>
      <w:r>
        <w:rPr>
          <w:rFonts w:ascii="方正仿宋_GBK" w:hAnsi="方正仿宋_GBK" w:eastAsia="方正仿宋_GBK" w:cs="方正仿宋_GBK"/>
          <w:sz w:val="28"/>
          <w:szCs w:val="28"/>
        </w:rPr>
        <w:t>100.00</w:t>
      </w:r>
      <w:r>
        <w:rPr>
          <w:rFonts w:ascii="方正仿宋_GBK" w:hAnsi="方正仿宋_GBK" w:eastAsia="方正仿宋_GBK" w:cs="方正仿宋_GBK"/>
          <w:sz w:val="28"/>
          <w:szCs w:val="28"/>
          <w:shd w:val="clear" w:color="auto" w:fill="FFFFFF"/>
        </w:rPr>
        <w:t>%，其中：授予小微企业合同金额</w:t>
      </w:r>
      <w:r>
        <w:rPr>
          <w:rFonts w:ascii="方正仿宋_GBK" w:hAnsi="方正仿宋_GBK" w:eastAsia="方正仿宋_GBK" w:cs="方正仿宋_GBK"/>
          <w:sz w:val="28"/>
          <w:szCs w:val="28"/>
        </w:rPr>
        <w:t>5.94</w:t>
      </w:r>
      <w:r>
        <w:rPr>
          <w:rFonts w:ascii="方正仿宋_GBK" w:hAnsi="方正仿宋_GBK" w:eastAsia="方正仿宋_GBK" w:cs="方正仿宋_GBK"/>
          <w:sz w:val="28"/>
          <w:szCs w:val="28"/>
          <w:shd w:val="clear" w:color="auto" w:fill="FFFFFF"/>
        </w:rPr>
        <w:t>万元，占政府采购支出总额的</w:t>
      </w:r>
      <w:r>
        <w:rPr>
          <w:rFonts w:ascii="方正仿宋_GBK" w:hAnsi="方正仿宋_GBK" w:eastAsia="方正仿宋_GBK" w:cs="方正仿宋_GBK"/>
          <w:sz w:val="28"/>
          <w:szCs w:val="28"/>
        </w:rPr>
        <w:t>100.00</w:t>
      </w:r>
      <w:r>
        <w:rPr>
          <w:rFonts w:ascii="方正仿宋_GBK" w:hAnsi="方正仿宋_GBK" w:eastAsia="方正仿宋_GBK" w:cs="方正仿宋_GBK"/>
          <w:sz w:val="28"/>
          <w:szCs w:val="28"/>
          <w:shd w:val="clear" w:color="auto" w:fill="FFFFFF"/>
        </w:rPr>
        <w:t xml:space="preserve"> %。主要用于采购</w:t>
      </w:r>
      <w:r>
        <w:rPr>
          <w:rFonts w:ascii="Times New Roman" w:hAnsi="Times New Roman" w:eastAsia="方正仿宋_GBK"/>
          <w:snapToGrid w:val="0"/>
          <w:sz w:val="28"/>
          <w:szCs w:val="28"/>
        </w:rPr>
        <w:t>森林保险、森林资源调查、森林防火及其他林业项目咨询服务等支出。</w:t>
      </w:r>
    </w:p>
    <w:p>
      <w:pPr>
        <w:pStyle w:val="6"/>
        <w:keepNext w:val="0"/>
        <w:keepLines w:val="0"/>
        <w:pageBreakBefore w:val="0"/>
        <w:widowControl/>
        <w:shd w:val="clear" w:color="auto" w:fill="FFFFFF"/>
        <w:kinsoku/>
        <w:wordWrap/>
        <w:overflowPunct/>
        <w:topLinePunct w:val="0"/>
        <w:autoSpaceDN/>
        <w:bidi w:val="0"/>
        <w:adjustRightInd/>
        <w:spacing w:line="594" w:lineRule="exact"/>
        <w:textAlignment w:val="auto"/>
        <w:rPr>
          <w:rStyle w:val="10"/>
          <w:rFonts w:hint="default" w:ascii="方正黑体_GBK" w:hAnsi="方正黑体_GBK" w:eastAsia="方正黑体_GBK" w:cs="方正黑体_GBK"/>
          <w:b w:val="0"/>
          <w:bCs/>
          <w:sz w:val="28"/>
          <w:szCs w:val="28"/>
          <w:shd w:val="clear" w:color="auto" w:fill="FFFFFF"/>
        </w:rPr>
      </w:pPr>
      <w:r>
        <w:rPr>
          <w:rStyle w:val="10"/>
          <w:rFonts w:hint="eastAsia" w:ascii="方正黑体_GBK" w:hAnsi="方正黑体_GBK" w:eastAsia="方正黑体_GBK" w:cs="方正黑体_GBK"/>
          <w:b w:val="0"/>
          <w:bCs/>
          <w:sz w:val="28"/>
          <w:szCs w:val="28"/>
          <w:shd w:val="clear" w:color="auto" w:fill="FFFFFF"/>
          <w:lang w:eastAsia="zh-CN"/>
        </w:rPr>
        <w:t>五、</w:t>
      </w:r>
      <w:r>
        <w:rPr>
          <w:rStyle w:val="10"/>
          <w:rFonts w:hint="eastAsia" w:ascii="方正黑体_GBK" w:hAnsi="方正黑体_GBK" w:eastAsia="方正黑体_GBK" w:cs="方正黑体_GBK"/>
          <w:b w:val="0"/>
          <w:bCs/>
          <w:sz w:val="28"/>
          <w:szCs w:val="28"/>
          <w:shd w:val="clear" w:color="auto" w:fill="FFFFFF"/>
        </w:rPr>
        <w:t>预算绩效管理情况说明</w:t>
      </w:r>
    </w:p>
    <w:p>
      <w:pPr>
        <w:pStyle w:val="6"/>
        <w:keepNext w:val="0"/>
        <w:keepLines w:val="0"/>
        <w:pageBreakBefore w:val="0"/>
        <w:widowControl/>
        <w:shd w:val="clear" w:color="auto" w:fill="FFFFFF"/>
        <w:kinsoku/>
        <w:wordWrap/>
        <w:overflowPunct/>
        <w:topLinePunct w:val="0"/>
        <w:autoSpaceDN/>
        <w:bidi w:val="0"/>
        <w:adjustRightInd/>
        <w:spacing w:line="594" w:lineRule="exact"/>
        <w:ind w:firstLine="562" w:firstLineChars="200"/>
        <w:jc w:val="both"/>
        <w:textAlignment w:val="auto"/>
        <w:rPr>
          <w:rFonts w:hint="eastAsia" w:ascii="方正仿宋_GBK" w:hAnsi="方正仿宋_GBK" w:eastAsia="方正仿宋_GBK" w:cs="方正仿宋_GBK"/>
          <w:b/>
          <w:bCs/>
          <w:sz w:val="28"/>
          <w:szCs w:val="28"/>
          <w:shd w:val="clear" w:color="auto" w:fill="FFFFFF"/>
        </w:rPr>
      </w:pPr>
      <w:r>
        <w:rPr>
          <w:rFonts w:hint="eastAsia" w:ascii="方正仿宋_GBK" w:hAnsi="方正仿宋_GBK" w:eastAsia="方正仿宋_GBK" w:cs="方正仿宋_GBK"/>
          <w:b/>
          <w:bCs/>
          <w:sz w:val="28"/>
          <w:szCs w:val="28"/>
          <w:shd w:val="clear" w:color="auto" w:fill="FFFFFF"/>
        </w:rPr>
        <w:t>（一）部门自评情况</w:t>
      </w:r>
    </w:p>
    <w:p>
      <w:pPr>
        <w:pStyle w:val="6"/>
        <w:keepNext w:val="0"/>
        <w:keepLines w:val="0"/>
        <w:pageBreakBefore w:val="0"/>
        <w:widowControl/>
        <w:kinsoku/>
        <w:wordWrap/>
        <w:overflowPunct/>
        <w:topLinePunct w:val="0"/>
        <w:autoSpaceDN/>
        <w:bidi w:val="0"/>
        <w:adjustRightInd/>
        <w:spacing w:beforeAutospacing="0" w:afterAutospacing="0" w:line="594" w:lineRule="exact"/>
        <w:ind w:firstLine="560" w:firstLineChars="200"/>
        <w:jc w:val="both"/>
        <w:textAlignment w:val="auto"/>
        <w:rPr>
          <w:rFonts w:hint="default" w:ascii="方正仿宋_GBK" w:hAnsi="方正仿宋_GBK" w:eastAsia="方正仿宋_GBK" w:cs="方正仿宋_GBK"/>
          <w:sz w:val="28"/>
          <w:szCs w:val="28"/>
          <w:highlight w:val="yellow"/>
          <w:shd w:val="clear" w:color="auto" w:fill="FFFFFF"/>
        </w:rPr>
      </w:pPr>
      <w:r>
        <w:rPr>
          <w:rFonts w:ascii="方正仿宋_GBK" w:hAnsi="方正仿宋_GBK" w:eastAsia="方正仿宋_GBK" w:cs="方正仿宋_GBK"/>
          <w:sz w:val="28"/>
          <w:szCs w:val="28"/>
          <w:shd w:val="clear" w:color="auto" w:fill="FFFFFF"/>
        </w:rPr>
        <w:t>根据预算绩效管理要求，我部门对部门整体和152个二级项目开展了绩效自评，涉及财政拨款项目支出资金21981.25万元</w:t>
      </w:r>
      <w:r>
        <w:rPr>
          <w:rFonts w:ascii="Times New Roman" w:hAnsi="Times New Roman" w:eastAsia="方正仿宋_GBK"/>
          <w:snapToGrid w:val="0"/>
          <w:sz w:val="28"/>
          <w:szCs w:val="28"/>
        </w:rPr>
        <w:t>。从评价情况来看，项目立项较为规范，绩效目标明确，预算编制合理，管理科学规范，资金到位及时，总体完成情况较好，项目基本达到了预期绩效目标。</w:t>
      </w:r>
    </w:p>
    <w:p>
      <w:pPr>
        <w:pStyle w:val="13"/>
        <w:keepNext w:val="0"/>
        <w:keepLines w:val="0"/>
        <w:pageBreakBefore w:val="0"/>
        <w:widowControl/>
        <w:kinsoku/>
        <w:wordWrap/>
        <w:overflowPunct/>
        <w:topLinePunct w:val="0"/>
        <w:autoSpaceDE w:val="0"/>
        <w:autoSpaceDN/>
        <w:bidi w:val="0"/>
        <w:adjustRightInd/>
        <w:spacing w:before="0" w:beforeAutospacing="0" w:line="594" w:lineRule="exact"/>
        <w:ind w:firstLine="560" w:firstLineChars="200"/>
        <w:jc w:val="both"/>
        <w:textAlignment w:val="auto"/>
        <w:rPr>
          <w:rFonts w:ascii="方正仿宋_GBK" w:hAnsi="方正仿宋_GBK" w:eastAsia="方正仿宋_GBK" w:cs="方正仿宋_GBK"/>
          <w:sz w:val="28"/>
          <w:szCs w:val="28"/>
          <w:shd w:val="clear" w:color="auto" w:fill="FFFFFF"/>
        </w:rPr>
      </w:pPr>
      <w:r>
        <w:rPr>
          <w:rFonts w:hint="eastAsia" w:ascii="方正仿宋_GBK" w:hAnsi="方正仿宋_GBK" w:eastAsia="方正仿宋_GBK" w:cs="方正仿宋_GBK"/>
          <w:sz w:val="28"/>
          <w:szCs w:val="28"/>
          <w:shd w:val="clear" w:color="auto" w:fill="FFFFFF"/>
        </w:rPr>
        <w:t>部门整体绩效自评表样</w:t>
      </w:r>
    </w:p>
    <w:p>
      <w:pPr>
        <w:pStyle w:val="13"/>
        <w:autoSpaceDE w:val="0"/>
        <w:spacing w:before="0" w:beforeAutospacing="0" w:line="600" w:lineRule="exact"/>
        <w:rPr>
          <w:rFonts w:ascii="方正仿宋_GBK" w:hAnsi="方正仿宋_GBK" w:eastAsia="方正仿宋_GBK" w:cs="方正仿宋_GBK"/>
          <w:sz w:val="28"/>
          <w:szCs w:val="28"/>
          <w:shd w:val="clear" w:color="auto" w:fill="FFFFFF"/>
        </w:rPr>
      </w:pPr>
    </w:p>
    <w:p>
      <w:pPr>
        <w:pStyle w:val="13"/>
        <w:autoSpaceDE w:val="0"/>
        <w:spacing w:before="0" w:beforeAutospacing="0" w:line="600" w:lineRule="exact"/>
        <w:rPr>
          <w:rFonts w:ascii="方正仿宋_GBK" w:hAnsi="方正仿宋_GBK" w:eastAsia="方正仿宋_GBK" w:cs="方正仿宋_GBK"/>
          <w:sz w:val="28"/>
          <w:szCs w:val="28"/>
          <w:shd w:val="clear" w:color="auto" w:fill="FFFFFF"/>
        </w:rPr>
      </w:pPr>
    </w:p>
    <w:tbl>
      <w:tblPr>
        <w:tblStyle w:val="7"/>
        <w:tblW w:w="14728" w:type="dxa"/>
        <w:tblInd w:w="0" w:type="dxa"/>
        <w:tblLayout w:type="fixed"/>
        <w:tblCellMar>
          <w:top w:w="15" w:type="dxa"/>
          <w:left w:w="15" w:type="dxa"/>
          <w:bottom w:w="15" w:type="dxa"/>
          <w:right w:w="15" w:type="dxa"/>
        </w:tblCellMar>
      </w:tblPr>
      <w:tblGrid>
        <w:gridCol w:w="1531"/>
        <w:gridCol w:w="1529"/>
        <w:gridCol w:w="1114"/>
        <w:gridCol w:w="1572"/>
        <w:gridCol w:w="1152"/>
        <w:gridCol w:w="1572"/>
        <w:gridCol w:w="1114"/>
        <w:gridCol w:w="1572"/>
        <w:gridCol w:w="1113"/>
        <w:gridCol w:w="1113"/>
        <w:gridCol w:w="1346"/>
      </w:tblGrid>
      <w:tr>
        <w:tblPrEx>
          <w:tblCellMar>
            <w:top w:w="15" w:type="dxa"/>
            <w:left w:w="15" w:type="dxa"/>
            <w:bottom w:w="15" w:type="dxa"/>
            <w:right w:w="15" w:type="dxa"/>
          </w:tblCellMar>
        </w:tblPrEx>
        <w:trPr>
          <w:trHeight w:val="470" w:hRule="atLeast"/>
        </w:trPr>
        <w:tc>
          <w:tcPr>
            <w:tcW w:w="14728"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微软雅黑" w:hAnsi="微软雅黑" w:eastAsia="微软雅黑" w:cs="微软雅黑"/>
                <w:b/>
                <w:color w:val="000000"/>
                <w:sz w:val="40"/>
                <w:szCs w:val="40"/>
              </w:rPr>
            </w:pPr>
            <w:r>
              <w:rPr>
                <w:rFonts w:ascii="微软雅黑" w:hAnsi="微软雅黑" w:eastAsia="微软雅黑" w:cs="微软雅黑"/>
                <w:b/>
                <w:color w:val="000000"/>
                <w:sz w:val="40"/>
                <w:szCs w:val="40"/>
              </w:rPr>
              <w:t>2023年度部门整体绩效自评表</w:t>
            </w:r>
          </w:p>
        </w:tc>
      </w:tr>
      <w:tr>
        <w:tblPrEx>
          <w:tblCellMar>
            <w:top w:w="15" w:type="dxa"/>
            <w:left w:w="15" w:type="dxa"/>
            <w:bottom w:w="15" w:type="dxa"/>
            <w:right w:w="15" w:type="dxa"/>
          </w:tblCellMar>
        </w:tblPrEx>
        <w:trPr>
          <w:trHeight w:val="247" w:hRule="atLeast"/>
        </w:trPr>
        <w:tc>
          <w:tcPr>
            <w:tcW w:w="14728"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b/>
                <w:color w:val="DA3232"/>
                <w:sz w:val="22"/>
                <w:szCs w:val="22"/>
              </w:rPr>
            </w:pPr>
          </w:p>
        </w:tc>
      </w:tr>
      <w:tr>
        <w:tblPrEx>
          <w:tblCellMar>
            <w:top w:w="15" w:type="dxa"/>
            <w:left w:w="15" w:type="dxa"/>
            <w:bottom w:w="15" w:type="dxa"/>
            <w:right w:w="15" w:type="dxa"/>
          </w:tblCellMar>
        </w:tblPrEx>
        <w:trPr>
          <w:trHeight w:val="247" w:hRule="atLeast"/>
        </w:trPr>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b/>
                <w:color w:val="000000"/>
                <w:sz w:val="22"/>
                <w:szCs w:val="22"/>
              </w:rPr>
            </w:pPr>
            <w:r>
              <w:rPr>
                <w:rFonts w:cs="宋体"/>
                <w:b/>
                <w:color w:val="000000"/>
                <w:sz w:val="22"/>
                <w:szCs w:val="22"/>
              </w:rPr>
              <w:t>项目名称：</w:t>
            </w:r>
          </w:p>
        </w:tc>
        <w:tc>
          <w:tcPr>
            <w:tcW w:w="26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textAlignment w:val="center"/>
              <w:rPr>
                <w:rFonts w:hint="default" w:cs="宋体"/>
                <w:color w:val="000000"/>
                <w:sz w:val="22"/>
                <w:szCs w:val="22"/>
              </w:rPr>
            </w:pPr>
            <w:r>
              <w:rPr>
                <w:rFonts w:cs="宋体"/>
                <w:color w:val="000000"/>
                <w:sz w:val="22"/>
                <w:szCs w:val="22"/>
              </w:rPr>
              <w:t>丰都县林业局整体监控</w:t>
            </w:r>
          </w:p>
        </w:tc>
        <w:tc>
          <w:tcPr>
            <w:tcW w:w="1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b/>
                <w:color w:val="000000"/>
                <w:sz w:val="22"/>
                <w:szCs w:val="22"/>
              </w:rPr>
            </w:pPr>
            <w:r>
              <w:rPr>
                <w:rFonts w:cs="宋体"/>
                <w:b/>
                <w:color w:val="000000"/>
                <w:sz w:val="22"/>
                <w:szCs w:val="22"/>
              </w:rPr>
              <w:t>项目编码：</w:t>
            </w:r>
          </w:p>
        </w:tc>
        <w:tc>
          <w:tcPr>
            <w:tcW w:w="27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textAlignment w:val="center"/>
              <w:rPr>
                <w:rFonts w:hint="default" w:cs="宋体"/>
                <w:color w:val="000000"/>
                <w:sz w:val="22"/>
                <w:szCs w:val="22"/>
              </w:rPr>
            </w:pPr>
            <w:r>
              <w:rPr>
                <w:rFonts w:cs="宋体"/>
                <w:color w:val="000000"/>
                <w:sz w:val="22"/>
                <w:szCs w:val="22"/>
              </w:rPr>
              <w:t>50023000023P000034</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b/>
                <w:color w:val="000000"/>
                <w:sz w:val="22"/>
                <w:szCs w:val="22"/>
              </w:rPr>
            </w:pPr>
            <w:r>
              <w:rPr>
                <w:rFonts w:cs="宋体"/>
                <w:b/>
                <w:color w:val="000000"/>
                <w:sz w:val="22"/>
                <w:szCs w:val="22"/>
              </w:rPr>
              <w:t>自评总分：</w:t>
            </w:r>
          </w:p>
        </w:tc>
        <w:tc>
          <w:tcPr>
            <w:tcW w:w="26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textAlignment w:val="center"/>
              <w:rPr>
                <w:rFonts w:hint="default" w:cs="宋体"/>
                <w:color w:val="000000"/>
                <w:sz w:val="22"/>
                <w:szCs w:val="22"/>
              </w:rPr>
            </w:pPr>
            <w:r>
              <w:rPr>
                <w:rFonts w:cs="宋体"/>
                <w:color w:val="000000"/>
                <w:sz w:val="22"/>
                <w:szCs w:val="22"/>
              </w:rPr>
              <w:t>97.12</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cs="宋体"/>
                <w:b/>
                <w:color w:val="000000"/>
                <w:sz w:val="22"/>
                <w:szCs w:val="22"/>
              </w:rPr>
            </w:pP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r>
      <w:tr>
        <w:tblPrEx>
          <w:tblCellMar>
            <w:top w:w="15" w:type="dxa"/>
            <w:left w:w="15" w:type="dxa"/>
            <w:bottom w:w="15" w:type="dxa"/>
            <w:right w:w="15" w:type="dxa"/>
          </w:tblCellMar>
        </w:tblPrEx>
        <w:trPr>
          <w:trHeight w:val="320" w:hRule="atLeast"/>
        </w:trPr>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b/>
                <w:color w:val="000000"/>
                <w:sz w:val="22"/>
                <w:szCs w:val="22"/>
              </w:rPr>
            </w:pPr>
            <w:r>
              <w:rPr>
                <w:rFonts w:cs="宋体"/>
                <w:b/>
                <w:color w:val="000000"/>
                <w:sz w:val="22"/>
                <w:szCs w:val="22"/>
              </w:rPr>
              <w:t>项目主管部门：</w:t>
            </w:r>
          </w:p>
        </w:tc>
        <w:tc>
          <w:tcPr>
            <w:tcW w:w="26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textAlignment w:val="center"/>
              <w:rPr>
                <w:rFonts w:hint="default" w:cs="宋体"/>
                <w:color w:val="000000"/>
                <w:sz w:val="22"/>
                <w:szCs w:val="22"/>
              </w:rPr>
            </w:pPr>
            <w:r>
              <w:rPr>
                <w:rFonts w:cs="宋体"/>
                <w:color w:val="000000"/>
                <w:sz w:val="22"/>
                <w:szCs w:val="22"/>
              </w:rPr>
              <w:t>304-丰都县林业局</w:t>
            </w:r>
          </w:p>
        </w:tc>
        <w:tc>
          <w:tcPr>
            <w:tcW w:w="1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b/>
                <w:color w:val="000000"/>
                <w:sz w:val="22"/>
                <w:szCs w:val="22"/>
              </w:rPr>
            </w:pPr>
            <w:r>
              <w:rPr>
                <w:rFonts w:cs="宋体"/>
                <w:b/>
                <w:color w:val="000000"/>
                <w:sz w:val="22"/>
                <w:szCs w:val="22"/>
              </w:rPr>
              <w:t>财政归口处室：</w:t>
            </w:r>
          </w:p>
        </w:tc>
        <w:tc>
          <w:tcPr>
            <w:tcW w:w="27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textAlignment w:val="center"/>
              <w:rPr>
                <w:rFonts w:hint="default" w:cs="宋体"/>
                <w:color w:val="000000"/>
                <w:sz w:val="22"/>
                <w:szCs w:val="22"/>
              </w:rPr>
            </w:pPr>
            <w:r>
              <w:rPr>
                <w:rFonts w:cs="宋体"/>
                <w:color w:val="000000"/>
                <w:sz w:val="22"/>
                <w:szCs w:val="22"/>
              </w:rPr>
              <w:t>003-农业科</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b/>
                <w:color w:val="000000"/>
                <w:sz w:val="22"/>
                <w:szCs w:val="22"/>
              </w:rPr>
            </w:pPr>
            <w:r>
              <w:rPr>
                <w:rFonts w:cs="宋体"/>
                <w:b/>
                <w:color w:val="000000"/>
                <w:sz w:val="22"/>
                <w:szCs w:val="22"/>
              </w:rPr>
              <w:t>部门联系人：</w:t>
            </w:r>
          </w:p>
        </w:tc>
        <w:tc>
          <w:tcPr>
            <w:tcW w:w="26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textAlignment w:val="center"/>
              <w:rPr>
                <w:rFonts w:hint="default" w:cs="宋体"/>
                <w:color w:val="000000"/>
                <w:sz w:val="22"/>
                <w:szCs w:val="22"/>
              </w:rPr>
            </w:pPr>
            <w:r>
              <w:rPr>
                <w:rFonts w:cs="宋体"/>
                <w:color w:val="000000"/>
                <w:sz w:val="22"/>
                <w:szCs w:val="22"/>
              </w:rPr>
              <w:t>张燕</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b/>
                <w:color w:val="000000"/>
                <w:sz w:val="22"/>
                <w:szCs w:val="22"/>
              </w:rPr>
            </w:pPr>
            <w:r>
              <w:rPr>
                <w:rFonts w:cs="宋体"/>
                <w:b/>
                <w:color w:val="000000"/>
                <w:sz w:val="22"/>
                <w:szCs w:val="22"/>
              </w:rPr>
              <w:t>联系电话：</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rPr>
              <w:t>18996817576</w:t>
            </w:r>
          </w:p>
        </w:tc>
      </w:tr>
      <w:tr>
        <w:tblPrEx>
          <w:tblCellMar>
            <w:top w:w="15" w:type="dxa"/>
            <w:left w:w="15" w:type="dxa"/>
            <w:bottom w:w="15" w:type="dxa"/>
            <w:right w:w="15" w:type="dxa"/>
          </w:tblCellMar>
        </w:tblPrEx>
        <w:trPr>
          <w:trHeight w:val="320" w:hRule="atLeast"/>
        </w:trPr>
        <w:tc>
          <w:tcPr>
            <w:tcW w:w="14728"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微软雅黑" w:hAnsi="微软雅黑" w:eastAsia="微软雅黑" w:cs="微软雅黑"/>
                <w:b/>
                <w:color w:val="808080"/>
                <w:sz w:val="28"/>
                <w:szCs w:val="28"/>
              </w:rPr>
            </w:pPr>
            <w:r>
              <w:rPr>
                <w:rFonts w:ascii="微软雅黑" w:hAnsi="微软雅黑" w:eastAsia="微软雅黑" w:cs="微软雅黑"/>
                <w:b/>
                <w:color w:val="808080"/>
                <w:sz w:val="28"/>
                <w:szCs w:val="28"/>
              </w:rPr>
              <w:t>资金情况</w:t>
            </w:r>
          </w:p>
        </w:tc>
      </w:tr>
      <w:tr>
        <w:tblPrEx>
          <w:tblCellMar>
            <w:top w:w="15" w:type="dxa"/>
            <w:left w:w="15" w:type="dxa"/>
            <w:bottom w:w="15" w:type="dxa"/>
            <w:right w:w="15" w:type="dxa"/>
          </w:tblCellMar>
        </w:tblPrEx>
        <w:trPr>
          <w:trHeight w:val="247" w:hRule="atLeast"/>
        </w:trPr>
        <w:tc>
          <w:tcPr>
            <w:tcW w:w="30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cs="宋体"/>
                <w:color w:val="000000"/>
                <w:sz w:val="22"/>
                <w:szCs w:val="22"/>
              </w:rPr>
            </w:pPr>
          </w:p>
        </w:tc>
        <w:tc>
          <w:tcPr>
            <w:tcW w:w="26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color w:val="000000"/>
                <w:sz w:val="22"/>
                <w:szCs w:val="22"/>
              </w:rPr>
            </w:pPr>
            <w:r>
              <w:rPr>
                <w:rFonts w:cs="宋体"/>
                <w:b/>
                <w:color w:val="000000"/>
                <w:sz w:val="22"/>
                <w:szCs w:val="22"/>
              </w:rPr>
              <w:t>年初预算数</w:t>
            </w:r>
          </w:p>
        </w:tc>
        <w:tc>
          <w:tcPr>
            <w:tcW w:w="27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color w:val="000000"/>
                <w:sz w:val="22"/>
                <w:szCs w:val="22"/>
              </w:rPr>
            </w:pPr>
            <w:r>
              <w:rPr>
                <w:rFonts w:cs="宋体"/>
                <w:b/>
                <w:color w:val="000000"/>
                <w:sz w:val="22"/>
                <w:szCs w:val="22"/>
              </w:rPr>
              <w:t>全年（调整）预算数</w:t>
            </w:r>
          </w:p>
        </w:tc>
        <w:tc>
          <w:tcPr>
            <w:tcW w:w="26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color w:val="000000"/>
                <w:sz w:val="22"/>
                <w:szCs w:val="22"/>
              </w:rPr>
            </w:pPr>
            <w:r>
              <w:rPr>
                <w:rFonts w:cs="宋体"/>
                <w:b/>
                <w:color w:val="000000"/>
                <w:sz w:val="22"/>
                <w:szCs w:val="22"/>
              </w:rPr>
              <w:t>全年执行数</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color w:val="000000"/>
                <w:sz w:val="22"/>
                <w:szCs w:val="22"/>
              </w:rPr>
            </w:pPr>
            <w:r>
              <w:rPr>
                <w:rFonts w:cs="宋体"/>
                <w:b/>
                <w:color w:val="000000"/>
                <w:sz w:val="22"/>
                <w:szCs w:val="22"/>
              </w:rPr>
              <w:t>执行率</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b/>
                <w:color w:val="000000"/>
                <w:sz w:val="22"/>
                <w:szCs w:val="22"/>
              </w:rPr>
            </w:pPr>
            <w:r>
              <w:rPr>
                <w:rFonts w:cs="宋体"/>
                <w:b/>
                <w:color w:val="000000"/>
                <w:sz w:val="22"/>
                <w:szCs w:val="22"/>
              </w:rPr>
              <w:t>执行率权重</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color w:val="000000"/>
                <w:sz w:val="22"/>
                <w:szCs w:val="22"/>
              </w:rPr>
            </w:pPr>
            <w:r>
              <w:rPr>
                <w:rFonts w:cs="宋体"/>
                <w:b/>
                <w:color w:val="000000"/>
                <w:sz w:val="22"/>
                <w:szCs w:val="22"/>
              </w:rPr>
              <w:t>执行率得分</w:t>
            </w:r>
          </w:p>
        </w:tc>
      </w:tr>
      <w:tr>
        <w:tblPrEx>
          <w:tblCellMar>
            <w:top w:w="15" w:type="dxa"/>
            <w:left w:w="15" w:type="dxa"/>
            <w:bottom w:w="15" w:type="dxa"/>
            <w:right w:w="15" w:type="dxa"/>
          </w:tblCellMar>
        </w:tblPrEx>
        <w:trPr>
          <w:trHeight w:val="320" w:hRule="atLeast"/>
        </w:trPr>
        <w:tc>
          <w:tcPr>
            <w:tcW w:w="1531" w:type="dxa"/>
            <w:tcBorders>
              <w:top w:val="single" w:color="000000" w:sz="4" w:space="0"/>
              <w:left w:val="single" w:color="000000" w:sz="4" w:space="0"/>
              <w:bottom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rPr>
              <w:t>年度总金额</w:t>
            </w:r>
          </w:p>
        </w:tc>
        <w:tc>
          <w:tcPr>
            <w:tcW w:w="1529" w:type="dxa"/>
            <w:tcBorders>
              <w:top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1114" w:type="dxa"/>
            <w:tcBorders>
              <w:top w:val="single" w:color="000000" w:sz="4" w:space="0"/>
              <w:left w:val="single" w:color="000000" w:sz="4" w:space="0"/>
              <w:bottom w:val="single" w:color="000000" w:sz="4" w:space="0"/>
            </w:tcBorders>
            <w:shd w:val="clear" w:color="auto" w:fill="auto"/>
            <w:vAlign w:val="center"/>
          </w:tcPr>
          <w:p>
            <w:pPr>
              <w:rPr>
                <w:rFonts w:hint="default" w:cs="宋体"/>
                <w:color w:val="000000"/>
                <w:sz w:val="22"/>
                <w:szCs w:val="22"/>
              </w:rPr>
            </w:pPr>
          </w:p>
        </w:tc>
        <w:tc>
          <w:tcPr>
            <w:tcW w:w="1572" w:type="dxa"/>
            <w:tcBorders>
              <w:top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rPr>
              <w:t xml:space="preserve">207,853,295.19 </w:t>
            </w:r>
          </w:p>
        </w:tc>
        <w:tc>
          <w:tcPr>
            <w:tcW w:w="1152" w:type="dxa"/>
            <w:tcBorders>
              <w:top w:val="single" w:color="000000" w:sz="4" w:space="0"/>
              <w:left w:val="single" w:color="000000" w:sz="4" w:space="0"/>
              <w:bottom w:val="single" w:color="000000" w:sz="4" w:space="0"/>
            </w:tcBorders>
            <w:shd w:val="clear" w:color="auto" w:fill="auto"/>
            <w:vAlign w:val="center"/>
          </w:tcPr>
          <w:p>
            <w:pPr>
              <w:rPr>
                <w:rFonts w:hint="default" w:cs="宋体"/>
                <w:color w:val="000000"/>
                <w:sz w:val="22"/>
                <w:szCs w:val="22"/>
              </w:rPr>
            </w:pPr>
          </w:p>
        </w:tc>
        <w:tc>
          <w:tcPr>
            <w:tcW w:w="1572" w:type="dxa"/>
            <w:tcBorders>
              <w:top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rPr>
              <w:t xml:space="preserve">293,152,748.65 </w:t>
            </w:r>
          </w:p>
        </w:tc>
        <w:tc>
          <w:tcPr>
            <w:tcW w:w="1114" w:type="dxa"/>
            <w:tcBorders>
              <w:top w:val="single" w:color="000000" w:sz="4" w:space="0"/>
              <w:left w:val="single" w:color="000000" w:sz="4" w:space="0"/>
              <w:bottom w:val="single" w:color="000000" w:sz="4" w:space="0"/>
            </w:tcBorders>
            <w:shd w:val="clear" w:color="auto" w:fill="auto"/>
            <w:vAlign w:val="center"/>
          </w:tcPr>
          <w:p>
            <w:pPr>
              <w:rPr>
                <w:rFonts w:hint="default" w:cs="宋体"/>
                <w:color w:val="000000"/>
                <w:sz w:val="22"/>
                <w:szCs w:val="22"/>
              </w:rPr>
            </w:pPr>
          </w:p>
        </w:tc>
        <w:tc>
          <w:tcPr>
            <w:tcW w:w="1572" w:type="dxa"/>
            <w:tcBorders>
              <w:top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rPr>
              <w:t xml:space="preserve">208,967,673.96 </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cs="宋体"/>
                <w:color w:val="000000"/>
                <w:sz w:val="22"/>
                <w:szCs w:val="22"/>
              </w:rPr>
            </w:pPr>
          </w:p>
        </w:tc>
      </w:tr>
      <w:tr>
        <w:tblPrEx>
          <w:tblCellMar>
            <w:top w:w="15" w:type="dxa"/>
            <w:left w:w="15" w:type="dxa"/>
            <w:bottom w:w="15" w:type="dxa"/>
            <w:right w:w="15" w:type="dxa"/>
          </w:tblCellMar>
        </w:tblPrEx>
        <w:trPr>
          <w:trHeight w:val="320" w:hRule="atLeast"/>
        </w:trPr>
        <w:tc>
          <w:tcPr>
            <w:tcW w:w="1531" w:type="dxa"/>
            <w:tcBorders>
              <w:top w:val="single" w:color="000000" w:sz="4" w:space="0"/>
              <w:left w:val="single" w:color="000000" w:sz="4" w:space="0"/>
              <w:bottom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rPr>
              <w:t>其中：财政拨款</w:t>
            </w:r>
          </w:p>
        </w:tc>
        <w:tc>
          <w:tcPr>
            <w:tcW w:w="1529" w:type="dxa"/>
            <w:tcBorders>
              <w:top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1114" w:type="dxa"/>
            <w:tcBorders>
              <w:top w:val="single" w:color="000000" w:sz="4" w:space="0"/>
              <w:left w:val="single" w:color="000000" w:sz="4" w:space="0"/>
              <w:bottom w:val="single" w:color="000000" w:sz="4" w:space="0"/>
            </w:tcBorders>
            <w:shd w:val="clear" w:color="auto" w:fill="auto"/>
            <w:vAlign w:val="center"/>
          </w:tcPr>
          <w:p>
            <w:pPr>
              <w:rPr>
                <w:rFonts w:hint="default" w:cs="宋体"/>
                <w:color w:val="000000"/>
                <w:sz w:val="22"/>
                <w:szCs w:val="22"/>
              </w:rPr>
            </w:pPr>
          </w:p>
        </w:tc>
        <w:tc>
          <w:tcPr>
            <w:tcW w:w="1572" w:type="dxa"/>
            <w:tcBorders>
              <w:top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rPr>
              <w:t xml:space="preserve">207,853,295.19 </w:t>
            </w:r>
          </w:p>
        </w:tc>
        <w:tc>
          <w:tcPr>
            <w:tcW w:w="1152" w:type="dxa"/>
            <w:tcBorders>
              <w:top w:val="single" w:color="000000" w:sz="4" w:space="0"/>
              <w:left w:val="single" w:color="000000" w:sz="4" w:space="0"/>
              <w:bottom w:val="single" w:color="000000" w:sz="4" w:space="0"/>
            </w:tcBorders>
            <w:shd w:val="clear" w:color="auto" w:fill="auto"/>
            <w:vAlign w:val="center"/>
          </w:tcPr>
          <w:p>
            <w:pPr>
              <w:rPr>
                <w:rFonts w:hint="default" w:cs="宋体"/>
                <w:color w:val="000000"/>
                <w:sz w:val="22"/>
                <w:szCs w:val="22"/>
              </w:rPr>
            </w:pPr>
          </w:p>
        </w:tc>
        <w:tc>
          <w:tcPr>
            <w:tcW w:w="1572" w:type="dxa"/>
            <w:tcBorders>
              <w:top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rPr>
              <w:t xml:space="preserve">293,152,748.65 </w:t>
            </w:r>
          </w:p>
        </w:tc>
        <w:tc>
          <w:tcPr>
            <w:tcW w:w="1114" w:type="dxa"/>
            <w:tcBorders>
              <w:top w:val="single" w:color="000000" w:sz="4" w:space="0"/>
              <w:left w:val="single" w:color="000000" w:sz="4" w:space="0"/>
              <w:bottom w:val="single" w:color="000000" w:sz="4" w:space="0"/>
            </w:tcBorders>
            <w:shd w:val="clear" w:color="auto" w:fill="auto"/>
            <w:vAlign w:val="center"/>
          </w:tcPr>
          <w:p>
            <w:pPr>
              <w:rPr>
                <w:rFonts w:hint="default" w:cs="宋体"/>
                <w:color w:val="000000"/>
                <w:sz w:val="22"/>
                <w:szCs w:val="22"/>
              </w:rPr>
            </w:pPr>
          </w:p>
        </w:tc>
        <w:tc>
          <w:tcPr>
            <w:tcW w:w="1572" w:type="dxa"/>
            <w:tcBorders>
              <w:top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rPr>
              <w:t xml:space="preserve">208,967,673.96 </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rPr>
              <w:t>71.28</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rPr>
              <w:t>10.00</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rPr>
              <w:t xml:space="preserve">7.12 </w:t>
            </w:r>
          </w:p>
        </w:tc>
      </w:tr>
      <w:tr>
        <w:tblPrEx>
          <w:tblCellMar>
            <w:top w:w="15" w:type="dxa"/>
            <w:left w:w="15" w:type="dxa"/>
            <w:bottom w:w="15" w:type="dxa"/>
            <w:right w:w="15" w:type="dxa"/>
          </w:tblCellMar>
        </w:tblPrEx>
        <w:trPr>
          <w:trHeight w:val="320" w:hRule="atLeast"/>
        </w:trPr>
        <w:tc>
          <w:tcPr>
            <w:tcW w:w="1531" w:type="dxa"/>
            <w:tcBorders>
              <w:top w:val="single" w:color="000000" w:sz="4" w:space="0"/>
              <w:left w:val="single" w:color="000000" w:sz="4" w:space="0"/>
              <w:bottom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rPr>
              <w:t>一般公共预算</w:t>
            </w:r>
          </w:p>
        </w:tc>
        <w:tc>
          <w:tcPr>
            <w:tcW w:w="1529" w:type="dxa"/>
            <w:tcBorders>
              <w:top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1114" w:type="dxa"/>
            <w:tcBorders>
              <w:top w:val="single" w:color="000000" w:sz="4" w:space="0"/>
              <w:left w:val="single" w:color="000000" w:sz="4" w:space="0"/>
              <w:bottom w:val="single" w:color="000000" w:sz="4" w:space="0"/>
            </w:tcBorders>
            <w:shd w:val="clear" w:color="auto" w:fill="auto"/>
            <w:vAlign w:val="center"/>
          </w:tcPr>
          <w:p>
            <w:pPr>
              <w:rPr>
                <w:rFonts w:hint="default" w:cs="宋体"/>
                <w:color w:val="000000"/>
                <w:sz w:val="22"/>
                <w:szCs w:val="22"/>
              </w:rPr>
            </w:pPr>
          </w:p>
        </w:tc>
        <w:tc>
          <w:tcPr>
            <w:tcW w:w="1572" w:type="dxa"/>
            <w:tcBorders>
              <w:top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rPr>
              <w:t xml:space="preserve">207,075,637.63 </w:t>
            </w:r>
          </w:p>
        </w:tc>
        <w:tc>
          <w:tcPr>
            <w:tcW w:w="1152" w:type="dxa"/>
            <w:tcBorders>
              <w:top w:val="single" w:color="000000" w:sz="4" w:space="0"/>
              <w:left w:val="single" w:color="000000" w:sz="4" w:space="0"/>
              <w:bottom w:val="single" w:color="000000" w:sz="4" w:space="0"/>
            </w:tcBorders>
            <w:shd w:val="clear" w:color="auto" w:fill="auto"/>
            <w:vAlign w:val="center"/>
          </w:tcPr>
          <w:p>
            <w:pPr>
              <w:rPr>
                <w:rFonts w:hint="default" w:cs="宋体"/>
                <w:color w:val="000000"/>
                <w:sz w:val="22"/>
                <w:szCs w:val="22"/>
              </w:rPr>
            </w:pPr>
          </w:p>
        </w:tc>
        <w:tc>
          <w:tcPr>
            <w:tcW w:w="1572" w:type="dxa"/>
            <w:tcBorders>
              <w:top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rPr>
              <w:t xml:space="preserve">292,375,091.09 </w:t>
            </w:r>
          </w:p>
        </w:tc>
        <w:tc>
          <w:tcPr>
            <w:tcW w:w="1114" w:type="dxa"/>
            <w:tcBorders>
              <w:top w:val="single" w:color="000000" w:sz="4" w:space="0"/>
              <w:left w:val="single" w:color="000000" w:sz="4" w:space="0"/>
              <w:bottom w:val="single" w:color="000000" w:sz="4" w:space="0"/>
            </w:tcBorders>
            <w:shd w:val="clear" w:color="auto" w:fill="auto"/>
            <w:vAlign w:val="center"/>
          </w:tcPr>
          <w:p>
            <w:pPr>
              <w:rPr>
                <w:rFonts w:hint="default" w:cs="宋体"/>
                <w:color w:val="000000"/>
                <w:sz w:val="22"/>
                <w:szCs w:val="22"/>
              </w:rPr>
            </w:pPr>
          </w:p>
        </w:tc>
        <w:tc>
          <w:tcPr>
            <w:tcW w:w="1572" w:type="dxa"/>
            <w:tcBorders>
              <w:top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rPr>
              <w:t xml:space="preserve">208,967,673.96 </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rPr>
              <w:t>71.47</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cs="宋体"/>
                <w:color w:val="000000"/>
                <w:sz w:val="22"/>
                <w:szCs w:val="22"/>
              </w:rPr>
            </w:pPr>
          </w:p>
        </w:tc>
      </w:tr>
      <w:tr>
        <w:tblPrEx>
          <w:tblCellMar>
            <w:top w:w="15" w:type="dxa"/>
            <w:left w:w="15" w:type="dxa"/>
            <w:bottom w:w="15" w:type="dxa"/>
            <w:right w:w="15" w:type="dxa"/>
          </w:tblCellMar>
        </w:tblPrEx>
        <w:trPr>
          <w:trHeight w:val="320" w:hRule="atLeast"/>
        </w:trPr>
        <w:tc>
          <w:tcPr>
            <w:tcW w:w="14728"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微软雅黑" w:hAnsi="微软雅黑" w:eastAsia="微软雅黑" w:cs="微软雅黑"/>
                <w:b/>
                <w:color w:val="808080"/>
                <w:sz w:val="28"/>
                <w:szCs w:val="28"/>
              </w:rPr>
            </w:pPr>
            <w:r>
              <w:rPr>
                <w:rFonts w:ascii="微软雅黑" w:hAnsi="微软雅黑" w:eastAsia="微软雅黑" w:cs="微软雅黑"/>
                <w:b/>
                <w:color w:val="808080"/>
                <w:sz w:val="28"/>
                <w:szCs w:val="28"/>
              </w:rPr>
              <w:t>绩效目标</w:t>
            </w:r>
          </w:p>
        </w:tc>
      </w:tr>
      <w:tr>
        <w:tblPrEx>
          <w:tblCellMar>
            <w:top w:w="15" w:type="dxa"/>
            <w:left w:w="15" w:type="dxa"/>
            <w:bottom w:w="15" w:type="dxa"/>
            <w:right w:w="15" w:type="dxa"/>
          </w:tblCellMar>
        </w:tblPrEx>
        <w:trPr>
          <w:trHeight w:val="247" w:hRule="atLeast"/>
        </w:trPr>
        <w:tc>
          <w:tcPr>
            <w:tcW w:w="574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color w:val="000000"/>
                <w:sz w:val="22"/>
                <w:szCs w:val="22"/>
              </w:rPr>
            </w:pPr>
            <w:r>
              <w:rPr>
                <w:rFonts w:cs="宋体"/>
                <w:b/>
                <w:color w:val="000000"/>
                <w:sz w:val="22"/>
                <w:szCs w:val="22"/>
              </w:rPr>
              <w:t>年初绩效目标</w:t>
            </w:r>
          </w:p>
        </w:tc>
        <w:tc>
          <w:tcPr>
            <w:tcW w:w="541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color w:val="000000"/>
                <w:sz w:val="22"/>
                <w:szCs w:val="22"/>
              </w:rPr>
            </w:pPr>
            <w:r>
              <w:rPr>
                <w:rFonts w:cs="宋体"/>
                <w:b/>
                <w:color w:val="000000"/>
                <w:sz w:val="22"/>
                <w:szCs w:val="22"/>
              </w:rPr>
              <w:t>全年（调整）绩效目标</w:t>
            </w:r>
          </w:p>
        </w:tc>
        <w:tc>
          <w:tcPr>
            <w:tcW w:w="35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color w:val="000000"/>
                <w:sz w:val="22"/>
                <w:szCs w:val="22"/>
              </w:rPr>
            </w:pPr>
            <w:r>
              <w:rPr>
                <w:rFonts w:cs="宋体"/>
                <w:b/>
                <w:color w:val="000000"/>
                <w:sz w:val="22"/>
                <w:szCs w:val="22"/>
              </w:rPr>
              <w:t>全年目标实际完成情况</w:t>
            </w:r>
          </w:p>
        </w:tc>
      </w:tr>
      <w:tr>
        <w:tblPrEx>
          <w:tblCellMar>
            <w:top w:w="15" w:type="dxa"/>
            <w:left w:w="15" w:type="dxa"/>
            <w:bottom w:w="15" w:type="dxa"/>
            <w:right w:w="15" w:type="dxa"/>
          </w:tblCellMar>
        </w:tblPrEx>
        <w:trPr>
          <w:trHeight w:val="1071" w:hRule="atLeast"/>
        </w:trPr>
        <w:tc>
          <w:tcPr>
            <w:tcW w:w="5746" w:type="dxa"/>
            <w:gridSpan w:val="4"/>
            <w:tcBorders>
              <w:top w:val="single" w:color="000000" w:sz="4" w:space="0"/>
              <w:left w:val="single" w:color="000000" w:sz="4" w:space="0"/>
              <w:bottom w:val="single" w:color="000000" w:sz="4" w:space="0"/>
              <w:right w:val="single" w:color="000000" w:sz="4" w:space="0"/>
            </w:tcBorders>
            <w:shd w:val="clear" w:color="auto" w:fill="auto"/>
          </w:tcPr>
          <w:p>
            <w:pPr>
              <w:textAlignment w:val="top"/>
              <w:rPr>
                <w:rFonts w:hint="default" w:cs="宋体"/>
                <w:color w:val="000000"/>
                <w:sz w:val="22"/>
                <w:szCs w:val="22"/>
              </w:rPr>
            </w:pPr>
            <w:r>
              <w:rPr>
                <w:rFonts w:cs="宋体"/>
                <w:color w:val="000000"/>
                <w:sz w:val="22"/>
                <w:szCs w:val="22"/>
              </w:rPr>
              <w:t>2023年，全年完成营造林面积不低于3.41万亩，全县森林覆盖率不低于52%，森林蓄积量不低于0.08亿立方米，森林火灾受害率低于0.3‰，林业有害生物成灾率低于3‰。全县生态安全屏障得以巩固，生态服务功能有效提升，湿地和陆地典型生态系统、野生动植物主要栖息地和珍稀濒危野生动植物得到有效保护，湿地面积不低于2.06万亩，进一步巩固长江上游重要生态屏障。</w:t>
            </w:r>
          </w:p>
        </w:tc>
        <w:tc>
          <w:tcPr>
            <w:tcW w:w="5410" w:type="dxa"/>
            <w:gridSpan w:val="4"/>
            <w:tcBorders>
              <w:top w:val="single" w:color="000000" w:sz="4" w:space="0"/>
              <w:left w:val="single" w:color="000000" w:sz="4" w:space="0"/>
              <w:bottom w:val="single" w:color="000000" w:sz="4" w:space="0"/>
              <w:right w:val="single" w:color="000000" w:sz="4" w:space="0"/>
            </w:tcBorders>
            <w:shd w:val="clear" w:color="auto" w:fill="auto"/>
          </w:tcPr>
          <w:p>
            <w:pPr>
              <w:textAlignment w:val="top"/>
              <w:rPr>
                <w:rFonts w:hint="default" w:cs="宋体"/>
                <w:color w:val="000000"/>
                <w:sz w:val="22"/>
                <w:szCs w:val="22"/>
              </w:rPr>
            </w:pPr>
            <w:r>
              <w:rPr>
                <w:rFonts w:cs="宋体"/>
                <w:color w:val="000000"/>
                <w:sz w:val="22"/>
                <w:szCs w:val="22"/>
              </w:rPr>
              <w:t>2023年，全年完成营造林面积不低于3.41万亩，全县森林覆盖率不低于52%，森林蓄积量不低于0.08亿立方米，森林火灾受害率低于0.3‰，林业有害生物成灾率低于3‰。全县生态安全屏障得以巩固，生态服务功能有效提升，湿地和陆地典型生态系统、野生动植物主要栖息地和珍稀濒危野生动植物得到有效保护，湿地面积不低于2.06万亩，进一步巩固长江上游重要生态屏障。</w:t>
            </w:r>
          </w:p>
        </w:tc>
        <w:tc>
          <w:tcPr>
            <w:tcW w:w="3572" w:type="dxa"/>
            <w:gridSpan w:val="3"/>
            <w:tcBorders>
              <w:top w:val="single" w:color="000000" w:sz="4" w:space="0"/>
              <w:left w:val="single" w:color="000000" w:sz="4" w:space="0"/>
              <w:bottom w:val="single" w:color="000000" w:sz="4" w:space="0"/>
              <w:right w:val="single" w:color="000000" w:sz="4" w:space="0"/>
            </w:tcBorders>
            <w:shd w:val="clear" w:color="auto" w:fill="auto"/>
          </w:tcPr>
          <w:p>
            <w:pPr>
              <w:textAlignment w:val="top"/>
              <w:rPr>
                <w:rFonts w:hint="default" w:cs="宋体"/>
                <w:color w:val="000000"/>
                <w:sz w:val="22"/>
                <w:szCs w:val="22"/>
              </w:rPr>
            </w:pPr>
            <w:r>
              <w:rPr>
                <w:rFonts w:cs="宋体"/>
                <w:color w:val="000000"/>
                <w:sz w:val="22"/>
                <w:szCs w:val="22"/>
              </w:rPr>
              <w:t>2023年，全年已完成营造林面积4.5万亩，全县森林覆盖率超55.08%，森林蓄积量达到0.1175亿立方米，湿地面积2.06万亩，森林火灾受害率0‰，林业有害生物成灾率0.18‰。全县生态安全屏障得以巩固，生态服务功能有效提升，湿地和陆地典型生态系统、野生动植物主要栖息地和珍稀濒危野生动植物得到有效保护，进一步巩固了长江上游重要生态屏障。</w:t>
            </w:r>
          </w:p>
        </w:tc>
      </w:tr>
      <w:tr>
        <w:tblPrEx>
          <w:tblCellMar>
            <w:top w:w="15" w:type="dxa"/>
            <w:left w:w="15" w:type="dxa"/>
            <w:bottom w:w="15" w:type="dxa"/>
            <w:right w:w="15" w:type="dxa"/>
          </w:tblCellMar>
        </w:tblPrEx>
        <w:trPr>
          <w:trHeight w:val="320" w:hRule="atLeast"/>
        </w:trPr>
        <w:tc>
          <w:tcPr>
            <w:tcW w:w="14728"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微软雅黑" w:hAnsi="微软雅黑" w:eastAsia="微软雅黑" w:cs="微软雅黑"/>
                <w:b/>
                <w:color w:val="808080"/>
                <w:sz w:val="28"/>
                <w:szCs w:val="28"/>
              </w:rPr>
            </w:pPr>
            <w:r>
              <w:rPr>
                <w:rFonts w:ascii="微软雅黑" w:hAnsi="微软雅黑" w:eastAsia="微软雅黑" w:cs="微软雅黑"/>
                <w:b/>
                <w:color w:val="808080"/>
                <w:sz w:val="28"/>
                <w:szCs w:val="28"/>
              </w:rPr>
              <w:t>绩效指标</w:t>
            </w:r>
          </w:p>
        </w:tc>
      </w:tr>
      <w:tr>
        <w:tblPrEx>
          <w:tblCellMar>
            <w:top w:w="15" w:type="dxa"/>
            <w:left w:w="15" w:type="dxa"/>
            <w:bottom w:w="15" w:type="dxa"/>
            <w:right w:w="15" w:type="dxa"/>
          </w:tblCellMar>
        </w:tblPrEx>
        <w:trPr>
          <w:trHeight w:val="320" w:hRule="atLeast"/>
        </w:trPr>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color w:val="000000"/>
                <w:sz w:val="22"/>
                <w:szCs w:val="22"/>
              </w:rPr>
            </w:pPr>
            <w:r>
              <w:rPr>
                <w:rFonts w:cs="宋体"/>
                <w:b/>
                <w:color w:val="000000"/>
                <w:sz w:val="22"/>
                <w:szCs w:val="22"/>
              </w:rPr>
              <w:t>指标名称</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color w:val="000000"/>
                <w:sz w:val="22"/>
                <w:szCs w:val="22"/>
              </w:rPr>
            </w:pPr>
            <w:r>
              <w:rPr>
                <w:rFonts w:cs="宋体"/>
                <w:b/>
                <w:color w:val="000000"/>
                <w:sz w:val="22"/>
                <w:szCs w:val="22"/>
              </w:rPr>
              <w:t>计量单位</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color w:val="000000"/>
                <w:sz w:val="22"/>
                <w:szCs w:val="22"/>
              </w:rPr>
            </w:pPr>
            <w:r>
              <w:rPr>
                <w:rFonts w:cs="宋体"/>
                <w:b/>
                <w:color w:val="000000"/>
                <w:sz w:val="22"/>
                <w:szCs w:val="22"/>
              </w:rPr>
              <w:t>指标性质</w:t>
            </w:r>
          </w:p>
        </w:tc>
        <w:tc>
          <w:tcPr>
            <w:tcW w:w="1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color w:val="000000"/>
                <w:sz w:val="22"/>
                <w:szCs w:val="22"/>
              </w:rPr>
            </w:pPr>
            <w:r>
              <w:rPr>
                <w:rFonts w:cs="宋体"/>
                <w:b/>
                <w:color w:val="000000"/>
                <w:sz w:val="22"/>
                <w:szCs w:val="22"/>
              </w:rPr>
              <w:t>指标值</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color w:val="000000"/>
                <w:sz w:val="22"/>
                <w:szCs w:val="22"/>
              </w:rPr>
            </w:pPr>
            <w:r>
              <w:rPr>
                <w:rFonts w:cs="宋体"/>
                <w:b/>
                <w:color w:val="000000"/>
                <w:sz w:val="22"/>
                <w:szCs w:val="22"/>
              </w:rPr>
              <w:t>全年完成值</w:t>
            </w:r>
          </w:p>
        </w:tc>
        <w:tc>
          <w:tcPr>
            <w:tcW w:w="1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color w:val="000000"/>
                <w:sz w:val="22"/>
                <w:szCs w:val="22"/>
              </w:rPr>
            </w:pPr>
            <w:r>
              <w:rPr>
                <w:rFonts w:cs="宋体"/>
                <w:b/>
                <w:color w:val="000000"/>
                <w:sz w:val="22"/>
                <w:szCs w:val="22"/>
              </w:rPr>
              <w:t>偏离度（%）</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color w:val="000000"/>
                <w:sz w:val="22"/>
                <w:szCs w:val="22"/>
              </w:rPr>
            </w:pPr>
            <w:r>
              <w:rPr>
                <w:rFonts w:cs="宋体"/>
                <w:b/>
                <w:color w:val="000000"/>
                <w:sz w:val="22"/>
                <w:szCs w:val="22"/>
              </w:rPr>
              <w:t>得分系数（%）</w:t>
            </w:r>
          </w:p>
        </w:tc>
        <w:tc>
          <w:tcPr>
            <w:tcW w:w="1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color w:val="000000"/>
                <w:sz w:val="22"/>
                <w:szCs w:val="22"/>
              </w:rPr>
            </w:pPr>
            <w:r>
              <w:rPr>
                <w:rFonts w:cs="宋体"/>
                <w:b/>
                <w:color w:val="000000"/>
                <w:sz w:val="22"/>
                <w:szCs w:val="22"/>
              </w:rPr>
              <w:t>指标权重</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color w:val="000000"/>
                <w:sz w:val="22"/>
                <w:szCs w:val="22"/>
              </w:rPr>
            </w:pPr>
            <w:r>
              <w:rPr>
                <w:rFonts w:cs="宋体"/>
                <w:b/>
                <w:color w:val="000000"/>
                <w:sz w:val="22"/>
                <w:szCs w:val="22"/>
              </w:rPr>
              <w:t>指标得分</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color w:val="000000"/>
                <w:sz w:val="22"/>
                <w:szCs w:val="22"/>
              </w:rPr>
            </w:pPr>
            <w:r>
              <w:rPr>
                <w:rFonts w:cs="宋体"/>
                <w:b/>
                <w:color w:val="000000"/>
                <w:sz w:val="22"/>
                <w:szCs w:val="22"/>
              </w:rPr>
              <w:t>是否核心指标</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color w:val="000000"/>
                <w:sz w:val="22"/>
                <w:szCs w:val="22"/>
              </w:rPr>
            </w:pPr>
            <w:r>
              <w:rPr>
                <w:rFonts w:cs="宋体"/>
                <w:b/>
                <w:color w:val="000000"/>
                <w:sz w:val="22"/>
                <w:szCs w:val="22"/>
              </w:rPr>
              <w:t>说明</w:t>
            </w:r>
          </w:p>
        </w:tc>
      </w:tr>
      <w:tr>
        <w:tblPrEx>
          <w:tblCellMar>
            <w:top w:w="15" w:type="dxa"/>
            <w:left w:w="15" w:type="dxa"/>
            <w:bottom w:w="15" w:type="dxa"/>
            <w:right w:w="15" w:type="dxa"/>
          </w:tblCellMar>
        </w:tblPrEx>
        <w:trPr>
          <w:trHeight w:val="320" w:hRule="atLeast"/>
        </w:trPr>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textAlignment w:val="center"/>
              <w:rPr>
                <w:rFonts w:hint="default" w:cs="宋体"/>
                <w:color w:val="000000"/>
                <w:sz w:val="22"/>
                <w:szCs w:val="22"/>
              </w:rPr>
            </w:pPr>
            <w:r>
              <w:rPr>
                <w:rFonts w:cs="宋体"/>
                <w:color w:val="000000"/>
                <w:sz w:val="22"/>
                <w:szCs w:val="22"/>
              </w:rPr>
              <w:t>补助自然保护区</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textAlignment w:val="center"/>
              <w:rPr>
                <w:rFonts w:hint="default" w:cs="宋体"/>
                <w:color w:val="000000"/>
                <w:sz w:val="22"/>
                <w:szCs w:val="22"/>
              </w:rPr>
            </w:pPr>
            <w:r>
              <w:rPr>
                <w:rFonts w:cs="宋体"/>
                <w:color w:val="000000"/>
                <w:sz w:val="22"/>
                <w:szCs w:val="22"/>
              </w:rPr>
              <w:t>个</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textAlignment w:val="center"/>
              <w:rPr>
                <w:rFonts w:hint="default" w:cs="宋体"/>
                <w:color w:val="000000"/>
                <w:sz w:val="22"/>
                <w:szCs w:val="22"/>
              </w:rPr>
            </w:pPr>
            <w:r>
              <w:rPr>
                <w:rFonts w:cs="宋体"/>
                <w:color w:val="000000"/>
                <w:sz w:val="22"/>
                <w:szCs w:val="22"/>
              </w:rPr>
              <w:t>＝</w:t>
            </w:r>
          </w:p>
        </w:tc>
        <w:tc>
          <w:tcPr>
            <w:tcW w:w="1572"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rPr>
              <w:t>2</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rPr>
              <w:t>2</w:t>
            </w:r>
          </w:p>
        </w:tc>
        <w:tc>
          <w:tcPr>
            <w:tcW w:w="1572"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rPr>
              <w:t>0</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rPr>
              <w:t>100</w:t>
            </w:r>
          </w:p>
        </w:tc>
        <w:tc>
          <w:tcPr>
            <w:tcW w:w="1572"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rPr>
              <w:t>10</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rPr>
              <w:t>10</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textAlignment w:val="center"/>
              <w:rPr>
                <w:rFonts w:hint="default" w:cs="宋体"/>
                <w:color w:val="000000"/>
                <w:sz w:val="22"/>
                <w:szCs w:val="22"/>
              </w:rPr>
            </w:pPr>
            <w:r>
              <w:rPr>
                <w:rFonts w:cs="宋体"/>
                <w:color w:val="000000"/>
                <w:sz w:val="22"/>
                <w:szCs w:val="22"/>
              </w:rPr>
              <w:t>是</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r>
      <w:tr>
        <w:tblPrEx>
          <w:tblCellMar>
            <w:top w:w="15" w:type="dxa"/>
            <w:left w:w="15" w:type="dxa"/>
            <w:bottom w:w="15" w:type="dxa"/>
            <w:right w:w="15" w:type="dxa"/>
          </w:tblCellMar>
        </w:tblPrEx>
        <w:trPr>
          <w:trHeight w:val="247" w:hRule="atLeast"/>
        </w:trPr>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textAlignment w:val="center"/>
              <w:rPr>
                <w:rFonts w:hint="default" w:cs="宋体"/>
                <w:color w:val="000000"/>
                <w:sz w:val="22"/>
                <w:szCs w:val="22"/>
              </w:rPr>
            </w:pPr>
            <w:r>
              <w:rPr>
                <w:rFonts w:cs="宋体"/>
                <w:color w:val="000000"/>
                <w:sz w:val="22"/>
                <w:szCs w:val="22"/>
              </w:rPr>
              <w:t>林地面积</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textAlignment w:val="center"/>
              <w:rPr>
                <w:rFonts w:hint="default" w:cs="宋体"/>
                <w:color w:val="000000"/>
                <w:sz w:val="22"/>
                <w:szCs w:val="22"/>
              </w:rPr>
            </w:pPr>
            <w:r>
              <w:rPr>
                <w:rFonts w:cs="宋体"/>
                <w:color w:val="000000"/>
                <w:sz w:val="22"/>
                <w:szCs w:val="22"/>
              </w:rPr>
              <w:t>万亩</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textAlignment w:val="center"/>
              <w:rPr>
                <w:rFonts w:hint="default" w:cs="宋体"/>
                <w:color w:val="000000"/>
                <w:sz w:val="22"/>
                <w:szCs w:val="22"/>
              </w:rPr>
            </w:pPr>
            <w:r>
              <w:rPr>
                <w:rFonts w:cs="宋体"/>
                <w:color w:val="000000"/>
                <w:sz w:val="22"/>
                <w:szCs w:val="22"/>
              </w:rPr>
              <w:t>≥</w:t>
            </w:r>
          </w:p>
        </w:tc>
        <w:tc>
          <w:tcPr>
            <w:tcW w:w="1572"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rPr>
              <w:t>249</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rPr>
              <w:t>252.66</w:t>
            </w:r>
          </w:p>
        </w:tc>
        <w:tc>
          <w:tcPr>
            <w:tcW w:w="1572"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rPr>
              <w:t>1.47</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rPr>
              <w:t>100</w:t>
            </w:r>
          </w:p>
        </w:tc>
        <w:tc>
          <w:tcPr>
            <w:tcW w:w="1572"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rPr>
              <w:t>10</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rPr>
              <w:t>10</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textAlignment w:val="center"/>
              <w:rPr>
                <w:rFonts w:hint="default" w:cs="宋体"/>
                <w:color w:val="000000"/>
                <w:sz w:val="22"/>
                <w:szCs w:val="22"/>
              </w:rPr>
            </w:pPr>
            <w:r>
              <w:rPr>
                <w:rFonts w:cs="宋体"/>
                <w:color w:val="000000"/>
                <w:sz w:val="22"/>
                <w:szCs w:val="22"/>
              </w:rPr>
              <w:t>是</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r>
      <w:tr>
        <w:tblPrEx>
          <w:tblCellMar>
            <w:top w:w="15" w:type="dxa"/>
            <w:left w:w="15" w:type="dxa"/>
            <w:bottom w:w="15" w:type="dxa"/>
            <w:right w:w="15" w:type="dxa"/>
          </w:tblCellMar>
        </w:tblPrEx>
        <w:trPr>
          <w:trHeight w:val="620" w:hRule="atLeast"/>
        </w:trPr>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textAlignment w:val="center"/>
              <w:rPr>
                <w:rFonts w:hint="default" w:cs="宋体"/>
                <w:color w:val="000000"/>
                <w:sz w:val="22"/>
                <w:szCs w:val="22"/>
              </w:rPr>
            </w:pPr>
            <w:r>
              <w:rPr>
                <w:rFonts w:cs="宋体"/>
                <w:color w:val="000000"/>
                <w:sz w:val="22"/>
                <w:szCs w:val="22"/>
              </w:rPr>
              <w:t>森林蓄积量</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textAlignment w:val="center"/>
              <w:rPr>
                <w:rFonts w:hint="default" w:cs="宋体"/>
                <w:color w:val="000000"/>
                <w:sz w:val="22"/>
                <w:szCs w:val="22"/>
              </w:rPr>
            </w:pPr>
            <w:r>
              <w:rPr>
                <w:rFonts w:cs="宋体"/>
                <w:color w:val="000000"/>
                <w:sz w:val="22"/>
                <w:szCs w:val="22"/>
              </w:rPr>
              <w:t>立方米</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textAlignment w:val="center"/>
              <w:rPr>
                <w:rFonts w:hint="default" w:cs="宋体"/>
                <w:color w:val="000000"/>
                <w:sz w:val="22"/>
                <w:szCs w:val="22"/>
              </w:rPr>
            </w:pPr>
            <w:r>
              <w:rPr>
                <w:rFonts w:cs="宋体"/>
                <w:color w:val="000000"/>
                <w:sz w:val="22"/>
                <w:szCs w:val="22"/>
              </w:rPr>
              <w:t>≥</w:t>
            </w:r>
          </w:p>
        </w:tc>
        <w:tc>
          <w:tcPr>
            <w:tcW w:w="1572"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rPr>
              <w:t>8000000</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rPr>
              <w:t>11750000</w:t>
            </w:r>
          </w:p>
        </w:tc>
        <w:tc>
          <w:tcPr>
            <w:tcW w:w="1572"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rPr>
              <w:t>46.88</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rPr>
              <w:t>100</w:t>
            </w:r>
          </w:p>
        </w:tc>
        <w:tc>
          <w:tcPr>
            <w:tcW w:w="1572"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rPr>
              <w:t>10</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rPr>
              <w:t>10</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textAlignment w:val="center"/>
              <w:rPr>
                <w:rFonts w:hint="default" w:cs="宋体"/>
                <w:color w:val="000000"/>
                <w:sz w:val="22"/>
                <w:szCs w:val="22"/>
              </w:rPr>
            </w:pPr>
            <w:r>
              <w:rPr>
                <w:rFonts w:cs="宋体"/>
                <w:color w:val="000000"/>
                <w:sz w:val="22"/>
                <w:szCs w:val="22"/>
              </w:rPr>
              <w:t>是</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textAlignment w:val="center"/>
              <w:rPr>
                <w:rFonts w:hint="default" w:cs="宋体"/>
                <w:color w:val="000000"/>
                <w:sz w:val="22"/>
                <w:szCs w:val="22"/>
              </w:rPr>
            </w:pPr>
            <w:r>
              <w:rPr>
                <w:rFonts w:cs="宋体"/>
                <w:color w:val="000000"/>
                <w:sz w:val="22"/>
                <w:szCs w:val="22"/>
              </w:rPr>
              <w:t>2023年我县森林蓄积量已达0.1175亿立方米</w:t>
            </w:r>
          </w:p>
        </w:tc>
      </w:tr>
      <w:tr>
        <w:tblPrEx>
          <w:tblCellMar>
            <w:top w:w="15" w:type="dxa"/>
            <w:left w:w="15" w:type="dxa"/>
            <w:bottom w:w="15" w:type="dxa"/>
            <w:right w:w="15" w:type="dxa"/>
          </w:tblCellMar>
        </w:tblPrEx>
        <w:trPr>
          <w:trHeight w:val="247" w:hRule="atLeast"/>
        </w:trPr>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textAlignment w:val="center"/>
              <w:rPr>
                <w:rFonts w:hint="default" w:cs="宋体"/>
                <w:color w:val="000000"/>
                <w:sz w:val="22"/>
                <w:szCs w:val="22"/>
              </w:rPr>
            </w:pPr>
            <w:r>
              <w:rPr>
                <w:rFonts w:cs="宋体"/>
                <w:color w:val="000000"/>
                <w:sz w:val="22"/>
                <w:szCs w:val="22"/>
              </w:rPr>
              <w:t>湿地面积</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textAlignment w:val="center"/>
              <w:rPr>
                <w:rFonts w:hint="default" w:cs="宋体"/>
                <w:color w:val="000000"/>
                <w:sz w:val="22"/>
                <w:szCs w:val="22"/>
              </w:rPr>
            </w:pPr>
            <w:r>
              <w:rPr>
                <w:rFonts w:cs="宋体"/>
                <w:color w:val="000000"/>
                <w:sz w:val="22"/>
                <w:szCs w:val="22"/>
              </w:rPr>
              <w:t>万亩</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textAlignment w:val="center"/>
              <w:rPr>
                <w:rFonts w:hint="default" w:cs="宋体"/>
                <w:color w:val="000000"/>
                <w:sz w:val="22"/>
                <w:szCs w:val="22"/>
              </w:rPr>
            </w:pPr>
            <w:r>
              <w:rPr>
                <w:rFonts w:cs="宋体"/>
                <w:color w:val="000000"/>
                <w:sz w:val="22"/>
                <w:szCs w:val="22"/>
              </w:rPr>
              <w:t>≥</w:t>
            </w:r>
          </w:p>
        </w:tc>
        <w:tc>
          <w:tcPr>
            <w:tcW w:w="1572"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rPr>
              <w:t>2.06</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rPr>
              <w:t>2.06</w:t>
            </w:r>
          </w:p>
        </w:tc>
        <w:tc>
          <w:tcPr>
            <w:tcW w:w="1572"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rPr>
              <w:t>0</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rPr>
              <w:t>100</w:t>
            </w:r>
          </w:p>
        </w:tc>
        <w:tc>
          <w:tcPr>
            <w:tcW w:w="1572"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rPr>
              <w:t>5</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rPr>
              <w:t>5</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textAlignment w:val="center"/>
              <w:rPr>
                <w:rFonts w:hint="default" w:cs="宋体"/>
                <w:color w:val="000000"/>
                <w:sz w:val="22"/>
                <w:szCs w:val="22"/>
              </w:rPr>
            </w:pPr>
            <w:r>
              <w:rPr>
                <w:rFonts w:cs="宋体"/>
                <w:color w:val="000000"/>
                <w:sz w:val="22"/>
                <w:szCs w:val="22"/>
              </w:rPr>
              <w:t>是</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r>
      <w:tr>
        <w:tblPrEx>
          <w:tblCellMar>
            <w:top w:w="15" w:type="dxa"/>
            <w:left w:w="15" w:type="dxa"/>
            <w:bottom w:w="15" w:type="dxa"/>
            <w:right w:w="15" w:type="dxa"/>
          </w:tblCellMar>
        </w:tblPrEx>
        <w:trPr>
          <w:trHeight w:val="921" w:hRule="atLeast"/>
        </w:trPr>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textAlignment w:val="center"/>
              <w:rPr>
                <w:rFonts w:hint="default" w:cs="宋体"/>
                <w:color w:val="000000"/>
                <w:sz w:val="22"/>
                <w:szCs w:val="22"/>
              </w:rPr>
            </w:pPr>
            <w:r>
              <w:rPr>
                <w:rFonts w:cs="宋体"/>
                <w:color w:val="000000"/>
                <w:sz w:val="22"/>
                <w:szCs w:val="22"/>
              </w:rPr>
              <w:t>营造林面积</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textAlignment w:val="center"/>
              <w:rPr>
                <w:rFonts w:hint="default" w:cs="宋体"/>
                <w:color w:val="000000"/>
                <w:sz w:val="22"/>
                <w:szCs w:val="22"/>
              </w:rPr>
            </w:pPr>
            <w:r>
              <w:rPr>
                <w:rFonts w:cs="宋体"/>
                <w:color w:val="000000"/>
                <w:sz w:val="22"/>
                <w:szCs w:val="22"/>
              </w:rPr>
              <w:t>万亩</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textAlignment w:val="center"/>
              <w:rPr>
                <w:rFonts w:hint="default" w:cs="宋体"/>
                <w:color w:val="000000"/>
                <w:sz w:val="22"/>
                <w:szCs w:val="22"/>
              </w:rPr>
            </w:pPr>
            <w:r>
              <w:rPr>
                <w:rFonts w:cs="宋体"/>
                <w:color w:val="000000"/>
                <w:sz w:val="22"/>
                <w:szCs w:val="22"/>
              </w:rPr>
              <w:t>≥</w:t>
            </w:r>
          </w:p>
        </w:tc>
        <w:tc>
          <w:tcPr>
            <w:tcW w:w="1572"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rPr>
              <w:t>3.41</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rPr>
              <w:t>4.5</w:t>
            </w:r>
          </w:p>
        </w:tc>
        <w:tc>
          <w:tcPr>
            <w:tcW w:w="1572"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rPr>
              <w:t>31.96</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rPr>
              <w:t>100</w:t>
            </w:r>
          </w:p>
        </w:tc>
        <w:tc>
          <w:tcPr>
            <w:tcW w:w="1572"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rPr>
              <w:t>20</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rPr>
              <w:t>20</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textAlignment w:val="center"/>
              <w:rPr>
                <w:rFonts w:hint="default" w:cs="宋体"/>
                <w:color w:val="000000"/>
                <w:sz w:val="22"/>
                <w:szCs w:val="22"/>
              </w:rPr>
            </w:pPr>
            <w:r>
              <w:rPr>
                <w:rFonts w:cs="宋体"/>
                <w:color w:val="000000"/>
                <w:sz w:val="22"/>
                <w:szCs w:val="22"/>
              </w:rPr>
              <w:t>是</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textAlignment w:val="center"/>
              <w:rPr>
                <w:rFonts w:hint="default" w:cs="宋体"/>
                <w:color w:val="000000"/>
                <w:sz w:val="22"/>
                <w:szCs w:val="22"/>
              </w:rPr>
            </w:pPr>
            <w:r>
              <w:rPr>
                <w:rFonts w:cs="宋体"/>
                <w:color w:val="000000"/>
                <w:sz w:val="22"/>
                <w:szCs w:val="22"/>
              </w:rPr>
              <w:t>根据人工造林1.8，退化林修复0.4，两岸青山抚育0.5，油茶1，人造林四旁0.8</w:t>
            </w:r>
          </w:p>
        </w:tc>
      </w:tr>
      <w:tr>
        <w:tblPrEx>
          <w:tblCellMar>
            <w:top w:w="15" w:type="dxa"/>
            <w:left w:w="15" w:type="dxa"/>
            <w:bottom w:w="15" w:type="dxa"/>
            <w:right w:w="15" w:type="dxa"/>
          </w:tblCellMar>
        </w:tblPrEx>
        <w:trPr>
          <w:trHeight w:val="620" w:hRule="atLeast"/>
        </w:trPr>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textAlignment w:val="center"/>
              <w:rPr>
                <w:rFonts w:hint="default" w:cs="宋体"/>
                <w:color w:val="000000"/>
                <w:sz w:val="22"/>
                <w:szCs w:val="22"/>
              </w:rPr>
            </w:pPr>
            <w:r>
              <w:rPr>
                <w:rFonts w:cs="宋体"/>
                <w:color w:val="000000"/>
                <w:sz w:val="22"/>
                <w:szCs w:val="22"/>
              </w:rPr>
              <w:t>林业有害生物成灾率</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textAlignment w:val="center"/>
              <w:rPr>
                <w:rFonts w:hint="default" w:cs="宋体"/>
                <w:color w:val="000000"/>
                <w:sz w:val="22"/>
                <w:szCs w:val="22"/>
              </w:rPr>
            </w:pPr>
            <w:r>
              <w:rPr>
                <w:rFonts w:cs="宋体"/>
                <w:color w:val="000000"/>
                <w:sz w:val="22"/>
                <w:szCs w:val="22"/>
              </w:rPr>
              <w:t>%</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textAlignment w:val="center"/>
              <w:rPr>
                <w:rFonts w:hint="default" w:cs="宋体"/>
                <w:color w:val="000000"/>
                <w:sz w:val="22"/>
                <w:szCs w:val="22"/>
              </w:rPr>
            </w:pPr>
            <w:r>
              <w:rPr>
                <w:rFonts w:cs="宋体"/>
                <w:color w:val="000000"/>
                <w:sz w:val="22"/>
                <w:szCs w:val="22"/>
              </w:rPr>
              <w:t>≤</w:t>
            </w:r>
          </w:p>
        </w:tc>
        <w:tc>
          <w:tcPr>
            <w:tcW w:w="1572"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rPr>
              <w:t>0.3</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rPr>
              <w:t>0.18</w:t>
            </w:r>
          </w:p>
        </w:tc>
        <w:tc>
          <w:tcPr>
            <w:tcW w:w="1572"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rPr>
              <w:t>40</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rPr>
              <w:t>100</w:t>
            </w:r>
          </w:p>
        </w:tc>
        <w:tc>
          <w:tcPr>
            <w:tcW w:w="1572"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rPr>
              <w:t>5</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rPr>
              <w:t>5</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textAlignment w:val="center"/>
              <w:rPr>
                <w:rFonts w:hint="default" w:cs="宋体"/>
                <w:color w:val="000000"/>
                <w:sz w:val="22"/>
                <w:szCs w:val="22"/>
              </w:rPr>
            </w:pPr>
            <w:r>
              <w:rPr>
                <w:rFonts w:cs="宋体"/>
                <w:color w:val="000000"/>
                <w:sz w:val="22"/>
                <w:szCs w:val="22"/>
              </w:rPr>
              <w:t>否</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textAlignment w:val="center"/>
              <w:rPr>
                <w:rFonts w:hint="default" w:cs="宋体"/>
                <w:color w:val="000000"/>
                <w:sz w:val="22"/>
                <w:szCs w:val="22"/>
              </w:rPr>
            </w:pPr>
            <w:r>
              <w:rPr>
                <w:rFonts w:cs="宋体"/>
                <w:color w:val="000000"/>
                <w:sz w:val="22"/>
                <w:szCs w:val="22"/>
              </w:rPr>
              <w:t>2023年我县林业有害生物成灾率已控制在0.18%以下</w:t>
            </w:r>
          </w:p>
        </w:tc>
      </w:tr>
      <w:tr>
        <w:tblPrEx>
          <w:tblCellMar>
            <w:top w:w="15" w:type="dxa"/>
            <w:left w:w="15" w:type="dxa"/>
            <w:bottom w:w="15" w:type="dxa"/>
            <w:right w:w="15" w:type="dxa"/>
          </w:tblCellMar>
        </w:tblPrEx>
        <w:trPr>
          <w:trHeight w:val="247" w:hRule="atLeast"/>
        </w:trPr>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textAlignment w:val="center"/>
              <w:rPr>
                <w:rFonts w:hint="default" w:cs="宋体"/>
                <w:color w:val="000000"/>
                <w:sz w:val="22"/>
                <w:szCs w:val="22"/>
              </w:rPr>
            </w:pPr>
            <w:r>
              <w:rPr>
                <w:rFonts w:cs="宋体"/>
                <w:color w:val="000000"/>
                <w:sz w:val="22"/>
                <w:szCs w:val="22"/>
              </w:rPr>
              <w:t>森林覆盖率</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textAlignment w:val="center"/>
              <w:rPr>
                <w:rFonts w:hint="default" w:cs="宋体"/>
                <w:color w:val="000000"/>
                <w:sz w:val="22"/>
                <w:szCs w:val="22"/>
              </w:rPr>
            </w:pPr>
            <w:r>
              <w:rPr>
                <w:rFonts w:cs="宋体"/>
                <w:color w:val="000000"/>
                <w:sz w:val="22"/>
                <w:szCs w:val="22"/>
              </w:rPr>
              <w:t>%</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textAlignment w:val="center"/>
              <w:rPr>
                <w:rFonts w:hint="default" w:cs="宋体"/>
                <w:color w:val="000000"/>
                <w:sz w:val="22"/>
                <w:szCs w:val="22"/>
              </w:rPr>
            </w:pPr>
            <w:r>
              <w:rPr>
                <w:rFonts w:cs="宋体"/>
                <w:color w:val="000000"/>
                <w:sz w:val="22"/>
                <w:szCs w:val="22"/>
              </w:rPr>
              <w:t>≥</w:t>
            </w:r>
          </w:p>
        </w:tc>
        <w:tc>
          <w:tcPr>
            <w:tcW w:w="1572"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rPr>
              <w:t>52</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rPr>
              <w:t>55.08</w:t>
            </w:r>
          </w:p>
        </w:tc>
        <w:tc>
          <w:tcPr>
            <w:tcW w:w="1572"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rPr>
              <w:t>5.92</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rPr>
              <w:t>100</w:t>
            </w:r>
          </w:p>
        </w:tc>
        <w:tc>
          <w:tcPr>
            <w:tcW w:w="1572"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rPr>
              <w:t>15</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rPr>
              <w:t>15</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textAlignment w:val="center"/>
              <w:rPr>
                <w:rFonts w:hint="default" w:cs="宋体"/>
                <w:color w:val="000000"/>
                <w:sz w:val="22"/>
                <w:szCs w:val="22"/>
              </w:rPr>
            </w:pPr>
            <w:r>
              <w:rPr>
                <w:rFonts w:cs="宋体"/>
                <w:color w:val="000000"/>
                <w:sz w:val="22"/>
                <w:szCs w:val="22"/>
              </w:rPr>
              <w:t>是</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r>
      <w:tr>
        <w:tblPrEx>
          <w:tblCellMar>
            <w:top w:w="15" w:type="dxa"/>
            <w:left w:w="15" w:type="dxa"/>
            <w:bottom w:w="15" w:type="dxa"/>
            <w:right w:w="15" w:type="dxa"/>
          </w:tblCellMar>
        </w:tblPrEx>
        <w:trPr>
          <w:trHeight w:val="320" w:hRule="atLeast"/>
        </w:trPr>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textAlignment w:val="center"/>
              <w:rPr>
                <w:rFonts w:hint="default" w:cs="宋体"/>
                <w:color w:val="000000"/>
                <w:sz w:val="22"/>
                <w:szCs w:val="22"/>
              </w:rPr>
            </w:pPr>
            <w:r>
              <w:rPr>
                <w:rFonts w:cs="宋体"/>
                <w:color w:val="000000"/>
                <w:sz w:val="22"/>
                <w:szCs w:val="22"/>
              </w:rPr>
              <w:t>森林火灾受害率</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textAlignment w:val="center"/>
              <w:rPr>
                <w:rFonts w:hint="default" w:cs="宋体"/>
                <w:color w:val="000000"/>
                <w:sz w:val="22"/>
                <w:szCs w:val="22"/>
              </w:rPr>
            </w:pPr>
            <w:r>
              <w:rPr>
                <w:rFonts w:cs="宋体"/>
                <w:color w:val="000000"/>
                <w:sz w:val="22"/>
                <w:szCs w:val="22"/>
              </w:rPr>
              <w:t>%</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textAlignment w:val="center"/>
              <w:rPr>
                <w:rFonts w:hint="default" w:cs="宋体"/>
                <w:color w:val="000000"/>
                <w:sz w:val="22"/>
                <w:szCs w:val="22"/>
              </w:rPr>
            </w:pPr>
            <w:r>
              <w:rPr>
                <w:rFonts w:cs="宋体"/>
                <w:color w:val="000000"/>
                <w:sz w:val="22"/>
                <w:szCs w:val="22"/>
              </w:rPr>
              <w:t>≤</w:t>
            </w:r>
          </w:p>
        </w:tc>
        <w:tc>
          <w:tcPr>
            <w:tcW w:w="1572"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rPr>
              <w:t>0.03</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rPr>
              <w:t>0</w:t>
            </w:r>
          </w:p>
        </w:tc>
        <w:tc>
          <w:tcPr>
            <w:tcW w:w="1572"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rPr>
              <w:t>100</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rPr>
              <w:t>100</w:t>
            </w:r>
          </w:p>
        </w:tc>
        <w:tc>
          <w:tcPr>
            <w:tcW w:w="1572"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rPr>
              <w:t>5</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rPr>
              <w:t>5</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textAlignment w:val="center"/>
              <w:rPr>
                <w:rFonts w:hint="default" w:cs="宋体"/>
                <w:color w:val="000000"/>
                <w:sz w:val="22"/>
                <w:szCs w:val="22"/>
              </w:rPr>
            </w:pPr>
            <w:r>
              <w:rPr>
                <w:rFonts w:cs="宋体"/>
                <w:color w:val="000000"/>
                <w:sz w:val="22"/>
                <w:szCs w:val="22"/>
              </w:rPr>
              <w:t>否</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textAlignment w:val="center"/>
              <w:rPr>
                <w:rFonts w:hint="default" w:cs="宋体"/>
                <w:color w:val="000000"/>
                <w:sz w:val="22"/>
                <w:szCs w:val="22"/>
              </w:rPr>
            </w:pPr>
            <w:r>
              <w:rPr>
                <w:rFonts w:cs="宋体"/>
                <w:color w:val="000000"/>
                <w:sz w:val="22"/>
                <w:szCs w:val="22"/>
              </w:rPr>
              <w:t>2023年我县无森林火灾发生</w:t>
            </w:r>
          </w:p>
        </w:tc>
      </w:tr>
      <w:tr>
        <w:tblPrEx>
          <w:tblCellMar>
            <w:top w:w="15" w:type="dxa"/>
            <w:left w:w="15" w:type="dxa"/>
            <w:bottom w:w="15" w:type="dxa"/>
            <w:right w:w="15" w:type="dxa"/>
          </w:tblCellMar>
        </w:tblPrEx>
        <w:trPr>
          <w:trHeight w:val="247" w:hRule="atLeast"/>
        </w:trPr>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textAlignment w:val="center"/>
              <w:rPr>
                <w:rFonts w:hint="default" w:cs="宋体"/>
                <w:color w:val="000000"/>
                <w:sz w:val="22"/>
                <w:szCs w:val="22"/>
              </w:rPr>
            </w:pPr>
            <w:r>
              <w:rPr>
                <w:rFonts w:cs="宋体"/>
                <w:color w:val="000000"/>
                <w:sz w:val="22"/>
                <w:szCs w:val="22"/>
              </w:rPr>
              <w:t>造林合格率</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textAlignment w:val="center"/>
              <w:rPr>
                <w:rFonts w:hint="default" w:cs="宋体"/>
                <w:color w:val="000000"/>
                <w:sz w:val="22"/>
                <w:szCs w:val="22"/>
              </w:rPr>
            </w:pPr>
            <w:r>
              <w:rPr>
                <w:rFonts w:cs="宋体"/>
                <w:color w:val="000000"/>
                <w:sz w:val="22"/>
                <w:szCs w:val="22"/>
              </w:rPr>
              <w:t>%</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textAlignment w:val="center"/>
              <w:rPr>
                <w:rFonts w:hint="default" w:cs="宋体"/>
                <w:color w:val="000000"/>
                <w:sz w:val="22"/>
                <w:szCs w:val="22"/>
              </w:rPr>
            </w:pPr>
            <w:r>
              <w:rPr>
                <w:rFonts w:cs="宋体"/>
                <w:color w:val="000000"/>
                <w:sz w:val="22"/>
                <w:szCs w:val="22"/>
              </w:rPr>
              <w:t>≥</w:t>
            </w:r>
          </w:p>
        </w:tc>
        <w:tc>
          <w:tcPr>
            <w:tcW w:w="1572"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rPr>
              <w:t>85</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rPr>
              <w:t>90</w:t>
            </w:r>
          </w:p>
        </w:tc>
        <w:tc>
          <w:tcPr>
            <w:tcW w:w="1572"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rPr>
              <w:t>5.88</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rPr>
              <w:t>100</w:t>
            </w:r>
          </w:p>
        </w:tc>
        <w:tc>
          <w:tcPr>
            <w:tcW w:w="1572"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rPr>
              <w:t>10</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rPr>
              <w:t>10</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textAlignment w:val="center"/>
              <w:rPr>
                <w:rFonts w:hint="default" w:cs="宋体"/>
                <w:color w:val="000000"/>
                <w:sz w:val="22"/>
                <w:szCs w:val="22"/>
              </w:rPr>
            </w:pPr>
            <w:r>
              <w:rPr>
                <w:rFonts w:cs="宋体"/>
                <w:color w:val="000000"/>
                <w:sz w:val="22"/>
                <w:szCs w:val="22"/>
              </w:rPr>
              <w:t>是</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r>
      <w:tr>
        <w:tblPrEx>
          <w:tblCellMar>
            <w:top w:w="15" w:type="dxa"/>
            <w:left w:w="15" w:type="dxa"/>
            <w:bottom w:w="15" w:type="dxa"/>
            <w:right w:w="15" w:type="dxa"/>
          </w:tblCellMar>
        </w:tblPrEx>
        <w:trPr>
          <w:trHeight w:val="324" w:hRule="atLeast"/>
        </w:trPr>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textAlignment w:val="center"/>
              <w:rPr>
                <w:rFonts w:hint="default" w:cs="宋体"/>
                <w:color w:val="000000"/>
                <w:sz w:val="22"/>
                <w:szCs w:val="22"/>
              </w:rPr>
            </w:pPr>
            <w:r>
              <w:rPr>
                <w:rFonts w:cs="宋体"/>
                <w:color w:val="000000"/>
                <w:sz w:val="22"/>
                <w:szCs w:val="22"/>
              </w:rPr>
              <w:t>保护生态系统</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textAlignment w:val="center"/>
              <w:rPr>
                <w:rFonts w:hint="default" w:cs="宋体"/>
                <w:color w:val="000000"/>
                <w:sz w:val="22"/>
                <w:szCs w:val="22"/>
              </w:rPr>
            </w:pPr>
            <w:r>
              <w:rPr>
                <w:rFonts w:cs="宋体"/>
                <w:color w:val="000000"/>
                <w:sz w:val="22"/>
                <w:szCs w:val="22"/>
              </w:rPr>
              <w:t>定性</w:t>
            </w:r>
          </w:p>
        </w:tc>
        <w:tc>
          <w:tcPr>
            <w:tcW w:w="1572"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rPr>
              <w:t>生态系统完整</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rPr>
              <w:t>1</w:t>
            </w:r>
          </w:p>
        </w:tc>
        <w:tc>
          <w:tcPr>
            <w:tcW w:w="1572"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rPr>
              <w:t>0</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rPr>
              <w:t>100</w:t>
            </w:r>
          </w:p>
        </w:tc>
        <w:tc>
          <w:tcPr>
            <w:tcW w:w="1572"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rPr>
              <w:t>10</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rPr>
              <w:t>10</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textAlignment w:val="center"/>
              <w:rPr>
                <w:rFonts w:hint="default" w:cs="宋体"/>
                <w:color w:val="000000"/>
                <w:sz w:val="22"/>
                <w:szCs w:val="22"/>
              </w:rPr>
            </w:pPr>
            <w:r>
              <w:rPr>
                <w:rFonts w:cs="宋体"/>
                <w:color w:val="000000"/>
                <w:sz w:val="22"/>
                <w:szCs w:val="22"/>
              </w:rPr>
              <w:t>是</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r>
    </w:tbl>
    <w:p>
      <w:pPr>
        <w:pStyle w:val="13"/>
        <w:spacing w:before="0" w:beforeAutospacing="0"/>
        <w:rPr>
          <w:rFonts w:ascii="方正仿宋_GBK" w:hAnsi="方正仿宋_GBK" w:eastAsia="方正仿宋_GBK" w:cs="方正仿宋_GBK"/>
          <w:sz w:val="32"/>
          <w:szCs w:val="32"/>
        </w:rPr>
      </w:pPr>
    </w:p>
    <w:p>
      <w:pPr>
        <w:pStyle w:val="6"/>
        <w:keepNext w:val="0"/>
        <w:keepLines w:val="0"/>
        <w:pageBreakBefore w:val="0"/>
        <w:widowControl/>
        <w:shd w:val="clear" w:color="auto" w:fill="FFFFFF"/>
        <w:kinsoku/>
        <w:wordWrap/>
        <w:overflowPunct/>
        <w:topLinePunct w:val="0"/>
        <w:autoSpaceDN/>
        <w:bidi w:val="0"/>
        <w:adjustRightInd/>
        <w:spacing w:line="594" w:lineRule="exact"/>
        <w:ind w:firstLine="562" w:firstLineChars="200"/>
        <w:jc w:val="both"/>
        <w:textAlignment w:val="auto"/>
        <w:rPr>
          <w:rFonts w:hint="eastAsia" w:ascii="方正仿宋_GBK" w:hAnsi="方正仿宋_GBK" w:eastAsia="方正仿宋_GBK" w:cs="方正仿宋_GBK"/>
          <w:b/>
          <w:bCs/>
          <w:sz w:val="28"/>
          <w:szCs w:val="28"/>
          <w:shd w:val="clear" w:color="auto" w:fill="FFFFFF"/>
        </w:rPr>
      </w:pPr>
      <w:r>
        <w:rPr>
          <w:rFonts w:hint="eastAsia" w:ascii="方正仿宋_GBK" w:hAnsi="方正仿宋_GBK" w:eastAsia="方正仿宋_GBK" w:cs="方正仿宋_GBK"/>
          <w:b/>
          <w:bCs/>
          <w:sz w:val="28"/>
          <w:szCs w:val="28"/>
          <w:shd w:val="clear" w:color="auto" w:fill="FFFFFF"/>
          <w:lang w:eastAsia="zh-CN"/>
        </w:rPr>
        <w:t>（二）</w:t>
      </w:r>
      <w:r>
        <w:rPr>
          <w:rFonts w:hint="eastAsia" w:ascii="方正仿宋_GBK" w:hAnsi="方正仿宋_GBK" w:eastAsia="方正仿宋_GBK" w:cs="方正仿宋_GBK"/>
          <w:b/>
          <w:bCs/>
          <w:sz w:val="28"/>
          <w:szCs w:val="28"/>
          <w:shd w:val="clear" w:color="auto" w:fill="FFFFFF"/>
        </w:rPr>
        <w:t>部门绩效评价情况</w:t>
      </w:r>
    </w:p>
    <w:p>
      <w:pPr>
        <w:pStyle w:val="6"/>
        <w:keepNext w:val="0"/>
        <w:keepLines w:val="0"/>
        <w:pageBreakBefore w:val="0"/>
        <w:widowControl/>
        <w:kinsoku/>
        <w:wordWrap/>
        <w:overflowPunct/>
        <w:topLinePunct w:val="0"/>
        <w:autoSpaceDN/>
        <w:bidi w:val="0"/>
        <w:adjustRightInd/>
        <w:spacing w:beforeAutospacing="0" w:afterAutospacing="0" w:line="594" w:lineRule="exact"/>
        <w:ind w:firstLine="560" w:firstLineChars="200"/>
        <w:jc w:val="both"/>
        <w:textAlignment w:val="auto"/>
        <w:rPr>
          <w:rFonts w:hint="default" w:ascii="方正仿宋_GBK" w:hAnsi="方正仿宋_GBK" w:eastAsia="方正仿宋_GBK" w:cs="方正仿宋_GBK"/>
          <w:sz w:val="28"/>
          <w:szCs w:val="28"/>
          <w:highlight w:val="yellow"/>
          <w:shd w:val="clear" w:color="auto" w:fill="FFFFFF"/>
        </w:rPr>
      </w:pPr>
      <w:r>
        <w:rPr>
          <w:rFonts w:ascii="方正仿宋_GBK" w:hAnsi="方正仿宋_GBK" w:eastAsia="方正仿宋_GBK" w:cs="方正仿宋_GBK"/>
          <w:sz w:val="28"/>
          <w:szCs w:val="28"/>
          <w:shd w:val="clear" w:color="auto" w:fill="FFFFFF"/>
        </w:rPr>
        <w:t>根据预算绩效管理要求，对部门的整体绩效进行了评价，2023年度部门整体绩效自评表自评得分为97.13分。</w:t>
      </w:r>
      <w:r>
        <w:rPr>
          <w:rFonts w:ascii="Times New Roman" w:hAnsi="Times New Roman" w:eastAsia="方正仿宋_GBK"/>
          <w:snapToGrid w:val="0"/>
          <w:sz w:val="28"/>
          <w:szCs w:val="28"/>
        </w:rPr>
        <w:t>从评价情况来看，项目立项较为规范，绩效目标明确，预算编制合理，管理科学规范，资金到位及时，总体完成情况较好，项目基本达到了预期绩效目标。</w:t>
      </w:r>
    </w:p>
    <w:p>
      <w:pPr>
        <w:pStyle w:val="6"/>
        <w:keepNext w:val="0"/>
        <w:keepLines w:val="0"/>
        <w:pageBreakBefore w:val="0"/>
        <w:widowControl/>
        <w:shd w:val="clear" w:color="auto" w:fill="FFFFFF"/>
        <w:kinsoku/>
        <w:wordWrap/>
        <w:overflowPunct/>
        <w:topLinePunct w:val="0"/>
        <w:autoSpaceDN/>
        <w:bidi w:val="0"/>
        <w:adjustRightInd/>
        <w:spacing w:line="594" w:lineRule="exact"/>
        <w:ind w:firstLine="562" w:firstLineChars="200"/>
        <w:jc w:val="both"/>
        <w:textAlignment w:val="auto"/>
        <w:rPr>
          <w:rFonts w:hint="eastAsia" w:ascii="方正仿宋_GBK" w:hAnsi="方正仿宋_GBK" w:eastAsia="方正仿宋_GBK" w:cs="方正仿宋_GBK"/>
          <w:b/>
          <w:bCs/>
          <w:sz w:val="28"/>
          <w:szCs w:val="28"/>
          <w:shd w:val="clear" w:color="auto" w:fill="FFFFFF"/>
        </w:rPr>
      </w:pPr>
      <w:r>
        <w:rPr>
          <w:rFonts w:hint="eastAsia" w:ascii="方正仿宋_GBK" w:hAnsi="方正仿宋_GBK" w:eastAsia="方正仿宋_GBK" w:cs="方正仿宋_GBK"/>
          <w:b/>
          <w:bCs/>
          <w:sz w:val="28"/>
          <w:szCs w:val="28"/>
          <w:shd w:val="clear" w:color="auto" w:fill="FFFFFF"/>
        </w:rPr>
        <w:t>（三）财政绩效评价情况</w:t>
      </w:r>
    </w:p>
    <w:p>
      <w:pPr>
        <w:pStyle w:val="12"/>
        <w:keepNext w:val="0"/>
        <w:keepLines w:val="0"/>
        <w:pageBreakBefore w:val="0"/>
        <w:widowControl/>
        <w:kinsoku/>
        <w:wordWrap/>
        <w:overflowPunct/>
        <w:topLinePunct w:val="0"/>
        <w:autoSpaceDE w:val="0"/>
        <w:autoSpaceDN/>
        <w:bidi w:val="0"/>
        <w:adjustRightInd/>
        <w:spacing w:line="594" w:lineRule="exact"/>
        <w:ind w:firstLine="560" w:firstLineChars="200"/>
        <w:jc w:val="both"/>
        <w:textAlignment w:val="auto"/>
        <w:rPr>
          <w:rFonts w:ascii="方正仿宋_GBK" w:hAnsi="方正仿宋_GBK" w:eastAsia="方正仿宋_GBK" w:cs="方正仿宋_GBK"/>
          <w:sz w:val="28"/>
          <w:szCs w:val="28"/>
          <w:shd w:val="clear" w:color="auto" w:fill="FFFFFF"/>
        </w:rPr>
      </w:pPr>
      <w:r>
        <w:rPr>
          <w:rFonts w:hint="eastAsia" w:ascii="方正仿宋_GBK" w:hAnsi="方正仿宋_GBK" w:eastAsia="方正仿宋_GBK" w:cs="方正仿宋_GBK"/>
          <w:sz w:val="28"/>
          <w:szCs w:val="28"/>
          <w:shd w:val="clear" w:color="auto" w:fill="FFFFFF"/>
        </w:rPr>
        <w:t>县财政局未委托第三方对我部门开展绩效评价。</w:t>
      </w:r>
    </w:p>
    <w:p>
      <w:pPr>
        <w:pStyle w:val="6"/>
        <w:keepNext w:val="0"/>
        <w:keepLines w:val="0"/>
        <w:pageBreakBefore w:val="0"/>
        <w:widowControl/>
        <w:shd w:val="clear" w:color="auto" w:fill="FFFFFF"/>
        <w:kinsoku/>
        <w:wordWrap/>
        <w:overflowPunct/>
        <w:topLinePunct w:val="0"/>
        <w:autoSpaceDN/>
        <w:bidi w:val="0"/>
        <w:adjustRightInd/>
        <w:spacing w:line="594" w:lineRule="exact"/>
        <w:textAlignment w:val="auto"/>
        <w:rPr>
          <w:rStyle w:val="10"/>
          <w:rFonts w:hint="default" w:ascii="方正黑体_GBK" w:hAnsi="方正黑体_GBK" w:eastAsia="方正黑体_GBK" w:cs="方正黑体_GBK"/>
          <w:b w:val="0"/>
          <w:bCs/>
          <w:sz w:val="28"/>
          <w:szCs w:val="28"/>
          <w:shd w:val="clear" w:color="auto" w:fill="FFFFFF"/>
          <w:lang w:eastAsia="zh-CN"/>
        </w:rPr>
      </w:pPr>
      <w:r>
        <w:rPr>
          <w:rStyle w:val="10"/>
          <w:rFonts w:hint="eastAsia" w:ascii="方正黑体_GBK" w:hAnsi="方正黑体_GBK" w:eastAsia="方正黑体_GBK" w:cs="方正黑体_GBK"/>
          <w:b w:val="0"/>
          <w:bCs/>
          <w:sz w:val="28"/>
          <w:szCs w:val="28"/>
          <w:shd w:val="clear" w:color="auto" w:fill="FFFFFF"/>
          <w:lang w:eastAsia="zh-CN"/>
        </w:rPr>
        <w:t>六、专业名词解释</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562" w:firstLineChars="200"/>
        <w:jc w:val="both"/>
        <w:textAlignment w:val="auto"/>
        <w:rPr>
          <w:rFonts w:hint="default" w:ascii="方正仿宋_GBK" w:hAnsi="方正仿宋_GBK" w:eastAsia="方正仿宋_GBK" w:cs="方正仿宋_GBK"/>
          <w:sz w:val="28"/>
          <w:szCs w:val="28"/>
        </w:rPr>
      </w:pPr>
      <w:r>
        <w:rPr>
          <w:rFonts w:hint="eastAsia" w:ascii="方正仿宋_GBK" w:hAnsi="方正仿宋_GBK" w:eastAsia="方正仿宋_GBK" w:cs="方正仿宋_GBK"/>
          <w:b/>
          <w:bCs/>
          <w:sz w:val="28"/>
          <w:szCs w:val="28"/>
          <w:shd w:val="clear" w:color="auto" w:fill="FFFFFF"/>
        </w:rPr>
        <w:t>（一）财政拨款收入：</w:t>
      </w:r>
      <w:r>
        <w:rPr>
          <w:rFonts w:ascii="方正仿宋_GBK" w:hAnsi="方正仿宋_GBK" w:eastAsia="方正仿宋_GBK" w:cs="方正仿宋_GBK"/>
          <w:sz w:val="28"/>
          <w:szCs w:val="28"/>
          <w:shd w:val="clear" w:color="auto" w:fill="FFFFFF"/>
        </w:rPr>
        <w:t>指本年度从本级财政部门取得的财政拨款，包括一般公共预算财政拨款和政府性基金预算财政拨款。</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562" w:firstLineChars="200"/>
        <w:jc w:val="both"/>
        <w:textAlignment w:val="auto"/>
        <w:rPr>
          <w:rFonts w:hint="default" w:ascii="方正仿宋_GBK" w:hAnsi="方正仿宋_GBK" w:eastAsia="方正仿宋_GBK" w:cs="方正仿宋_GBK"/>
          <w:sz w:val="28"/>
          <w:szCs w:val="28"/>
        </w:rPr>
      </w:pPr>
      <w:r>
        <w:rPr>
          <w:rFonts w:hint="eastAsia" w:ascii="方正仿宋_GBK" w:hAnsi="方正仿宋_GBK" w:eastAsia="方正仿宋_GBK" w:cs="方正仿宋_GBK"/>
          <w:b/>
          <w:bCs/>
          <w:sz w:val="28"/>
          <w:szCs w:val="28"/>
          <w:shd w:val="clear" w:color="auto" w:fill="FFFFFF"/>
        </w:rPr>
        <w:t>（二）事业收入：</w:t>
      </w:r>
      <w:r>
        <w:rPr>
          <w:rFonts w:ascii="方正仿宋_GBK" w:hAnsi="方正仿宋_GBK" w:eastAsia="方正仿宋_GBK" w:cs="方正仿宋_GBK"/>
          <w:sz w:val="28"/>
          <w:szCs w:val="28"/>
          <w:shd w:val="clear" w:color="auto" w:fill="FFFFFF"/>
        </w:rPr>
        <w:t>指事业单位开展专业业务活动及其辅助活动取得的现金流入；事业单位收到的财政专户实际核拨的教育收费等资金在此反映。</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562" w:firstLineChars="200"/>
        <w:jc w:val="both"/>
        <w:textAlignment w:val="auto"/>
        <w:rPr>
          <w:rFonts w:hint="default" w:ascii="方正仿宋_GBK" w:hAnsi="方正仿宋_GBK" w:eastAsia="方正仿宋_GBK" w:cs="方正仿宋_GBK"/>
          <w:sz w:val="28"/>
          <w:szCs w:val="28"/>
        </w:rPr>
      </w:pPr>
      <w:r>
        <w:rPr>
          <w:rFonts w:hint="eastAsia" w:ascii="方正仿宋_GBK" w:hAnsi="方正仿宋_GBK" w:eastAsia="方正仿宋_GBK" w:cs="方正仿宋_GBK"/>
          <w:b/>
          <w:bCs/>
          <w:sz w:val="28"/>
          <w:szCs w:val="28"/>
          <w:shd w:val="clear" w:color="auto" w:fill="FFFFFF"/>
        </w:rPr>
        <w:t>（三）经营收入：</w:t>
      </w:r>
      <w:r>
        <w:rPr>
          <w:rFonts w:ascii="方正仿宋_GBK" w:hAnsi="方正仿宋_GBK" w:eastAsia="方正仿宋_GBK" w:cs="方正仿宋_GBK"/>
          <w:sz w:val="28"/>
          <w:szCs w:val="28"/>
          <w:shd w:val="clear" w:color="auto" w:fill="FFFFFF"/>
        </w:rPr>
        <w:t>指事业单位在专业业务活动及其辅助活动之外开展非独立核算经营活动取得的现金流入。</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562" w:firstLineChars="200"/>
        <w:jc w:val="both"/>
        <w:textAlignment w:val="auto"/>
        <w:rPr>
          <w:rFonts w:hint="default" w:ascii="方正仿宋_GBK" w:hAnsi="方正仿宋_GBK" w:eastAsia="方正仿宋_GBK" w:cs="方正仿宋_GBK"/>
          <w:sz w:val="28"/>
          <w:szCs w:val="28"/>
        </w:rPr>
      </w:pPr>
      <w:r>
        <w:rPr>
          <w:rFonts w:hint="eastAsia" w:ascii="方正仿宋_GBK" w:hAnsi="方正仿宋_GBK" w:eastAsia="方正仿宋_GBK" w:cs="方正仿宋_GBK"/>
          <w:b/>
          <w:bCs/>
          <w:sz w:val="28"/>
          <w:szCs w:val="28"/>
          <w:shd w:val="clear" w:color="auto" w:fill="FFFFFF"/>
        </w:rPr>
        <w:t>（四）其他收入：</w:t>
      </w:r>
      <w:r>
        <w:rPr>
          <w:rFonts w:ascii="方正仿宋_GBK" w:hAnsi="方正仿宋_GBK" w:eastAsia="方正仿宋_GBK" w:cs="方正仿宋_GBK"/>
          <w:sz w:val="28"/>
          <w:szCs w:val="28"/>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562" w:firstLineChars="200"/>
        <w:jc w:val="both"/>
        <w:textAlignment w:val="auto"/>
        <w:rPr>
          <w:rFonts w:hint="default" w:ascii="方正仿宋_GBK" w:hAnsi="方正仿宋_GBK" w:eastAsia="方正仿宋_GBK" w:cs="方正仿宋_GBK"/>
          <w:sz w:val="28"/>
          <w:szCs w:val="28"/>
        </w:rPr>
      </w:pPr>
      <w:r>
        <w:rPr>
          <w:rFonts w:hint="eastAsia" w:ascii="方正仿宋_GBK" w:hAnsi="方正仿宋_GBK" w:eastAsia="方正仿宋_GBK" w:cs="方正仿宋_GBK"/>
          <w:b/>
          <w:bCs/>
          <w:sz w:val="28"/>
          <w:szCs w:val="28"/>
          <w:shd w:val="clear" w:color="auto" w:fill="FFFFFF"/>
        </w:rPr>
        <w:t>（五）使用非财政拨款结余：</w:t>
      </w:r>
      <w:r>
        <w:rPr>
          <w:rFonts w:ascii="方正仿宋_GBK" w:hAnsi="方正仿宋_GBK" w:eastAsia="方正仿宋_GBK" w:cs="方正仿宋_GBK"/>
          <w:sz w:val="28"/>
          <w:szCs w:val="28"/>
          <w:shd w:val="clear" w:color="auto" w:fill="FFFFFF"/>
        </w:rPr>
        <w:t>指单位在当年的“财政拨款收入”、“事业收入”、“经营收入”、“其他收入”等不足以安排当年支出的情况下，使用以前年度积累的非财政拨款结余弥补本年度收支缺口的资金。</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562" w:firstLineChars="200"/>
        <w:jc w:val="both"/>
        <w:textAlignment w:val="auto"/>
        <w:rPr>
          <w:rFonts w:hint="default" w:ascii="方正仿宋_GBK" w:hAnsi="方正仿宋_GBK" w:eastAsia="方正仿宋_GBK" w:cs="方正仿宋_GBK"/>
          <w:sz w:val="28"/>
          <w:szCs w:val="28"/>
        </w:rPr>
      </w:pPr>
      <w:r>
        <w:rPr>
          <w:rFonts w:hint="eastAsia" w:ascii="方正仿宋_GBK" w:hAnsi="方正仿宋_GBK" w:eastAsia="方正仿宋_GBK" w:cs="方正仿宋_GBK"/>
          <w:b/>
          <w:bCs/>
          <w:sz w:val="28"/>
          <w:szCs w:val="28"/>
          <w:shd w:val="clear" w:color="auto" w:fill="FFFFFF"/>
        </w:rPr>
        <w:t>（六）年初结转和结余：</w:t>
      </w:r>
      <w:r>
        <w:rPr>
          <w:rFonts w:ascii="方正仿宋_GBK" w:hAnsi="方正仿宋_GBK" w:eastAsia="方正仿宋_GBK" w:cs="方正仿宋_GBK"/>
          <w:sz w:val="28"/>
          <w:szCs w:val="28"/>
          <w:shd w:val="clear" w:color="auto" w:fill="FFFFFF"/>
        </w:rPr>
        <w:t>指单位上年结转本年使用的基本支出结转、项目支出结转和结余、经营结余。</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562" w:firstLineChars="200"/>
        <w:jc w:val="both"/>
        <w:textAlignment w:val="auto"/>
        <w:rPr>
          <w:rFonts w:hint="default" w:ascii="方正仿宋_GBK" w:hAnsi="方正仿宋_GBK" w:eastAsia="方正仿宋_GBK" w:cs="方正仿宋_GBK"/>
          <w:sz w:val="28"/>
          <w:szCs w:val="28"/>
        </w:rPr>
      </w:pPr>
      <w:r>
        <w:rPr>
          <w:rFonts w:hint="eastAsia" w:ascii="方正仿宋_GBK" w:hAnsi="方正仿宋_GBK" w:eastAsia="方正仿宋_GBK" w:cs="方正仿宋_GBK"/>
          <w:b/>
          <w:bCs/>
          <w:sz w:val="28"/>
          <w:szCs w:val="28"/>
          <w:shd w:val="clear" w:color="auto" w:fill="FFFFFF"/>
        </w:rPr>
        <w:t>（七）结余分配：</w:t>
      </w:r>
      <w:r>
        <w:rPr>
          <w:rFonts w:ascii="方正仿宋_GBK" w:hAnsi="方正仿宋_GBK" w:eastAsia="方正仿宋_GBK" w:cs="方正仿宋_GBK"/>
          <w:sz w:val="28"/>
          <w:szCs w:val="28"/>
          <w:shd w:val="clear" w:color="auto" w:fill="FFFFFF"/>
        </w:rPr>
        <w:t>指单位按照国家有关规定，缴纳所得税、提取专用基金、转入非财政拨款结余等当年结余的分配情况。</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562" w:firstLineChars="200"/>
        <w:jc w:val="both"/>
        <w:textAlignment w:val="auto"/>
        <w:rPr>
          <w:rFonts w:hint="default" w:ascii="方正仿宋_GBK" w:hAnsi="方正仿宋_GBK" w:eastAsia="方正仿宋_GBK" w:cs="方正仿宋_GBK"/>
          <w:sz w:val="28"/>
          <w:szCs w:val="28"/>
        </w:rPr>
      </w:pPr>
      <w:r>
        <w:rPr>
          <w:rFonts w:hint="eastAsia" w:ascii="方正仿宋_GBK" w:hAnsi="方正仿宋_GBK" w:eastAsia="方正仿宋_GBK" w:cs="方正仿宋_GBK"/>
          <w:b/>
          <w:bCs/>
          <w:sz w:val="28"/>
          <w:szCs w:val="28"/>
          <w:shd w:val="clear" w:color="auto" w:fill="FFFFFF"/>
        </w:rPr>
        <w:t>（八）年末结转和结余：</w:t>
      </w:r>
      <w:r>
        <w:rPr>
          <w:rFonts w:ascii="方正仿宋_GBK" w:hAnsi="方正仿宋_GBK" w:eastAsia="方正仿宋_GBK" w:cs="方正仿宋_GBK"/>
          <w:sz w:val="28"/>
          <w:szCs w:val="28"/>
          <w:shd w:val="clear" w:color="auto" w:fill="FFFFFF"/>
        </w:rPr>
        <w:t>指单位结转下年的基本支出结转、项目支出结转和结余、经营结余。</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562" w:firstLineChars="200"/>
        <w:jc w:val="both"/>
        <w:textAlignment w:val="auto"/>
        <w:rPr>
          <w:rFonts w:hint="default" w:ascii="方正仿宋_GBK" w:hAnsi="方正仿宋_GBK" w:eastAsia="方正仿宋_GBK" w:cs="方正仿宋_GBK"/>
          <w:sz w:val="28"/>
          <w:szCs w:val="28"/>
        </w:rPr>
      </w:pPr>
      <w:r>
        <w:rPr>
          <w:rFonts w:hint="eastAsia" w:ascii="方正仿宋_GBK" w:hAnsi="方正仿宋_GBK" w:eastAsia="方正仿宋_GBK" w:cs="方正仿宋_GBK"/>
          <w:b/>
          <w:bCs/>
          <w:sz w:val="28"/>
          <w:szCs w:val="28"/>
          <w:shd w:val="clear" w:color="auto" w:fill="FFFFFF"/>
        </w:rPr>
        <w:t>（九）基本支出：</w:t>
      </w:r>
      <w:r>
        <w:rPr>
          <w:rFonts w:ascii="方正仿宋_GBK" w:hAnsi="方正仿宋_GBK" w:eastAsia="方正仿宋_GBK" w:cs="方正仿宋_GBK"/>
          <w:sz w:val="28"/>
          <w:szCs w:val="28"/>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562" w:firstLineChars="200"/>
        <w:jc w:val="both"/>
        <w:textAlignment w:val="auto"/>
        <w:rPr>
          <w:rFonts w:hint="default" w:ascii="方正仿宋_GBK" w:hAnsi="方正仿宋_GBK" w:eastAsia="方正仿宋_GBK" w:cs="方正仿宋_GBK"/>
          <w:sz w:val="28"/>
          <w:szCs w:val="28"/>
        </w:rPr>
      </w:pPr>
      <w:r>
        <w:rPr>
          <w:rFonts w:hint="eastAsia" w:ascii="方正仿宋_GBK" w:hAnsi="方正仿宋_GBK" w:eastAsia="方正仿宋_GBK" w:cs="方正仿宋_GBK"/>
          <w:b/>
          <w:bCs/>
          <w:sz w:val="28"/>
          <w:szCs w:val="28"/>
          <w:shd w:val="clear" w:color="auto" w:fill="FFFFFF"/>
        </w:rPr>
        <w:t>（十）项目支出：</w:t>
      </w:r>
      <w:r>
        <w:rPr>
          <w:rFonts w:ascii="方正仿宋_GBK" w:hAnsi="方正仿宋_GBK" w:eastAsia="方正仿宋_GBK" w:cs="方正仿宋_GBK"/>
          <w:sz w:val="28"/>
          <w:szCs w:val="28"/>
          <w:shd w:val="clear" w:color="auto" w:fill="FFFFFF"/>
        </w:rPr>
        <w:t>指在基本支出之外为完成特定行政任务和事业发展目标所发生的支出。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562" w:firstLineChars="200"/>
        <w:jc w:val="both"/>
        <w:textAlignment w:val="auto"/>
        <w:rPr>
          <w:rFonts w:hint="default" w:ascii="方正仿宋_GBK" w:hAnsi="方正仿宋_GBK" w:eastAsia="方正仿宋_GBK" w:cs="方正仿宋_GBK"/>
          <w:sz w:val="28"/>
          <w:szCs w:val="28"/>
        </w:rPr>
      </w:pPr>
      <w:r>
        <w:rPr>
          <w:rFonts w:hint="eastAsia" w:ascii="方正仿宋_GBK" w:hAnsi="方正仿宋_GBK" w:eastAsia="方正仿宋_GBK" w:cs="方正仿宋_GBK"/>
          <w:b/>
          <w:bCs/>
          <w:sz w:val="28"/>
          <w:szCs w:val="28"/>
          <w:shd w:val="clear" w:color="auto" w:fill="FFFFFF"/>
        </w:rPr>
        <w:t>（十一）经营支出：</w:t>
      </w:r>
      <w:r>
        <w:rPr>
          <w:rFonts w:ascii="方正仿宋_GBK" w:hAnsi="方正仿宋_GBK" w:eastAsia="方正仿宋_GBK" w:cs="方正仿宋_GBK"/>
          <w:sz w:val="28"/>
          <w:szCs w:val="28"/>
          <w:shd w:val="clear" w:color="auto" w:fill="FFFFFF"/>
        </w:rPr>
        <w:t>指事业单位在专业业务活动及其辅助活动之外开展非独立核算经营活动发生的支出。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562" w:firstLineChars="200"/>
        <w:jc w:val="both"/>
        <w:textAlignment w:val="auto"/>
        <w:rPr>
          <w:rFonts w:hint="default" w:ascii="方正仿宋_GBK" w:hAnsi="方正仿宋_GBK" w:eastAsia="方正仿宋_GBK" w:cs="方正仿宋_GBK"/>
          <w:sz w:val="28"/>
          <w:szCs w:val="28"/>
        </w:rPr>
      </w:pPr>
      <w:r>
        <w:rPr>
          <w:rFonts w:hint="eastAsia" w:ascii="方正仿宋_GBK" w:hAnsi="方正仿宋_GBK" w:eastAsia="方正仿宋_GBK" w:cs="方正仿宋_GBK"/>
          <w:b/>
          <w:bCs/>
          <w:sz w:val="28"/>
          <w:szCs w:val="28"/>
          <w:shd w:val="clear" w:color="auto" w:fill="FFFFFF"/>
        </w:rPr>
        <w:t>（十二）“三公”经费：</w:t>
      </w:r>
      <w:r>
        <w:rPr>
          <w:rFonts w:ascii="方正仿宋_GBK" w:hAnsi="方正仿宋_GBK" w:eastAsia="方正仿宋_GBK" w:cs="方正仿宋_GBK"/>
          <w:sz w:val="28"/>
          <w:szCs w:val="28"/>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562" w:firstLineChars="200"/>
        <w:jc w:val="both"/>
        <w:textAlignment w:val="auto"/>
        <w:rPr>
          <w:rFonts w:hint="default" w:ascii="方正仿宋_GBK" w:hAnsi="方正仿宋_GBK" w:eastAsia="方正仿宋_GBK" w:cs="方正仿宋_GBK"/>
          <w:sz w:val="28"/>
          <w:szCs w:val="28"/>
        </w:rPr>
      </w:pPr>
      <w:r>
        <w:rPr>
          <w:rFonts w:hint="eastAsia" w:ascii="方正仿宋_GBK" w:hAnsi="方正仿宋_GBK" w:eastAsia="方正仿宋_GBK" w:cs="方正仿宋_GBK"/>
          <w:b/>
          <w:bCs/>
          <w:sz w:val="28"/>
          <w:szCs w:val="28"/>
          <w:shd w:val="clear" w:color="auto" w:fill="FFFFFF"/>
        </w:rPr>
        <w:t>（十三）机关运行经费：</w:t>
      </w:r>
      <w:r>
        <w:rPr>
          <w:rFonts w:ascii="方正仿宋_GBK" w:hAnsi="方正仿宋_GBK" w:eastAsia="方正仿宋_GBK" w:cs="方正仿宋_GBK"/>
          <w:sz w:val="28"/>
          <w:szCs w:val="28"/>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562" w:firstLineChars="200"/>
        <w:jc w:val="both"/>
        <w:textAlignment w:val="auto"/>
        <w:rPr>
          <w:rFonts w:hint="default" w:ascii="方正仿宋_GBK" w:hAnsi="方正仿宋_GBK" w:eastAsia="方正仿宋_GBK" w:cs="方正仿宋_GBK"/>
          <w:sz w:val="28"/>
          <w:szCs w:val="28"/>
        </w:rPr>
      </w:pPr>
      <w:r>
        <w:rPr>
          <w:rFonts w:hint="eastAsia" w:ascii="方正仿宋_GBK" w:hAnsi="方正仿宋_GBK" w:eastAsia="方正仿宋_GBK" w:cs="方正仿宋_GBK"/>
          <w:b/>
          <w:bCs/>
          <w:sz w:val="28"/>
          <w:szCs w:val="28"/>
          <w:shd w:val="clear" w:color="auto" w:fill="FFFFFF"/>
        </w:rPr>
        <w:t>（十四）工资福利支出（支出经济分类科目类级）：</w:t>
      </w:r>
      <w:r>
        <w:rPr>
          <w:rFonts w:ascii="方正仿宋_GBK" w:hAnsi="方正仿宋_GBK" w:eastAsia="方正仿宋_GBK" w:cs="方正仿宋_GBK"/>
          <w:sz w:val="28"/>
          <w:szCs w:val="28"/>
          <w:shd w:val="clear" w:color="auto" w:fill="FFFFFF"/>
        </w:rPr>
        <w:t>反映单位开支的在职职工和编制外长期聘用人员的各类劳动报酬，以及为上述人员缴纳的各项社会保险费等。</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562" w:firstLineChars="200"/>
        <w:jc w:val="both"/>
        <w:textAlignment w:val="auto"/>
        <w:rPr>
          <w:rFonts w:hint="default" w:ascii="方正仿宋_GBK" w:hAnsi="方正仿宋_GBK" w:eastAsia="方正仿宋_GBK" w:cs="方正仿宋_GBK"/>
          <w:sz w:val="28"/>
          <w:szCs w:val="28"/>
        </w:rPr>
      </w:pPr>
      <w:r>
        <w:rPr>
          <w:rFonts w:hint="eastAsia" w:ascii="方正仿宋_GBK" w:hAnsi="方正仿宋_GBK" w:eastAsia="方正仿宋_GBK" w:cs="方正仿宋_GBK"/>
          <w:b/>
          <w:bCs/>
          <w:sz w:val="28"/>
          <w:szCs w:val="28"/>
          <w:shd w:val="clear" w:color="auto" w:fill="FFFFFF"/>
        </w:rPr>
        <w:t>（十五）商品和服务支出（支出经济分类科目类级）：</w:t>
      </w:r>
      <w:r>
        <w:rPr>
          <w:rFonts w:ascii="方正仿宋_GBK" w:hAnsi="方正仿宋_GBK" w:eastAsia="方正仿宋_GBK" w:cs="方正仿宋_GBK"/>
          <w:sz w:val="28"/>
          <w:szCs w:val="28"/>
          <w:shd w:val="clear" w:color="auto" w:fill="FFFFFF"/>
        </w:rPr>
        <w:t>反映单位购买商品和服务的支出（不包括用于购置固定资产的支出、战略性和应急储备支出）。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562" w:firstLineChars="200"/>
        <w:jc w:val="both"/>
        <w:textAlignment w:val="auto"/>
        <w:rPr>
          <w:rFonts w:hint="default" w:ascii="方正仿宋_GBK" w:hAnsi="方正仿宋_GBK" w:eastAsia="方正仿宋_GBK" w:cs="方正仿宋_GBK"/>
          <w:sz w:val="28"/>
          <w:szCs w:val="28"/>
        </w:rPr>
      </w:pPr>
      <w:r>
        <w:rPr>
          <w:rFonts w:hint="eastAsia" w:ascii="方正仿宋_GBK" w:hAnsi="方正仿宋_GBK" w:eastAsia="方正仿宋_GBK" w:cs="方正仿宋_GBK"/>
          <w:b/>
          <w:bCs/>
          <w:sz w:val="28"/>
          <w:szCs w:val="28"/>
          <w:shd w:val="clear" w:color="auto" w:fill="FFFFFF"/>
        </w:rPr>
        <w:t>（十六）对个人和家庭的补助（支出经济分类科目类级）：</w:t>
      </w:r>
      <w:r>
        <w:rPr>
          <w:rFonts w:ascii="方正仿宋_GBK" w:hAnsi="方正仿宋_GBK" w:eastAsia="方正仿宋_GBK" w:cs="方正仿宋_GBK"/>
          <w:sz w:val="28"/>
          <w:szCs w:val="28"/>
          <w:shd w:val="clear" w:color="auto" w:fill="FFFFFF"/>
        </w:rPr>
        <w:t>反映用于对个人和家庭的补助支出。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562" w:firstLineChars="200"/>
        <w:jc w:val="both"/>
        <w:textAlignment w:val="auto"/>
        <w:rPr>
          <w:rFonts w:hint="default" w:ascii="方正仿宋_GBK" w:hAnsi="方正仿宋_GBK" w:eastAsia="方正仿宋_GBK" w:cs="方正仿宋_GBK"/>
          <w:sz w:val="28"/>
          <w:szCs w:val="28"/>
        </w:rPr>
      </w:pPr>
      <w:r>
        <w:rPr>
          <w:rFonts w:hint="eastAsia" w:ascii="方正仿宋_GBK" w:hAnsi="方正仿宋_GBK" w:eastAsia="方正仿宋_GBK" w:cs="方正仿宋_GBK"/>
          <w:b/>
          <w:bCs/>
          <w:sz w:val="28"/>
          <w:szCs w:val="28"/>
          <w:shd w:val="clear" w:color="auto" w:fill="FFFFFF"/>
        </w:rPr>
        <w:t>（十七）其他资本性支出（支出经济分类科目类级）：</w:t>
      </w:r>
      <w:r>
        <w:rPr>
          <w:rFonts w:ascii="方正仿宋_GBK" w:hAnsi="方正仿宋_GBK" w:eastAsia="方正仿宋_GBK" w:cs="方正仿宋_GBK"/>
          <w:sz w:val="28"/>
          <w:szCs w:val="28"/>
          <w:shd w:val="clear" w:color="auto" w:fill="FFFFFF"/>
        </w:rPr>
        <w:t>反映非各级发展与改革部门集中安排</w:t>
      </w:r>
      <w:bookmarkStart w:id="0" w:name="_GoBack"/>
      <w:bookmarkEnd w:id="0"/>
      <w:r>
        <w:rPr>
          <w:rFonts w:ascii="方正仿宋_GBK" w:hAnsi="方正仿宋_GBK" w:eastAsia="方正仿宋_GBK" w:cs="方正仿宋_GBK"/>
          <w:sz w:val="28"/>
          <w:szCs w:val="28"/>
          <w:shd w:val="clear" w:color="auto" w:fill="FFFFFF"/>
        </w:rPr>
        <w:t>的用于购置固定资产、战略性和应急性储备、土地和无形资产，以及构建基础设施、大型修缮和财政支持企业更新改造所发生的支出。</w:t>
      </w:r>
    </w:p>
    <w:p>
      <w:pPr>
        <w:pStyle w:val="6"/>
        <w:keepNext w:val="0"/>
        <w:keepLines w:val="0"/>
        <w:pageBreakBefore w:val="0"/>
        <w:widowControl/>
        <w:shd w:val="clear" w:color="auto" w:fill="FFFFFF"/>
        <w:kinsoku/>
        <w:wordWrap/>
        <w:overflowPunct/>
        <w:topLinePunct w:val="0"/>
        <w:autoSpaceDN/>
        <w:bidi w:val="0"/>
        <w:adjustRightInd/>
        <w:spacing w:line="594" w:lineRule="exact"/>
        <w:textAlignment w:val="auto"/>
        <w:rPr>
          <w:rStyle w:val="10"/>
          <w:rFonts w:hint="default" w:ascii="方正黑体_GBK" w:hAnsi="方正黑体_GBK" w:eastAsia="方正黑体_GBK" w:cs="方正黑体_GBK"/>
          <w:b w:val="0"/>
          <w:bCs/>
          <w:sz w:val="28"/>
          <w:szCs w:val="28"/>
          <w:shd w:val="clear" w:color="auto" w:fill="FFFFFF"/>
          <w:lang w:eastAsia="zh-CN"/>
        </w:rPr>
      </w:pPr>
      <w:r>
        <w:rPr>
          <w:rStyle w:val="10"/>
          <w:rFonts w:hint="eastAsia" w:ascii="方正黑体_GBK" w:hAnsi="方正黑体_GBK" w:eastAsia="方正黑体_GBK" w:cs="方正黑体_GBK"/>
          <w:b w:val="0"/>
          <w:bCs/>
          <w:sz w:val="28"/>
          <w:szCs w:val="28"/>
          <w:shd w:val="clear" w:color="auto" w:fill="FFFFFF"/>
          <w:lang w:eastAsia="zh-CN"/>
        </w:rPr>
        <w:t>七、决算公开联系方式及信息反馈渠道</w:t>
      </w:r>
    </w:p>
    <w:p>
      <w:pPr>
        <w:keepNext w:val="0"/>
        <w:keepLines w:val="0"/>
        <w:pageBreakBefore w:val="0"/>
        <w:widowControl/>
        <w:kinsoku/>
        <w:wordWrap/>
        <w:overflowPunct/>
        <w:topLinePunct w:val="0"/>
        <w:autoSpaceDN/>
        <w:bidi w:val="0"/>
        <w:adjustRightInd/>
        <w:spacing w:line="594" w:lineRule="exact"/>
        <w:ind w:firstLine="560" w:firstLineChars="200"/>
        <w:jc w:val="both"/>
        <w:textAlignment w:val="auto"/>
        <w:rPr>
          <w:rFonts w:hint="default" w:ascii="方正仿宋_GBK" w:hAnsi="方正仿宋_GBK" w:eastAsia="方正仿宋_GBK" w:cs="方正仿宋_GBK"/>
          <w:sz w:val="28"/>
          <w:szCs w:val="28"/>
          <w:shd w:val="clear" w:color="auto" w:fill="FFFFFF"/>
        </w:rPr>
      </w:pPr>
      <w:r>
        <w:rPr>
          <w:rFonts w:ascii="方正仿宋_GBK" w:hAnsi="方正仿宋_GBK" w:eastAsia="方正仿宋_GBK" w:cs="方正仿宋_GBK"/>
          <w:sz w:val="28"/>
          <w:szCs w:val="28"/>
          <w:shd w:val="clear" w:color="auto" w:fill="FFFFFF"/>
        </w:rPr>
        <w:t>本单位决算公开信息反馈和联系方式：</w:t>
      </w:r>
    </w:p>
    <w:p>
      <w:pPr>
        <w:keepNext w:val="0"/>
        <w:keepLines w:val="0"/>
        <w:pageBreakBefore w:val="0"/>
        <w:widowControl/>
        <w:kinsoku/>
        <w:wordWrap/>
        <w:overflowPunct/>
        <w:topLinePunct w:val="0"/>
        <w:autoSpaceDN/>
        <w:bidi w:val="0"/>
        <w:adjustRightInd/>
        <w:spacing w:line="594" w:lineRule="exact"/>
        <w:ind w:firstLine="560" w:firstLineChars="200"/>
        <w:jc w:val="both"/>
        <w:textAlignment w:val="auto"/>
        <w:rPr>
          <w:rFonts w:ascii="方正仿宋_GBK" w:hAnsi="方正仿宋_GBK" w:eastAsia="方正仿宋_GBK" w:cs="方正仿宋_GBK"/>
          <w:sz w:val="28"/>
          <w:szCs w:val="28"/>
          <w:shd w:val="clear" w:color="auto" w:fill="FFFFFF"/>
        </w:rPr>
      </w:pPr>
      <w:r>
        <w:rPr>
          <w:rFonts w:ascii="方正仿宋_GBK" w:hAnsi="方正仿宋_GBK" w:eastAsia="方正仿宋_GBK" w:cs="方正仿宋_GBK"/>
          <w:sz w:val="28"/>
          <w:szCs w:val="28"/>
          <w:shd w:val="clear" w:color="auto" w:fill="FFFFFF"/>
        </w:rPr>
        <w:t>联系人：陆鑫电话：70606433</w:t>
      </w:r>
    </w:p>
    <w:p>
      <w:pPr>
        <w:keepNext w:val="0"/>
        <w:keepLines w:val="0"/>
        <w:pageBreakBefore w:val="0"/>
        <w:widowControl/>
        <w:kinsoku/>
        <w:wordWrap/>
        <w:overflowPunct/>
        <w:topLinePunct w:val="0"/>
        <w:autoSpaceDN/>
        <w:bidi w:val="0"/>
        <w:adjustRightInd/>
        <w:ind w:firstLine="640" w:firstLineChars="200"/>
        <w:jc w:val="both"/>
        <w:textAlignment w:val="auto"/>
        <w:rPr>
          <w:rFonts w:ascii="方正仿宋_GBK" w:hAnsi="方正仿宋_GBK" w:eastAsia="方正仿宋_GBK" w:cs="方正仿宋_GBK"/>
          <w:sz w:val="32"/>
          <w:szCs w:val="32"/>
          <w:shd w:val="clear" w:color="auto" w:fill="FFFFFF"/>
        </w:rPr>
      </w:pPr>
    </w:p>
    <w:p>
      <w:pPr>
        <w:keepNext w:val="0"/>
        <w:keepLines w:val="0"/>
        <w:pageBreakBefore w:val="0"/>
        <w:widowControl/>
        <w:kinsoku/>
        <w:wordWrap/>
        <w:overflowPunct/>
        <w:topLinePunct w:val="0"/>
        <w:autoSpaceDN/>
        <w:bidi w:val="0"/>
        <w:adjustRightInd/>
        <w:ind w:firstLine="640" w:firstLineChars="200"/>
        <w:jc w:val="both"/>
        <w:textAlignment w:val="auto"/>
        <w:rPr>
          <w:rFonts w:hint="default" w:ascii="方正仿宋_GBK" w:hAnsi="方正仿宋_GBK" w:eastAsia="方正仿宋_GBK" w:cs="方正仿宋_GBK"/>
          <w:sz w:val="32"/>
          <w:szCs w:val="32"/>
          <w:shd w:val="clear" w:color="auto" w:fill="FFFFFF"/>
        </w:rPr>
      </w:pPr>
    </w:p>
    <w:tbl>
      <w:tblPr>
        <w:tblStyle w:val="7"/>
        <w:tblW w:w="15337" w:type="dxa"/>
        <w:tblInd w:w="0" w:type="dxa"/>
        <w:tblLayout w:type="fixed"/>
        <w:tblCellMar>
          <w:top w:w="0" w:type="dxa"/>
          <w:left w:w="0" w:type="dxa"/>
          <w:bottom w:w="0" w:type="dxa"/>
          <w:right w:w="0" w:type="dxa"/>
        </w:tblCellMar>
      </w:tblPr>
      <w:tblGrid>
        <w:gridCol w:w="5105"/>
        <w:gridCol w:w="2012"/>
        <w:gridCol w:w="4791"/>
        <w:gridCol w:w="3429"/>
      </w:tblGrid>
      <w:tr>
        <w:tblPrEx>
          <w:tblCellMar>
            <w:top w:w="0" w:type="dxa"/>
            <w:left w:w="0" w:type="dxa"/>
            <w:bottom w:w="0" w:type="dxa"/>
            <w:right w:w="0" w:type="dxa"/>
          </w:tblCellMar>
        </w:tblPrEx>
        <w:trPr>
          <w:trHeight w:val="232" w:hRule="atLeast"/>
        </w:trPr>
        <w:tc>
          <w:tcPr>
            <w:tcW w:w="15337" w:type="dxa"/>
            <w:gridSpan w:val="4"/>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CellMar>
            <w:top w:w="0" w:type="dxa"/>
            <w:left w:w="0" w:type="dxa"/>
            <w:bottom w:w="0" w:type="dxa"/>
            <w:right w:w="0" w:type="dxa"/>
          </w:tblCellMar>
        </w:tblPrEx>
        <w:trPr>
          <w:trHeight w:val="232" w:hRule="atLeast"/>
        </w:trPr>
        <w:tc>
          <w:tcPr>
            <w:tcW w:w="5105"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0"/>
                <w:szCs w:val="20"/>
              </w:rPr>
            </w:pPr>
          </w:p>
        </w:tc>
        <w:tc>
          <w:tcPr>
            <w:tcW w:w="2012" w:type="dxa"/>
            <w:tcBorders>
              <w:top w:val="nil"/>
              <w:left w:val="nil"/>
              <w:bottom w:val="nil"/>
              <w:right w:val="nil"/>
            </w:tcBorders>
            <w:shd w:val="clear" w:color="auto" w:fill="auto"/>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4791"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0"/>
                <w:szCs w:val="20"/>
              </w:rPr>
            </w:pPr>
          </w:p>
        </w:tc>
        <w:tc>
          <w:tcPr>
            <w:tcW w:w="3429"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公开01表</w:t>
            </w:r>
          </w:p>
        </w:tc>
      </w:tr>
      <w:tr>
        <w:tblPrEx>
          <w:tblCellMar>
            <w:top w:w="0" w:type="dxa"/>
            <w:left w:w="0" w:type="dxa"/>
            <w:bottom w:w="0" w:type="dxa"/>
            <w:right w:w="0" w:type="dxa"/>
          </w:tblCellMar>
        </w:tblPrEx>
        <w:trPr>
          <w:trHeight w:val="232" w:hRule="atLeast"/>
        </w:trPr>
        <w:tc>
          <w:tcPr>
            <w:tcW w:w="7117" w:type="dxa"/>
            <w:gridSpan w:val="2"/>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2"/>
                <w:szCs w:val="22"/>
              </w:rPr>
            </w:pPr>
            <w:r>
              <w:rPr>
                <w:rFonts w:cs="宋体"/>
                <w:sz w:val="20"/>
                <w:szCs w:val="20"/>
              </w:rPr>
              <w:t>公开部门：</w:t>
            </w:r>
            <w:r>
              <w:rPr>
                <w:sz w:val="20"/>
              </w:rPr>
              <w:t>重庆市丰都县林业局</w:t>
            </w:r>
          </w:p>
        </w:tc>
        <w:tc>
          <w:tcPr>
            <w:tcW w:w="4791"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2"/>
                <w:szCs w:val="22"/>
              </w:rPr>
            </w:pPr>
          </w:p>
        </w:tc>
        <w:tc>
          <w:tcPr>
            <w:tcW w:w="3429"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243" w:hRule="atLeast"/>
        </w:trPr>
        <w:tc>
          <w:tcPr>
            <w:tcW w:w="7117"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8220" w:type="dxa"/>
            <w:gridSpan w:val="2"/>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2012"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342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一、一般公共预算财政拨款收入</w:t>
            </w: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20,896.22</w:t>
            </w: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一、一般公共服务支出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24.80</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二、外交支出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三、国防支出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四、上级补助收入</w:t>
            </w: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四、公共安全支出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五、事业收入</w:t>
            </w: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五、教育支出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六、经营收入</w:t>
            </w: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六、科学技术支出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七、附属单位上缴收入</w:t>
            </w: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七、文化旅游体育与传媒支出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八、其他收入</w:t>
            </w:r>
          </w:p>
        </w:tc>
        <w:tc>
          <w:tcPr>
            <w:tcW w:w="2012" w:type="dxa"/>
            <w:tcBorders>
              <w:top w:val="nil"/>
              <w:left w:val="nil"/>
              <w:bottom w:val="nil"/>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八、社会保障和就业支出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1,312.01</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九、卫生健康支出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289.72</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十、节能环保支出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6,540.13</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十一、城乡社区支出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十二、农林水支出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12,876.66</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十三、交通运输支出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66.69</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十四、资源勘探工业信息等支出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十五、商业服务业等支出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十六、金融支出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十七、援助其他地区支出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十八、自然资源海洋气象等支出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68.41</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十九、住房保障支出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223.32</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二十、粮油物资储备支出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二十一、国有资本经营预算支出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二十二、灾害防治及应急管理支出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579.51</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二十三、其他支出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rPr>
                <w:rFonts w:hint="default" w:cs="宋体"/>
                <w:b/>
                <w:color w:val="000000"/>
                <w:sz w:val="20"/>
                <w:szCs w:val="20"/>
              </w:rPr>
            </w:pP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二十四、债务还本支出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二十五、债务付息支出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二十六、抗疫特别国债安排的支出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20,896.22</w:t>
            </w: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本年支出合计</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21,981.25</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使用非财政拨款结余和专用结余</w:t>
            </w: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结余分配</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年初结转和结余</w:t>
            </w: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1,270.83</w:t>
            </w: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年末结转和结余</w:t>
            </w:r>
          </w:p>
        </w:tc>
        <w:tc>
          <w:tcPr>
            <w:tcW w:w="3429"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185.79</w:t>
            </w:r>
          </w:p>
        </w:tc>
      </w:tr>
      <w:tr>
        <w:tblPrEx>
          <w:tblCellMar>
            <w:top w:w="0" w:type="dxa"/>
            <w:left w:w="0" w:type="dxa"/>
            <w:bottom w:w="0" w:type="dxa"/>
            <w:right w:w="0" w:type="dxa"/>
          </w:tblCellMar>
        </w:tblPrEx>
        <w:trPr>
          <w:trHeight w:val="25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2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22,167.04</w:t>
            </w:r>
          </w:p>
        </w:tc>
        <w:tc>
          <w:tcPr>
            <w:tcW w:w="4791" w:type="dxa"/>
            <w:tcBorders>
              <w:top w:val="nil"/>
              <w:left w:val="nil"/>
              <w:bottom w:val="single" w:color="000000" w:sz="4" w:space="0"/>
              <w:right w:val="single" w:color="auto"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34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22,167.04</w:t>
            </w:r>
          </w:p>
        </w:tc>
      </w:tr>
    </w:tbl>
    <w:p>
      <w:pPr>
        <w:spacing w:line="240" w:lineRule="exact"/>
        <w:rPr>
          <w:rFonts w:hint="default" w:cs="宋体"/>
          <w:sz w:val="20"/>
          <w:szCs w:val="20"/>
        </w:rPr>
      </w:pPr>
      <w:r>
        <w:rPr>
          <w:rFonts w:cs="宋体"/>
          <w:sz w:val="20"/>
          <w:szCs w:val="20"/>
        </w:rPr>
        <w:t>备注：1.本表反映部门本年度的总收支和年末结转结余情况。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15322" w:type="dxa"/>
        <w:tblInd w:w="0" w:type="dxa"/>
        <w:tblLayout w:type="fixed"/>
        <w:tblCellMar>
          <w:top w:w="0" w:type="dxa"/>
          <w:left w:w="0" w:type="dxa"/>
          <w:bottom w:w="0" w:type="dxa"/>
          <w:right w:w="0" w:type="dxa"/>
        </w:tblCellMar>
      </w:tblPr>
      <w:tblGrid>
        <w:gridCol w:w="1694"/>
        <w:gridCol w:w="3159"/>
        <w:gridCol w:w="1229"/>
        <w:gridCol w:w="1229"/>
        <w:gridCol w:w="1229"/>
        <w:gridCol w:w="1229"/>
        <w:gridCol w:w="1361"/>
        <w:gridCol w:w="1302"/>
        <w:gridCol w:w="1434"/>
        <w:gridCol w:w="1456"/>
      </w:tblGrid>
      <w:tr>
        <w:tblPrEx>
          <w:tblCellMar>
            <w:top w:w="0" w:type="dxa"/>
            <w:left w:w="0" w:type="dxa"/>
            <w:bottom w:w="0" w:type="dxa"/>
            <w:right w:w="0" w:type="dxa"/>
          </w:tblCellMar>
        </w:tblPrEx>
        <w:trPr>
          <w:trHeight w:val="641" w:hRule="atLeast"/>
        </w:trPr>
        <w:tc>
          <w:tcPr>
            <w:tcW w:w="15322" w:type="dxa"/>
            <w:gridSpan w:val="10"/>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CellMar>
            <w:top w:w="0" w:type="dxa"/>
            <w:left w:w="0" w:type="dxa"/>
            <w:bottom w:w="0" w:type="dxa"/>
            <w:right w:w="0" w:type="dxa"/>
          </w:tblCellMar>
        </w:tblPrEx>
        <w:trPr>
          <w:trHeight w:val="328" w:hRule="atLeast"/>
        </w:trPr>
        <w:tc>
          <w:tcPr>
            <w:tcW w:w="6082"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公开部门：</w:t>
            </w:r>
            <w:r>
              <w:rPr>
                <w:sz w:val="20"/>
              </w:rPr>
              <w:t>重庆市丰都县林业局</w:t>
            </w:r>
          </w:p>
        </w:tc>
        <w:tc>
          <w:tcPr>
            <w:tcW w:w="122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2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2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6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02"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34"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56"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公开02表</w:t>
            </w:r>
          </w:p>
        </w:tc>
      </w:tr>
      <w:tr>
        <w:tblPrEx>
          <w:tblCellMar>
            <w:top w:w="0" w:type="dxa"/>
            <w:left w:w="0" w:type="dxa"/>
            <w:bottom w:w="0" w:type="dxa"/>
            <w:right w:w="0" w:type="dxa"/>
          </w:tblCellMar>
        </w:tblPrEx>
        <w:trPr>
          <w:trHeight w:val="328" w:hRule="atLeast"/>
        </w:trPr>
        <w:tc>
          <w:tcPr>
            <w:tcW w:w="6082"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2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2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2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6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02"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34"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56"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31" w:hRule="atLeast"/>
        </w:trPr>
        <w:tc>
          <w:tcPr>
            <w:tcW w:w="4853" w:type="dxa"/>
            <w:gridSpan w:val="2"/>
            <w:tcBorders>
              <w:top w:val="single" w:color="000000" w:sz="4" w:space="0"/>
              <w:left w:val="single" w:color="000000" w:sz="4" w:space="0"/>
              <w:bottom w:val="single" w:color="000000" w:sz="4" w:space="0"/>
              <w:right w:val="nil"/>
            </w:tcBorders>
            <w:shd w:val="clear" w:color="auto" w:fill="D0CECE"/>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22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122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122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2590"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1302"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143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145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CellMar>
            <w:top w:w="0" w:type="dxa"/>
            <w:left w:w="0" w:type="dxa"/>
            <w:bottom w:w="0" w:type="dxa"/>
            <w:right w:w="0" w:type="dxa"/>
          </w:tblCellMar>
        </w:tblPrEx>
        <w:trPr>
          <w:trHeight w:val="334" w:hRule="atLeast"/>
        </w:trPr>
        <w:tc>
          <w:tcPr>
            <w:tcW w:w="1694"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159"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2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136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130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5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1694"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159"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0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5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1694"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159"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0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5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1694"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159"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0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5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4853"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2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20,896.22</w:t>
            </w:r>
          </w:p>
        </w:tc>
        <w:tc>
          <w:tcPr>
            <w:tcW w:w="12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20,896.22</w:t>
            </w:r>
          </w:p>
        </w:tc>
        <w:tc>
          <w:tcPr>
            <w:tcW w:w="12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p>
        </w:tc>
        <w:tc>
          <w:tcPr>
            <w:tcW w:w="12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p>
        </w:tc>
        <w:tc>
          <w:tcPr>
            <w:tcW w:w="13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p>
        </w:tc>
        <w:tc>
          <w:tcPr>
            <w:tcW w:w="13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p>
        </w:tc>
        <w:tc>
          <w:tcPr>
            <w:tcW w:w="14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p>
        </w:tc>
        <w:tc>
          <w:tcPr>
            <w:tcW w:w="14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10.00</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10.00</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20104</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发展与改革事务</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10.00</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10.00</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2010499</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其他发展与改革事务支出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10.00</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10.00</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1,312.01</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1,312.01</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1,312.01</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1,312.01</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2080501</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行政单位离退休</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75.99</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75.99</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2080502</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事业单位离退休</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140.72</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140.72</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335.02</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335.02</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315.88</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315.88</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444.39</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444.39</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289.72</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289.72</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289.72</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289.72</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22.91</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22.91</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127.61</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127.61</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139.20</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139.20</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节能环保支出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6,297.24</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6,297.24</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21104</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自然生态保护</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664.60</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664.60</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2110401</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生态保护</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559.69</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559.69</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2110499</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其他自然生态保护支出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104.90</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104.90</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21105</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天然林保护</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2,517.32</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2,517.32</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2110501</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森林管护</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84.33</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84.33</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2110502</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社会保险补助</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279.75</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279.75</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2110507</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停伐补助</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1,845.29</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1,845.29</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2110599</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其他天然林保护支出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307.95</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307.95</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21106</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退耕还林还草</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3,115.32</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3,115.32</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2110602</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退耕现金</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2,988.52</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2,988.52</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2110605</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退耕还林工程建设</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16.98</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16.98</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2110699</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其他退耕还林还草支出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109.82</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109.82</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12,156.77</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12,156.77</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21302</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林业和草原</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11,977.54</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11,977.54</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2130201</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741.29</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741.29</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2130204</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事业机构</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3,968.40</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3,968.40</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2130205</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森林资源培育</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3,315.96</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3,315.96</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2130207</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森林资源管理</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1,756.99</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1,756.99</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2130209</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森林生态效益补偿</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1,046.09</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1,046.09</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2130211</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动植物保护</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0.55</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0.55</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2130212</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湿地保护</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21.23</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21.23</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2130213</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执法与监督</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10.00</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10.00</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2130217</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防沙治沙</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6.80</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6.80</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2130226</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林区公共支出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0.94</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0.94</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2130234</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林业草原防灾减灾</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167.71</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167.71</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2130299</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其他林业和草原支出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941.58</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941.58</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21305</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巩固拓展脱贫攻坚成果衔接乡村振兴</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51.65</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51.65</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2130505</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生产发展</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51.65</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51.65</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21308</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普惠金融发展支出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127.58</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127.58</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2130803</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农业保险保费补贴</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127.58</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127.58</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220</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自然资源海洋气象等支出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68.41</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68.41</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22001</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自然资源事务</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68.41</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68.41</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2200106</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自然资源利用与保护</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68.41</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68.41</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223.32</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223.32</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223.32</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223.32</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223.32</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223.32</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灾害防治及应急管理支出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538.75</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538.75</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22406</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自然灾害防治</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538.75</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538.75</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2240602</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森林草原防灾减灾</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538.75</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538.75</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r>
    </w:tbl>
    <w:p>
      <w:pPr>
        <w:ind w:left="600" w:hanging="600" w:hangingChars="300"/>
        <w:rPr>
          <w:rFonts w:hint="default" w:cs="宋体"/>
          <w:sz w:val="20"/>
          <w:szCs w:val="20"/>
        </w:rPr>
      </w:pPr>
      <w:r>
        <w:rPr>
          <w:rFonts w:cs="宋体"/>
          <w:sz w:val="20"/>
          <w:szCs w:val="20"/>
        </w:rPr>
        <w:t>备注：1.本表反映部门本年度取得的各项收入情况。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0"/>
          <w:szCs w:val="20"/>
        </w:rPr>
      </w:pPr>
      <w:r>
        <w:rPr>
          <w:rFonts w:cs="宋体"/>
          <w:sz w:val="20"/>
          <w:szCs w:val="20"/>
        </w:rPr>
        <w:br w:type="page"/>
      </w:r>
    </w:p>
    <w:tbl>
      <w:tblPr>
        <w:tblStyle w:val="7"/>
        <w:tblW w:w="15322" w:type="dxa"/>
        <w:tblInd w:w="0" w:type="dxa"/>
        <w:tblLayout w:type="fixed"/>
        <w:tblCellMar>
          <w:top w:w="0" w:type="dxa"/>
          <w:left w:w="0" w:type="dxa"/>
          <w:bottom w:w="0" w:type="dxa"/>
          <w:right w:w="0" w:type="dxa"/>
        </w:tblCellMar>
      </w:tblPr>
      <w:tblGrid>
        <w:gridCol w:w="1795"/>
        <w:gridCol w:w="3343"/>
        <w:gridCol w:w="1695"/>
        <w:gridCol w:w="1695"/>
        <w:gridCol w:w="1695"/>
        <w:gridCol w:w="1679"/>
        <w:gridCol w:w="1679"/>
        <w:gridCol w:w="1741"/>
      </w:tblGrid>
      <w:tr>
        <w:tblPrEx>
          <w:tblCellMar>
            <w:top w:w="0" w:type="dxa"/>
            <w:left w:w="0" w:type="dxa"/>
            <w:bottom w:w="0" w:type="dxa"/>
            <w:right w:w="0" w:type="dxa"/>
          </w:tblCellMar>
        </w:tblPrEx>
        <w:trPr>
          <w:trHeight w:val="654" w:hRule="atLeast"/>
        </w:trPr>
        <w:tc>
          <w:tcPr>
            <w:tcW w:w="15322"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CellMar>
            <w:top w:w="0" w:type="dxa"/>
            <w:left w:w="0" w:type="dxa"/>
            <w:bottom w:w="0" w:type="dxa"/>
            <w:right w:w="0" w:type="dxa"/>
          </w:tblCellMar>
        </w:tblPrEx>
        <w:trPr>
          <w:trHeight w:val="342" w:hRule="atLeast"/>
        </w:trPr>
        <w:tc>
          <w:tcPr>
            <w:tcW w:w="6833"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公开部门</w:t>
            </w:r>
            <w:r>
              <w:rPr>
                <w:rFonts w:cs="宋体"/>
                <w:color w:val="000000"/>
                <w:sz w:val="20"/>
                <w:szCs w:val="20"/>
              </w:rPr>
              <w:t xml:space="preserve">： </w:t>
            </w:r>
            <w:r>
              <w:rPr>
                <w:color w:val="000000"/>
                <w:sz w:val="20"/>
              </w:rPr>
              <w:t xml:space="preserve">重庆市丰都县林业局 </w:t>
            </w:r>
          </w:p>
        </w:tc>
        <w:tc>
          <w:tcPr>
            <w:tcW w:w="169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9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7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7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41"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公开03表</w:t>
            </w:r>
          </w:p>
        </w:tc>
      </w:tr>
      <w:tr>
        <w:tblPrEx>
          <w:tblCellMar>
            <w:top w:w="0" w:type="dxa"/>
            <w:left w:w="0" w:type="dxa"/>
            <w:bottom w:w="0" w:type="dxa"/>
            <w:right w:w="0" w:type="dxa"/>
          </w:tblCellMar>
        </w:tblPrEx>
        <w:trPr>
          <w:trHeight w:val="342" w:hRule="atLeast"/>
        </w:trPr>
        <w:tc>
          <w:tcPr>
            <w:tcW w:w="6833"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9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9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7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7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41"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62" w:hRule="atLeast"/>
        </w:trPr>
        <w:tc>
          <w:tcPr>
            <w:tcW w:w="5138"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69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169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69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67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167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174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CellMar>
            <w:top w:w="0" w:type="dxa"/>
            <w:left w:w="0" w:type="dxa"/>
            <w:bottom w:w="0" w:type="dxa"/>
            <w:right w:w="0" w:type="dxa"/>
          </w:tblCellMar>
        </w:tblPrEx>
        <w:trPr>
          <w:trHeight w:val="338" w:hRule="atLeast"/>
        </w:trPr>
        <w:tc>
          <w:tcPr>
            <w:tcW w:w="1795"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343"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79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43"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79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43"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79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43"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62" w:hRule="atLeast"/>
        </w:trPr>
        <w:tc>
          <w:tcPr>
            <w:tcW w:w="5138"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6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21,981.25</w:t>
            </w:r>
          </w:p>
        </w:tc>
        <w:tc>
          <w:tcPr>
            <w:tcW w:w="16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6,535.28</w:t>
            </w:r>
          </w:p>
        </w:tc>
        <w:tc>
          <w:tcPr>
            <w:tcW w:w="16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15,445.97</w:t>
            </w:r>
          </w:p>
        </w:tc>
        <w:tc>
          <w:tcPr>
            <w:tcW w:w="167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p>
        </w:tc>
        <w:tc>
          <w:tcPr>
            <w:tcW w:w="167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p>
        </w:tc>
        <w:tc>
          <w:tcPr>
            <w:tcW w:w="17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24.80</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24.80</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20104</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发展与改革事务</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23.00</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23.00</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2010499</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其他发展与改革事务支出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23.00</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23.00</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20113</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商贸事务</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1.80</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1.80</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2011308</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招商引资</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1.80</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1.80</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1,312.01</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1,312.01</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1,312.01</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1,312.01</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2080501</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行政单位离退休</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75.99</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75.99</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2080502</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事业单位离退休</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140.72</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140.72</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335.02</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335.02</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315.88</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315.88</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444.39</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444.39</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289.72</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289.72</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289.72</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289.72</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22.91</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22.91</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127.61</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127.61</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139.20</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139.20</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节能环保支出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6,540.13</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6,540.13</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21101</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环境保护管理事务</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60.00</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60.00</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2110199</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其他环境保护管理事务支出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60.00</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60.00</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21104</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自然生态保护</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677.03</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677.03</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2110401</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生态保护</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565.69</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565.69</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2110406</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自然保护地</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6.43</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6.43</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2110499</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其他自然生态保护支出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104.90</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104.90</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21105</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天然林保护</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2,664.01</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2,664.01</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2110501</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森林管护</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155.21</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155.21</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2110502</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社会保险补助</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303.75</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303.75</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2110507</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停伐补助</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1,845.29</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1,845.29</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2110599</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其他天然林保护支出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359.76</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359.76</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21106</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退耕还林还草</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3,139.10</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3,139.10</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2110602</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退耕现金</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2,989.46</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2,989.46</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2110605</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退耕还林工程建设</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16.98</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16.98</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2110699</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其他退耕还林还草支出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132.65</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132.65</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12,876.66</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4,710.24</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8,166.43</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21302</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林业和草原</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12,694.70</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4,710.24</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7,984.46</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2130201</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741.84</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741.84</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2130204</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事业机构</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3,968.40</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3,968.40</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2130205</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森林资源培育</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3,574.11</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3,574.11</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2130207</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森林资源管理</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1,882.70</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1,882.70</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2130209</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森林生态效益补偿</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1,122.90</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1,122.90</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2130211</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动植物保护</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15.12</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15.12</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2130212</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湿地保护</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43.93</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43.93</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2130213</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执法与监督</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15.23</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15.23</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2130217</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防沙治沙</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6.80</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6.80</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2130226</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林区公共支出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1.91</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1.91</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2130234</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林业草原防灾减灾</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254.19</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254.19</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2130299</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其他林业和草原支出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1,067.57</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1,067.57</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21305</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巩固拓展脱贫攻坚成果衔接乡村振兴</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54.38</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54.38</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2130504</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农村基础设施建设</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2.73</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2.73</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2130505</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生产发展</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51.65</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51.65</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21308</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普惠金融发展支出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127.58</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127.58</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2130803</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农业保险保费补贴</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127.58</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127.58</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交通运输支出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66.69</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66.69</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21401</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公路水路运输</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66.69</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66.69</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2140110</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公路和运输安全</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12.85</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12.85</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2140199</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其他公路水路运输支出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53.84</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53.84</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220</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自然资源海洋气象等支出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68.41</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68.41</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22001</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自然资源事务</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68.41</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68.41</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2200106</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自然资源利用与保护</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68.41</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68.41</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223.32</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223.32</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223.32</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223.32</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223.32</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223.32</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灾害防治及应急管理支出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579.51</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579.51</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22406</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自然灾害防治</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579.51</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579.51</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2240602</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森林草原防灾减灾</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579.51</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579.51</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r>
    </w:tbl>
    <w:p>
      <w:pPr>
        <w:rPr>
          <w:rFonts w:hint="default" w:cs="宋体"/>
          <w:sz w:val="20"/>
          <w:szCs w:val="20"/>
        </w:rPr>
      </w:pPr>
      <w:r>
        <w:rPr>
          <w:rFonts w:cs="宋体"/>
          <w:sz w:val="20"/>
          <w:szCs w:val="20"/>
        </w:rPr>
        <w:t>备注：1.本表反映部门本年度各项支出情况。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7"/>
        <w:tblW w:w="14678" w:type="dxa"/>
        <w:tblInd w:w="0" w:type="dxa"/>
        <w:tblLayout w:type="fixed"/>
        <w:tblCellMar>
          <w:top w:w="0" w:type="dxa"/>
          <w:left w:w="0" w:type="dxa"/>
          <w:bottom w:w="0" w:type="dxa"/>
          <w:right w:w="0" w:type="dxa"/>
        </w:tblCellMar>
      </w:tblPr>
      <w:tblGrid>
        <w:gridCol w:w="2967"/>
        <w:gridCol w:w="1521"/>
        <w:gridCol w:w="3179"/>
        <w:gridCol w:w="1694"/>
        <w:gridCol w:w="1694"/>
        <w:gridCol w:w="1694"/>
        <w:gridCol w:w="1929"/>
      </w:tblGrid>
      <w:tr>
        <w:tblPrEx>
          <w:tblCellMar>
            <w:top w:w="0" w:type="dxa"/>
            <w:left w:w="0" w:type="dxa"/>
            <w:bottom w:w="0" w:type="dxa"/>
            <w:right w:w="0" w:type="dxa"/>
          </w:tblCellMar>
        </w:tblPrEx>
        <w:trPr>
          <w:trHeight w:val="90" w:hRule="atLeast"/>
        </w:trPr>
        <w:tc>
          <w:tcPr>
            <w:tcW w:w="14678" w:type="dxa"/>
            <w:gridSpan w:val="7"/>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CellMar>
            <w:top w:w="0" w:type="dxa"/>
            <w:left w:w="0" w:type="dxa"/>
            <w:bottom w:w="0" w:type="dxa"/>
            <w:right w:w="0" w:type="dxa"/>
          </w:tblCellMar>
        </w:tblPrEx>
        <w:trPr>
          <w:trHeight w:val="90" w:hRule="atLeast"/>
        </w:trPr>
        <w:tc>
          <w:tcPr>
            <w:tcW w:w="7667" w:type="dxa"/>
            <w:gridSpan w:val="3"/>
            <w:vMerge w:val="restart"/>
            <w:tcBorders>
              <w:top w:val="nil"/>
              <w:left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公开部门</w:t>
            </w:r>
            <w:r>
              <w:rPr>
                <w:rFonts w:cs="宋体"/>
                <w:color w:val="000000"/>
                <w:sz w:val="20"/>
                <w:szCs w:val="20"/>
              </w:rPr>
              <w:t xml:space="preserve">： </w:t>
            </w:r>
            <w:r>
              <w:rPr>
                <w:color w:val="000000"/>
                <w:sz w:val="20"/>
              </w:rPr>
              <w:t>重庆市丰都县林业局</w:t>
            </w: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929" w:type="dxa"/>
            <w:tcBorders>
              <w:top w:val="nil"/>
              <w:left w:val="nil"/>
              <w:bottom w:val="nil"/>
              <w:right w:val="nil"/>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公开04表</w:t>
            </w:r>
          </w:p>
        </w:tc>
      </w:tr>
      <w:tr>
        <w:tblPrEx>
          <w:tblCellMar>
            <w:top w:w="0" w:type="dxa"/>
            <w:left w:w="0" w:type="dxa"/>
            <w:bottom w:w="0" w:type="dxa"/>
            <w:right w:w="0" w:type="dxa"/>
          </w:tblCellMar>
        </w:tblPrEx>
        <w:trPr>
          <w:trHeight w:val="90" w:hRule="atLeast"/>
        </w:trPr>
        <w:tc>
          <w:tcPr>
            <w:tcW w:w="7667" w:type="dxa"/>
            <w:gridSpan w:val="3"/>
            <w:vMerge w:val="continue"/>
            <w:tcBorders>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929"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4488"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10190" w:type="dxa"/>
            <w:gridSpan w:val="5"/>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CellMar>
            <w:top w:w="0" w:type="dxa"/>
            <w:left w:w="0" w:type="dxa"/>
            <w:bottom w:w="0" w:type="dxa"/>
            <w:right w:w="0" w:type="dxa"/>
          </w:tblCellMar>
        </w:tblPrEx>
        <w:trPr>
          <w:trHeight w:val="90" w:hRule="atLeast"/>
        </w:trPr>
        <w:tc>
          <w:tcPr>
            <w:tcW w:w="296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152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317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7011" w:type="dxa"/>
            <w:gridSpan w:val="4"/>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CellMar>
            <w:top w:w="0" w:type="dxa"/>
            <w:left w:w="0" w:type="dxa"/>
            <w:bottom w:w="0" w:type="dxa"/>
            <w:right w:w="0" w:type="dxa"/>
          </w:tblCellMar>
        </w:tblPrEx>
        <w:trPr>
          <w:trHeight w:val="90" w:hRule="atLeast"/>
        </w:trPr>
        <w:tc>
          <w:tcPr>
            <w:tcW w:w="296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52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317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169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169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192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20,896.22</w:t>
            </w: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一、一般公共服务支出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24.80</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24.80</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二、外交支出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四、公共安全支出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五、教育支出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六、科学技术支出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七、文化旅游体育与传媒支出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八、社会保障和就业支出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1,312.01</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1,312.01</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九、卫生健康支出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289.72</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289.72</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十、节能环保支出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6,540.13</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6,540.13</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十一、城乡社区支出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十二、农林水支出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12,876.11</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12,876.11</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十三、交通运输支出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66.69</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66.69</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十四、资源勘探工业信息等支出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十五、商业服务业等支出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十六、金融支出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十七、援助其他地区支出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十八、自然资源海洋气象等支出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68.41</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68.41</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十九、住房保障支出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223.32</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223.32</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二十、粮油物资储备支出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二十一、国有资本经营预算支出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二十二、灾害防治及应急管理支出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579.51</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579.51</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二十三、其他支出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二十四、债务还本支出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二十五、债务付息支出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二十六、抗疫特别国债安排的支出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本年收入合计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20,896.22</w:t>
            </w: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本年支出合计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21,980.70</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21,980.70</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年初财政拨款结转和结余</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1,166.37</w:t>
            </w: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年末财政拨款结转和结余</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81.88</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81.88</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1,166.37</w:t>
            </w:r>
          </w:p>
        </w:tc>
        <w:tc>
          <w:tcPr>
            <w:tcW w:w="317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22,062.59</w:t>
            </w: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22,062.59</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22,062.59</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bl>
    <w:p>
      <w:pPr>
        <w:spacing w:line="240" w:lineRule="exact"/>
        <w:rPr>
          <w:rFonts w:hint="default" w:cs="宋体"/>
          <w:sz w:val="20"/>
          <w:szCs w:val="20"/>
        </w:rPr>
      </w:pPr>
      <w:r>
        <w:rPr>
          <w:rFonts w:cs="宋体"/>
          <w:sz w:val="20"/>
          <w:szCs w:val="20"/>
        </w:rPr>
        <w:t>备注：1.本表反映部门本年度一般公共预算财政拨款、政府性基金预算财政拨款及国有资本经营预算财政拨款的总收支和年末结转结余情况。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15322" w:type="dxa"/>
        <w:tblInd w:w="0" w:type="dxa"/>
        <w:tblLayout w:type="fixed"/>
        <w:tblCellMar>
          <w:top w:w="0" w:type="dxa"/>
          <w:left w:w="0" w:type="dxa"/>
          <w:bottom w:w="0" w:type="dxa"/>
          <w:right w:w="0" w:type="dxa"/>
        </w:tblCellMar>
      </w:tblPr>
      <w:tblGrid>
        <w:gridCol w:w="1852"/>
        <w:gridCol w:w="3536"/>
        <w:gridCol w:w="3306"/>
        <w:gridCol w:w="3306"/>
        <w:gridCol w:w="3322"/>
      </w:tblGrid>
      <w:tr>
        <w:tblPrEx>
          <w:tblCellMar>
            <w:top w:w="0" w:type="dxa"/>
            <w:left w:w="0" w:type="dxa"/>
            <w:bottom w:w="0" w:type="dxa"/>
            <w:right w:w="0" w:type="dxa"/>
          </w:tblCellMar>
        </w:tblPrEx>
        <w:trPr>
          <w:trHeight w:val="510" w:hRule="atLeast"/>
        </w:trPr>
        <w:tc>
          <w:tcPr>
            <w:tcW w:w="15322" w:type="dxa"/>
            <w:gridSpan w:val="5"/>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CellMar>
            <w:top w:w="0" w:type="dxa"/>
            <w:left w:w="0" w:type="dxa"/>
            <w:bottom w:w="0" w:type="dxa"/>
            <w:right w:w="0" w:type="dxa"/>
          </w:tblCellMar>
        </w:tblPrEx>
        <w:trPr>
          <w:trHeight w:val="255" w:hRule="atLeast"/>
        </w:trPr>
        <w:tc>
          <w:tcPr>
            <w:tcW w:w="8694"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公开部门</w:t>
            </w:r>
            <w:r>
              <w:rPr>
                <w:rFonts w:cs="宋体"/>
                <w:color w:val="000000"/>
                <w:sz w:val="20"/>
                <w:szCs w:val="20"/>
              </w:rPr>
              <w:t xml:space="preserve">： </w:t>
            </w:r>
            <w:r>
              <w:rPr>
                <w:color w:val="000000"/>
                <w:sz w:val="20"/>
              </w:rPr>
              <w:t>重庆市丰都县林业局</w:t>
            </w:r>
          </w:p>
        </w:tc>
        <w:tc>
          <w:tcPr>
            <w:tcW w:w="330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322"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公开05表</w:t>
            </w:r>
          </w:p>
        </w:tc>
      </w:tr>
      <w:tr>
        <w:tblPrEx>
          <w:tblCellMar>
            <w:top w:w="0" w:type="dxa"/>
            <w:left w:w="0" w:type="dxa"/>
            <w:bottom w:w="0" w:type="dxa"/>
            <w:right w:w="0" w:type="dxa"/>
          </w:tblCellMar>
        </w:tblPrEx>
        <w:trPr>
          <w:trHeight w:val="285" w:hRule="atLeast"/>
        </w:trPr>
        <w:tc>
          <w:tcPr>
            <w:tcW w:w="8694"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30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322"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08" w:hRule="atLeast"/>
        </w:trPr>
        <w:tc>
          <w:tcPr>
            <w:tcW w:w="5388"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9934"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26" w:hRule="atLeast"/>
        </w:trPr>
        <w:tc>
          <w:tcPr>
            <w:tcW w:w="185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53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330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0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32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26" w:hRule="atLeast"/>
        </w:trPr>
        <w:tc>
          <w:tcPr>
            <w:tcW w:w="185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53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0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0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2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5" w:hRule="atLeast"/>
        </w:trPr>
        <w:tc>
          <w:tcPr>
            <w:tcW w:w="185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53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0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0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2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08" w:hRule="atLeast"/>
        </w:trPr>
        <w:tc>
          <w:tcPr>
            <w:tcW w:w="5388"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21,980.70</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6,534.74</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15,445.97</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24.80</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24.80</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20104</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发展与改革事务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23.00</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23.00</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2010499</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其他发展与改革事务支出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23.00</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23.00</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20113</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商贸事务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1.80</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1.80</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2011308</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招商引资</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1.80</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1.80</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1,312.01</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1,312.01</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1,312.01</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1,312.01</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2080501</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行政单位离退休</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75.99</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75.99</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2080502</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事业单位离退休</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140.72</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140.72</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335.02</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335.02</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315.88</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315.88</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444.39</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444.39</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289.72</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289.72</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289.72</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289.72</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22.91</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22.91</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127.61</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127.61</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139.20</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139.20</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节能环保支出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6,540.13</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6,540.13</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21101</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环境保护管理事务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60.00</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60.00</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2110199</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其他环境保护管理事务支出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60.00</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60.00</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21104</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自然生态保护</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677.03</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677.03</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2110401</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生态保护</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565.69</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565.69</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2110406</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自然保护地</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6.43</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6.43</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2110499</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其他自然生态保护支出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104.90</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104.90</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21105</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天然林保护</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2,664.01</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2,664.01</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2110501</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森林管护</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155.21</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155.21</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2110502</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社会保险补助</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303.75</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303.75</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2110507</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停伐补助</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1,845.29</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1,845.29</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2110599</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其他天然林保护支出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359.76</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359.76</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21106</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退耕还林还草</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3,139.10</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3,139.10</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2110602</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退耕现金</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2,989.46</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2,989.46</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2110605</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退耕还林工程建设</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16.98</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16.98</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2110699</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其他退耕还林还草支出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132.65</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132.65</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12,876.11</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4,709.69</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8,166.43</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21302</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林业和草原</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12,694.15</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4,709.69</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7,984.46</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2130201</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741.29</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741.29</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2130204</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事业机构</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3,968.40</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3,968.40</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2130205</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森林资源培育</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3,574.11</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3,574.11</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2130207</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森林资源管理</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1,882.70</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1,882.70</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2130209</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森林生态效益补偿</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1,122.90</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1,122.90</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2130211</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动植物保护</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15.12</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15.12</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2130212</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湿地保护</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43.93</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43.93</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2130213</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执法与监督</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15.23</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15.23</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2130217</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防沙治沙</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6.80</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6.80</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2130226</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林区公共支出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1.91</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1.91</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2130234</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林业草原防灾减灾</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254.19</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254.19</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2130299</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其他林业和草原支出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1,067.57</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1,067.57</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21305</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巩固拓展脱贫攻坚成果衔接乡村振兴</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54.38</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54.38</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2130504</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农村基础设施建设</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2.73</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2.73</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2130505</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生产发展</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51.65</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51.65</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21308</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普惠金融发展支出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127.58</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127.58</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2130803</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农业保险保费补贴</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127.58</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127.58</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交通运输支出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66.69</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66.69</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21401</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公路水路运输</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66.69</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66.69</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2140110</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公路和运输安全</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12.85</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12.85</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2140199</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其他公路水路运输支出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53.84</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53.84</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220</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自然资源海洋气象等支出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68.41</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68.41</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22001</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自然资源事务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68.41</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68.41</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2200106</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自然资源利用与保护</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68.41</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68.41</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223.32</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223.32</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223.32</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223.32</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223.32</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223.32</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灾害防治及应急管理支出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579.51</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579.51</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22406</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自然灾害防治</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579.51</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579.51</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2240602</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森林草原防灾减灾</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579.51</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579.51</w:t>
            </w:r>
          </w:p>
        </w:tc>
      </w:tr>
    </w:tbl>
    <w:p>
      <w:pPr>
        <w:rPr>
          <w:rFonts w:hint="default" w:cs="宋体"/>
          <w:sz w:val="21"/>
          <w:szCs w:val="21"/>
        </w:rPr>
      </w:pPr>
      <w:r>
        <w:rPr>
          <w:rFonts w:cs="宋体"/>
          <w:sz w:val="20"/>
          <w:szCs w:val="20"/>
        </w:rPr>
        <w:t>备注：1.本表反映部门本年度一般公共预算财政拨款支出情况。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7"/>
        <w:tblW w:w="15304" w:type="dxa"/>
        <w:tblInd w:w="0" w:type="dxa"/>
        <w:tblLayout w:type="fixed"/>
        <w:tblCellMar>
          <w:top w:w="0" w:type="dxa"/>
          <w:left w:w="0" w:type="dxa"/>
          <w:bottom w:w="0" w:type="dxa"/>
          <w:right w:w="0" w:type="dxa"/>
        </w:tblCellMar>
      </w:tblPr>
      <w:tblGrid>
        <w:gridCol w:w="603"/>
        <w:gridCol w:w="2730"/>
        <w:gridCol w:w="1371"/>
        <w:gridCol w:w="833"/>
        <w:gridCol w:w="1916"/>
        <w:gridCol w:w="1650"/>
        <w:gridCol w:w="805"/>
        <w:gridCol w:w="3514"/>
        <w:gridCol w:w="1882"/>
      </w:tblGrid>
      <w:tr>
        <w:tblPrEx>
          <w:tblCellMar>
            <w:top w:w="0" w:type="dxa"/>
            <w:left w:w="0" w:type="dxa"/>
            <w:bottom w:w="0" w:type="dxa"/>
            <w:right w:w="0" w:type="dxa"/>
          </w:tblCellMar>
        </w:tblPrEx>
        <w:trPr>
          <w:trHeight w:val="90" w:hRule="atLeast"/>
        </w:trPr>
        <w:tc>
          <w:tcPr>
            <w:tcW w:w="15304" w:type="dxa"/>
            <w:gridSpan w:val="9"/>
            <w:tcBorders>
              <w:top w:val="nil"/>
              <w:left w:val="nil"/>
              <w:bottom w:val="nil"/>
              <w:right w:val="nil"/>
            </w:tcBorders>
            <w:shd w:val="clear" w:color="auto" w:fill="auto"/>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CellMar>
            <w:top w:w="0" w:type="dxa"/>
            <w:left w:w="0" w:type="dxa"/>
            <w:bottom w:w="0" w:type="dxa"/>
            <w:right w:w="0" w:type="dxa"/>
          </w:tblCellMar>
        </w:tblPrEx>
        <w:trPr>
          <w:trHeight w:val="90" w:hRule="atLeast"/>
        </w:trPr>
        <w:tc>
          <w:tcPr>
            <w:tcW w:w="7453" w:type="dxa"/>
            <w:gridSpan w:val="5"/>
            <w:vMerge w:val="restart"/>
            <w:tcBorders>
              <w:top w:val="nil"/>
              <w:left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公开部门</w:t>
            </w:r>
            <w:r>
              <w:rPr>
                <w:rFonts w:cs="宋体"/>
                <w:color w:val="000000"/>
                <w:sz w:val="20"/>
                <w:szCs w:val="20"/>
              </w:rPr>
              <w:t xml:space="preserve">： </w:t>
            </w:r>
            <w:r>
              <w:rPr>
                <w:color w:val="000000"/>
                <w:sz w:val="20"/>
              </w:rPr>
              <w:t>重庆市丰都县林业局</w:t>
            </w:r>
          </w:p>
        </w:tc>
        <w:tc>
          <w:tcPr>
            <w:tcW w:w="165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05"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51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882"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公开06表</w:t>
            </w:r>
          </w:p>
        </w:tc>
      </w:tr>
      <w:tr>
        <w:tblPrEx>
          <w:tblCellMar>
            <w:top w:w="0" w:type="dxa"/>
            <w:left w:w="0" w:type="dxa"/>
            <w:bottom w:w="0" w:type="dxa"/>
            <w:right w:w="0" w:type="dxa"/>
          </w:tblCellMar>
        </w:tblPrEx>
        <w:trPr>
          <w:trHeight w:val="90" w:hRule="atLeast"/>
        </w:trPr>
        <w:tc>
          <w:tcPr>
            <w:tcW w:w="7453" w:type="dxa"/>
            <w:gridSpan w:val="5"/>
            <w:vMerge w:val="continue"/>
            <w:tcBorders>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5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05"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51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882"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4704" w:type="dxa"/>
            <w:gridSpan w:val="3"/>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10600" w:type="dxa"/>
            <w:gridSpan w:val="6"/>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tblPrEx>
          <w:tblCellMar>
            <w:top w:w="0" w:type="dxa"/>
            <w:left w:w="0" w:type="dxa"/>
            <w:bottom w:w="0" w:type="dxa"/>
            <w:right w:w="0" w:type="dxa"/>
          </w:tblCellMar>
        </w:tblPrEx>
        <w:trPr>
          <w:trHeight w:val="312" w:hRule="atLeast"/>
        </w:trPr>
        <w:tc>
          <w:tcPr>
            <w:tcW w:w="603"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73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经济分类科目（按“款”级经济分类科目）</w:t>
            </w:r>
          </w:p>
        </w:tc>
        <w:tc>
          <w:tcPr>
            <w:tcW w:w="137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33"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91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经济分类科目（按“款”级经济类科目）</w:t>
            </w:r>
          </w:p>
        </w:tc>
        <w:tc>
          <w:tcPr>
            <w:tcW w:w="165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05"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351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经济分类科目（按“款”级经济分类科目）</w:t>
            </w:r>
          </w:p>
        </w:tc>
        <w:tc>
          <w:tcPr>
            <w:tcW w:w="188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r>
      <w:tr>
        <w:tblPrEx>
          <w:tblCellMar>
            <w:top w:w="0" w:type="dxa"/>
            <w:left w:w="0" w:type="dxa"/>
            <w:bottom w:w="0" w:type="dxa"/>
            <w:right w:w="0" w:type="dxa"/>
          </w:tblCellMar>
        </w:tblPrEx>
        <w:trPr>
          <w:trHeight w:val="312" w:hRule="atLeast"/>
        </w:trPr>
        <w:tc>
          <w:tcPr>
            <w:tcW w:w="60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273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37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83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91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65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80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351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88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工资福利支出</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4,900.88</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商品和服务支出</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831.47</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资本性支出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12.56</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30101</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1,115.23</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30201</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122.54</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31001</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30102</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252.77</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30202</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0.34</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31002</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12.56</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30103</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219.15</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30203</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18.85</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31003</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30106</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30204</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31005</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30107</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2,108.82</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30205</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1.02</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31006</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30108</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366.53</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30206</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14.44</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31007</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30109</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333.09</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30207</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32.70</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31008</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30110</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155.36</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30208</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31009</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30111</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30209</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3.87</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31010</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30112</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48.57</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30211</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114.42</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31011</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30113</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245.67</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30212</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31012</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30114</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55.69</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30213</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13.05</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31013</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30199</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30214</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1.25</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31019</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对个人和家庭的补助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789.83</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30215</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0.21</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31021</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30301</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30216</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4.29</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31022</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30302</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30217</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13.10</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31099</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30303</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30218</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对企业补助</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30304</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91.16</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30224</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31201</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30305</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540.05</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30225</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31203</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30306</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30226</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71.49</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31204</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30307</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131.74</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30227</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4.84</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31205</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30308</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30228</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178.31</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31299</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30309</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26.87</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30229</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19.39</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其他支出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30310</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30231</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35.47</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39907</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30311</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30239</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29.80</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39908</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30399</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30240</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39909</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30299</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152.09</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39910</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债务利息及费用支出</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39999</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30701</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30702</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30703</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30704</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3333"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137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bottom"/>
              <w:rPr>
                <w:rFonts w:hint="default" w:cs="宋体"/>
                <w:color w:val="000000"/>
                <w:sz w:val="18"/>
                <w:szCs w:val="18"/>
              </w:rPr>
            </w:pPr>
            <w:r>
              <w:rPr>
                <w:rFonts w:cs="宋体"/>
                <w:color w:val="000000"/>
                <w:sz w:val="18"/>
                <w:szCs w:val="18"/>
              </w:rPr>
              <w:t>5,690.71</w:t>
            </w:r>
          </w:p>
        </w:tc>
        <w:tc>
          <w:tcPr>
            <w:tcW w:w="8718" w:type="dxa"/>
            <w:gridSpan w:val="5"/>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188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844.03</w:t>
            </w:r>
          </w:p>
        </w:tc>
      </w:tr>
    </w:tbl>
    <w:p>
      <w:pPr>
        <w:spacing w:line="280" w:lineRule="exact"/>
        <w:rPr>
          <w:rFonts w:hint="default" w:cs="宋体"/>
          <w:sz w:val="20"/>
          <w:szCs w:val="20"/>
        </w:rPr>
      </w:pPr>
      <w:r>
        <w:rPr>
          <w:rFonts w:cs="宋体"/>
          <w:sz w:val="20"/>
          <w:szCs w:val="20"/>
        </w:rPr>
        <w:t>备注：1.本表反映部门本年度一般公共预算财政拨款基本支出明细情况。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15322" w:type="dxa"/>
        <w:tblInd w:w="0" w:type="dxa"/>
        <w:tblLayout w:type="fixed"/>
        <w:tblCellMar>
          <w:top w:w="0" w:type="dxa"/>
          <w:left w:w="0" w:type="dxa"/>
          <w:bottom w:w="0" w:type="dxa"/>
          <w:right w:w="0" w:type="dxa"/>
        </w:tblCellMar>
      </w:tblPr>
      <w:tblGrid>
        <w:gridCol w:w="1847"/>
        <w:gridCol w:w="3077"/>
        <w:gridCol w:w="1701"/>
        <w:gridCol w:w="1701"/>
        <w:gridCol w:w="1701"/>
        <w:gridCol w:w="1701"/>
        <w:gridCol w:w="1765"/>
        <w:gridCol w:w="1829"/>
      </w:tblGrid>
      <w:tr>
        <w:tblPrEx>
          <w:tblCellMar>
            <w:top w:w="0" w:type="dxa"/>
            <w:left w:w="0" w:type="dxa"/>
            <w:bottom w:w="0" w:type="dxa"/>
            <w:right w:w="0" w:type="dxa"/>
          </w:tblCellMar>
        </w:tblPrEx>
        <w:trPr>
          <w:trHeight w:val="644" w:hRule="atLeast"/>
        </w:trPr>
        <w:tc>
          <w:tcPr>
            <w:tcW w:w="15322"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CellMar>
            <w:top w:w="0" w:type="dxa"/>
            <w:left w:w="0" w:type="dxa"/>
            <w:bottom w:w="0" w:type="dxa"/>
            <w:right w:w="0" w:type="dxa"/>
          </w:tblCellMar>
        </w:tblPrEx>
        <w:trPr>
          <w:trHeight w:val="329" w:hRule="atLeast"/>
        </w:trPr>
        <w:tc>
          <w:tcPr>
            <w:tcW w:w="6625"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公开部门</w:t>
            </w:r>
            <w:r>
              <w:rPr>
                <w:rFonts w:cs="宋体"/>
                <w:color w:val="000000"/>
                <w:sz w:val="20"/>
                <w:szCs w:val="20"/>
              </w:rPr>
              <w:t xml:space="preserve">： </w:t>
            </w:r>
            <w:r>
              <w:rPr>
                <w:color w:val="000000"/>
                <w:sz w:val="20"/>
              </w:rPr>
              <w:t>重庆市丰都县林业局</w:t>
            </w: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6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829"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公开07表</w:t>
            </w:r>
          </w:p>
        </w:tc>
      </w:tr>
      <w:tr>
        <w:tblPrEx>
          <w:tblCellMar>
            <w:top w:w="0" w:type="dxa"/>
            <w:left w:w="0" w:type="dxa"/>
            <w:bottom w:w="0" w:type="dxa"/>
            <w:right w:w="0" w:type="dxa"/>
          </w:tblCellMar>
        </w:tblPrEx>
        <w:trPr>
          <w:trHeight w:val="329" w:hRule="atLeast"/>
        </w:trPr>
        <w:tc>
          <w:tcPr>
            <w:tcW w:w="6625"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6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829"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39" w:hRule="atLeast"/>
        </w:trPr>
        <w:tc>
          <w:tcPr>
            <w:tcW w:w="4924"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1701"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5167"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182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CellMar>
            <w:top w:w="0" w:type="dxa"/>
            <w:left w:w="0" w:type="dxa"/>
            <w:bottom w:w="0" w:type="dxa"/>
            <w:right w:w="0" w:type="dxa"/>
          </w:tblCellMar>
        </w:tblPrEx>
        <w:trPr>
          <w:trHeight w:val="335" w:hRule="atLeast"/>
        </w:trPr>
        <w:tc>
          <w:tcPr>
            <w:tcW w:w="184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07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1"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76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8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5" w:hRule="atLeast"/>
        </w:trPr>
        <w:tc>
          <w:tcPr>
            <w:tcW w:w="18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7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6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8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45" w:hRule="atLeast"/>
        </w:trPr>
        <w:tc>
          <w:tcPr>
            <w:tcW w:w="18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7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6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8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4924"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p>
        </w:tc>
        <w:tc>
          <w:tcPr>
            <w:tcW w:w="18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p>
        </w:tc>
      </w:tr>
    </w:tbl>
    <w:p>
      <w:pPr>
        <w:rPr>
          <w:rFonts w:hint="default" w:cs="宋体"/>
          <w:sz w:val="21"/>
          <w:szCs w:val="21"/>
        </w:rPr>
      </w:pPr>
      <w:r>
        <w:rPr>
          <w:rFonts w:cs="宋体"/>
          <w:sz w:val="20"/>
          <w:szCs w:val="20"/>
        </w:rPr>
        <w:t>备注：本表反映部门本年度政府性基金预算财政拨款收入支出及结转和结余情况。本部门无政府性基金收支，故本表无数据。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7"/>
        <w:tblW w:w="15322" w:type="dxa"/>
        <w:tblInd w:w="0" w:type="dxa"/>
        <w:tblLayout w:type="fixed"/>
        <w:tblCellMar>
          <w:top w:w="0" w:type="dxa"/>
          <w:left w:w="0" w:type="dxa"/>
          <w:bottom w:w="0" w:type="dxa"/>
          <w:right w:w="0" w:type="dxa"/>
        </w:tblCellMar>
      </w:tblPr>
      <w:tblGrid>
        <w:gridCol w:w="1875"/>
        <w:gridCol w:w="3049"/>
        <w:gridCol w:w="3264"/>
        <w:gridCol w:w="199"/>
        <w:gridCol w:w="3463"/>
        <w:gridCol w:w="77"/>
        <w:gridCol w:w="3395"/>
      </w:tblGrid>
      <w:tr>
        <w:tblPrEx>
          <w:tblCellMar>
            <w:top w:w="0" w:type="dxa"/>
            <w:left w:w="0" w:type="dxa"/>
            <w:bottom w:w="0" w:type="dxa"/>
            <w:right w:w="0" w:type="dxa"/>
          </w:tblCellMar>
        </w:tblPrEx>
        <w:trPr>
          <w:trHeight w:val="650" w:hRule="atLeast"/>
        </w:trPr>
        <w:tc>
          <w:tcPr>
            <w:tcW w:w="15322" w:type="dxa"/>
            <w:gridSpan w:val="7"/>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CellMar>
            <w:top w:w="0" w:type="dxa"/>
            <w:left w:w="0" w:type="dxa"/>
            <w:bottom w:w="0" w:type="dxa"/>
            <w:right w:w="0" w:type="dxa"/>
          </w:tblCellMar>
        </w:tblPrEx>
        <w:trPr>
          <w:trHeight w:val="332" w:hRule="atLeast"/>
        </w:trPr>
        <w:tc>
          <w:tcPr>
            <w:tcW w:w="8188"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公开部门</w:t>
            </w:r>
            <w:r>
              <w:rPr>
                <w:rFonts w:cs="宋体"/>
                <w:color w:val="000000"/>
                <w:sz w:val="20"/>
                <w:szCs w:val="20"/>
              </w:rPr>
              <w:t xml:space="preserve">： </w:t>
            </w:r>
            <w:r>
              <w:rPr>
                <w:color w:val="000000"/>
                <w:sz w:val="20"/>
              </w:rPr>
              <w:t>重庆市丰都县林业局</w:t>
            </w:r>
          </w:p>
        </w:tc>
        <w:tc>
          <w:tcPr>
            <w:tcW w:w="3739" w:type="dxa"/>
            <w:gridSpan w:val="3"/>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395"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公开08表</w:t>
            </w:r>
          </w:p>
        </w:tc>
      </w:tr>
      <w:tr>
        <w:tblPrEx>
          <w:tblCellMar>
            <w:top w:w="0" w:type="dxa"/>
            <w:left w:w="0" w:type="dxa"/>
            <w:bottom w:w="0" w:type="dxa"/>
            <w:right w:w="0" w:type="dxa"/>
          </w:tblCellMar>
        </w:tblPrEx>
        <w:trPr>
          <w:trHeight w:val="332" w:hRule="atLeast"/>
        </w:trPr>
        <w:tc>
          <w:tcPr>
            <w:tcW w:w="8188"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739" w:type="dxa"/>
            <w:gridSpan w:val="3"/>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395"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22" w:hRule="atLeast"/>
        </w:trPr>
        <w:tc>
          <w:tcPr>
            <w:tcW w:w="4924"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0398" w:type="dxa"/>
            <w:gridSpan w:val="5"/>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39" w:hRule="atLeast"/>
        </w:trPr>
        <w:tc>
          <w:tcPr>
            <w:tcW w:w="1875"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04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3463" w:type="dxa"/>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6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472" w:type="dxa"/>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39" w:hRule="atLeast"/>
        </w:trPr>
        <w:tc>
          <w:tcPr>
            <w:tcW w:w="187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2"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187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2"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26" w:hRule="atLeast"/>
        </w:trPr>
        <w:tc>
          <w:tcPr>
            <w:tcW w:w="187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2"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1" w:hRule="atLeast"/>
        </w:trPr>
        <w:tc>
          <w:tcPr>
            <w:tcW w:w="4924"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6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p>
        </w:tc>
        <w:tc>
          <w:tcPr>
            <w:tcW w:w="3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b/>
                <w:color w:val="000000"/>
                <w:sz w:val="20"/>
                <w:szCs w:val="20"/>
              </w:rPr>
            </w:pPr>
          </w:p>
        </w:tc>
        <w:tc>
          <w:tcPr>
            <w:tcW w:w="347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p>
        </w:tc>
      </w:tr>
    </w:tbl>
    <w:p>
      <w:pPr>
        <w:rPr>
          <w:rFonts w:hint="default" w:cs="宋体"/>
          <w:sz w:val="21"/>
          <w:szCs w:val="21"/>
        </w:rPr>
      </w:pPr>
      <w:r>
        <w:rPr>
          <w:rFonts w:cs="宋体"/>
          <w:sz w:val="20"/>
          <w:szCs w:val="20"/>
        </w:rPr>
        <w:t>备注：本表反映部门本年度国有资本经营预算财政拨款支出情况。本部门无国有资本经营收支，故本表无数据。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hint="default" w:cs="宋体"/>
          <w:sz w:val="21"/>
          <w:szCs w:val="21"/>
        </w:rPr>
        <w:br w:type="page"/>
      </w:r>
    </w:p>
    <w:tbl>
      <w:tblPr>
        <w:tblStyle w:val="7"/>
        <w:tblW w:w="14862" w:type="dxa"/>
        <w:tblInd w:w="0" w:type="dxa"/>
        <w:tblLayout w:type="fixed"/>
        <w:tblCellMar>
          <w:top w:w="0" w:type="dxa"/>
          <w:left w:w="170" w:type="dxa"/>
          <w:bottom w:w="0" w:type="dxa"/>
          <w:right w:w="170" w:type="dxa"/>
        </w:tblCellMar>
      </w:tblPr>
      <w:tblGrid>
        <w:gridCol w:w="4004"/>
        <w:gridCol w:w="2146"/>
        <w:gridCol w:w="2093"/>
        <w:gridCol w:w="4482"/>
        <w:gridCol w:w="2137"/>
      </w:tblGrid>
      <w:tr>
        <w:tblPrEx>
          <w:tblCellMar>
            <w:top w:w="0" w:type="dxa"/>
            <w:left w:w="170" w:type="dxa"/>
            <w:bottom w:w="0" w:type="dxa"/>
            <w:right w:w="170" w:type="dxa"/>
          </w:tblCellMar>
        </w:tblPrEx>
        <w:trPr>
          <w:trHeight w:val="343" w:hRule="atLeast"/>
        </w:trPr>
        <w:tc>
          <w:tcPr>
            <w:tcW w:w="14862" w:type="dxa"/>
            <w:gridSpan w:val="5"/>
            <w:shd w:val="clear" w:color="auto" w:fill="auto"/>
            <w:tcMar>
              <w:top w:w="15" w:type="dxa"/>
              <w:left w:w="15" w:type="dxa"/>
              <w:right w:w="15" w:type="dxa"/>
            </w:tcMar>
            <w:vAlign w:val="bottom"/>
          </w:tcPr>
          <w:p>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tblPrEx>
          <w:tblCellMar>
            <w:top w:w="0" w:type="dxa"/>
            <w:left w:w="170" w:type="dxa"/>
            <w:bottom w:w="0" w:type="dxa"/>
            <w:right w:w="170" w:type="dxa"/>
          </w:tblCellMar>
        </w:tblPrEx>
        <w:trPr>
          <w:trHeight w:val="244" w:hRule="atLeast"/>
        </w:trPr>
        <w:tc>
          <w:tcPr>
            <w:tcW w:w="4004" w:type="dxa"/>
            <w:shd w:val="clear" w:color="auto" w:fill="auto"/>
            <w:tcMar>
              <w:top w:w="15" w:type="dxa"/>
              <w:left w:w="15" w:type="dxa"/>
              <w:right w:w="15" w:type="dxa"/>
            </w:tcMar>
            <w:vAlign w:val="bottom"/>
          </w:tcPr>
          <w:p>
            <w:pPr>
              <w:spacing w:line="280" w:lineRule="exact"/>
              <w:rPr>
                <w:rFonts w:hint="default" w:cs="宋体"/>
                <w:color w:val="000000"/>
                <w:kern w:val="2"/>
                <w:sz w:val="20"/>
                <w:szCs w:val="20"/>
              </w:rPr>
            </w:pPr>
          </w:p>
        </w:tc>
        <w:tc>
          <w:tcPr>
            <w:tcW w:w="2146" w:type="dxa"/>
            <w:shd w:val="clear" w:color="auto" w:fill="auto"/>
            <w:tcMar>
              <w:top w:w="15" w:type="dxa"/>
              <w:left w:w="15" w:type="dxa"/>
              <w:right w:w="15" w:type="dxa"/>
            </w:tcMar>
            <w:vAlign w:val="bottom"/>
          </w:tcPr>
          <w:p>
            <w:pPr>
              <w:spacing w:line="280" w:lineRule="exact"/>
              <w:jc w:val="center"/>
              <w:rPr>
                <w:rFonts w:hint="default" w:cs="宋体"/>
                <w:color w:val="000000"/>
                <w:kern w:val="2"/>
                <w:sz w:val="20"/>
                <w:szCs w:val="20"/>
              </w:rPr>
            </w:pPr>
          </w:p>
        </w:tc>
        <w:tc>
          <w:tcPr>
            <w:tcW w:w="2093" w:type="dxa"/>
            <w:shd w:val="clear" w:color="auto" w:fill="auto"/>
            <w:tcMar>
              <w:top w:w="15" w:type="dxa"/>
              <w:left w:w="15" w:type="dxa"/>
              <w:right w:w="15" w:type="dxa"/>
            </w:tcMar>
            <w:vAlign w:val="bottom"/>
          </w:tcPr>
          <w:p>
            <w:pPr>
              <w:spacing w:line="280" w:lineRule="exact"/>
              <w:jc w:val="right"/>
              <w:rPr>
                <w:rFonts w:hint="default" w:cs="宋体"/>
                <w:color w:val="000000"/>
                <w:kern w:val="2"/>
                <w:sz w:val="20"/>
                <w:szCs w:val="20"/>
              </w:rPr>
            </w:pPr>
          </w:p>
        </w:tc>
        <w:tc>
          <w:tcPr>
            <w:tcW w:w="4482" w:type="dxa"/>
            <w:shd w:val="clear" w:color="auto" w:fill="auto"/>
            <w:tcMar>
              <w:top w:w="15" w:type="dxa"/>
              <w:left w:w="15" w:type="dxa"/>
              <w:right w:w="15" w:type="dxa"/>
            </w:tcMar>
            <w:vAlign w:val="bottom"/>
          </w:tcPr>
          <w:p>
            <w:pPr>
              <w:spacing w:line="280" w:lineRule="exact"/>
              <w:rPr>
                <w:rFonts w:hint="default" w:cs="宋体"/>
                <w:color w:val="000000"/>
                <w:kern w:val="2"/>
                <w:sz w:val="20"/>
                <w:szCs w:val="20"/>
              </w:rPr>
            </w:pPr>
          </w:p>
        </w:tc>
        <w:tc>
          <w:tcPr>
            <w:tcW w:w="2137" w:type="dxa"/>
            <w:shd w:val="clear" w:color="auto" w:fill="auto"/>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公开09表</w:t>
            </w:r>
          </w:p>
        </w:tc>
      </w:tr>
      <w:tr>
        <w:tblPrEx>
          <w:tblCellMar>
            <w:top w:w="0" w:type="dxa"/>
            <w:left w:w="170" w:type="dxa"/>
            <w:bottom w:w="0" w:type="dxa"/>
            <w:right w:w="170" w:type="dxa"/>
          </w:tblCellMar>
        </w:tblPrEx>
        <w:trPr>
          <w:trHeight w:val="244" w:hRule="atLeast"/>
        </w:trPr>
        <w:tc>
          <w:tcPr>
            <w:tcW w:w="6150" w:type="dxa"/>
            <w:gridSpan w:val="2"/>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rPr>
                <w:rFonts w:hint="default" w:cs="宋体"/>
                <w:color w:val="000000"/>
                <w:kern w:val="2"/>
                <w:sz w:val="20"/>
                <w:szCs w:val="20"/>
              </w:rPr>
            </w:pPr>
            <w:r>
              <w:rPr>
                <w:rFonts w:cs="宋体"/>
                <w:kern w:val="2"/>
                <w:sz w:val="20"/>
                <w:szCs w:val="20"/>
              </w:rPr>
              <w:t>公开部门</w:t>
            </w:r>
            <w:r>
              <w:rPr>
                <w:rFonts w:cs="宋体"/>
                <w:color w:val="000000"/>
                <w:kern w:val="2"/>
                <w:sz w:val="20"/>
                <w:szCs w:val="20"/>
              </w:rPr>
              <w:t xml:space="preserve">： </w:t>
            </w:r>
            <w:r>
              <w:rPr>
                <w:color w:val="000000"/>
                <w:sz w:val="20"/>
              </w:rPr>
              <w:t>重庆市丰都县林业局</w:t>
            </w:r>
          </w:p>
        </w:tc>
        <w:tc>
          <w:tcPr>
            <w:tcW w:w="2093"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right"/>
              <w:rPr>
                <w:rFonts w:hint="default" w:cs="宋体"/>
                <w:color w:val="000000"/>
                <w:kern w:val="2"/>
                <w:sz w:val="20"/>
                <w:szCs w:val="20"/>
              </w:rPr>
            </w:pPr>
          </w:p>
        </w:tc>
        <w:tc>
          <w:tcPr>
            <w:tcW w:w="4482"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rPr>
                <w:rFonts w:hint="default" w:cs="宋体"/>
                <w:color w:val="000000"/>
                <w:kern w:val="2"/>
                <w:sz w:val="20"/>
                <w:szCs w:val="20"/>
              </w:rPr>
            </w:pPr>
          </w:p>
        </w:tc>
        <w:tc>
          <w:tcPr>
            <w:tcW w:w="2137"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tblPrEx>
          <w:tblCellMar>
            <w:top w:w="0" w:type="dxa"/>
            <w:left w:w="170" w:type="dxa"/>
            <w:bottom w:w="0" w:type="dxa"/>
            <w:right w:w="170" w:type="dxa"/>
          </w:tblCellMar>
        </w:tblPrEx>
        <w:trPr>
          <w:trHeight w:val="28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146"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2093"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4482"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137"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tblPrEx>
          <w:tblCellMar>
            <w:top w:w="0" w:type="dxa"/>
            <w:left w:w="170" w:type="dxa"/>
            <w:bottom w:w="0" w:type="dxa"/>
            <w:right w:w="170" w:type="dxa"/>
          </w:tblCellMar>
        </w:tblPrEx>
        <w:trPr>
          <w:trHeight w:val="28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一、“三公”经费支出</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4482"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四、机关运行经费</w:t>
            </w:r>
          </w:p>
        </w:tc>
        <w:tc>
          <w:tcPr>
            <w:tcW w:w="21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199.89</w:t>
            </w:r>
          </w:p>
        </w:tc>
      </w:tr>
      <w:tr>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（一）支出合计</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120.65</w:t>
            </w:r>
          </w:p>
        </w:tc>
        <w:tc>
          <w:tcPr>
            <w:tcW w:w="20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120.65</w:t>
            </w:r>
          </w:p>
        </w:tc>
        <w:tc>
          <w:tcPr>
            <w:tcW w:w="4482"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（一）行政单位</w:t>
            </w:r>
          </w:p>
        </w:tc>
        <w:tc>
          <w:tcPr>
            <w:tcW w:w="21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110.45</w:t>
            </w:r>
          </w:p>
        </w:tc>
      </w:tr>
      <w:tr>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1．因公出国（境）费</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p>
        </w:tc>
        <w:tc>
          <w:tcPr>
            <w:tcW w:w="20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p>
        </w:tc>
        <w:tc>
          <w:tcPr>
            <w:tcW w:w="4482"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（二）参照公务员法管理事业单位</w:t>
            </w:r>
          </w:p>
        </w:tc>
        <w:tc>
          <w:tcPr>
            <w:tcW w:w="21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89.45</w:t>
            </w:r>
          </w:p>
        </w:tc>
      </w:tr>
      <w:tr>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2．公务用车购置及运行维护费</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107.55</w:t>
            </w:r>
          </w:p>
        </w:tc>
        <w:tc>
          <w:tcPr>
            <w:tcW w:w="20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107.55</w:t>
            </w:r>
          </w:p>
        </w:tc>
        <w:tc>
          <w:tcPr>
            <w:tcW w:w="4482"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五、资产信息</w:t>
            </w:r>
          </w:p>
        </w:tc>
        <w:tc>
          <w:tcPr>
            <w:tcW w:w="21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r>
      <w:tr>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（1）公务用车购置费</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71.95</w:t>
            </w:r>
          </w:p>
        </w:tc>
        <w:tc>
          <w:tcPr>
            <w:tcW w:w="20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71.95</w:t>
            </w:r>
          </w:p>
        </w:tc>
        <w:tc>
          <w:tcPr>
            <w:tcW w:w="4482" w:type="dxa"/>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（一）车辆数合计（辆）</w:t>
            </w:r>
          </w:p>
        </w:tc>
        <w:tc>
          <w:tcPr>
            <w:tcW w:w="21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13</w:t>
            </w:r>
          </w:p>
        </w:tc>
      </w:tr>
      <w:tr>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（2）公务用车运行维护费</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35.59</w:t>
            </w:r>
          </w:p>
        </w:tc>
        <w:tc>
          <w:tcPr>
            <w:tcW w:w="20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35.59</w:t>
            </w:r>
          </w:p>
        </w:tc>
        <w:tc>
          <w:tcPr>
            <w:tcW w:w="4482" w:type="dxa"/>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1．副部（省）级及以上领导用车</w:t>
            </w:r>
          </w:p>
        </w:tc>
        <w:tc>
          <w:tcPr>
            <w:tcW w:w="21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p>
        </w:tc>
      </w:tr>
      <w:tr>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3．公务接待费</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13.10</w:t>
            </w:r>
          </w:p>
        </w:tc>
        <w:tc>
          <w:tcPr>
            <w:tcW w:w="20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13.10</w:t>
            </w:r>
          </w:p>
        </w:tc>
        <w:tc>
          <w:tcPr>
            <w:tcW w:w="4482" w:type="dxa"/>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2．主要领导干部用车</w:t>
            </w:r>
          </w:p>
        </w:tc>
        <w:tc>
          <w:tcPr>
            <w:tcW w:w="21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p>
        </w:tc>
      </w:tr>
      <w:tr>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（1）国内接待费</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13.10</w:t>
            </w:r>
          </w:p>
        </w:tc>
        <w:tc>
          <w:tcPr>
            <w:tcW w:w="4482" w:type="dxa"/>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3．机要通信用车</w:t>
            </w:r>
          </w:p>
        </w:tc>
        <w:tc>
          <w:tcPr>
            <w:tcW w:w="21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2</w:t>
            </w:r>
          </w:p>
        </w:tc>
      </w:tr>
      <w:tr>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其中：外事接待费</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p>
        </w:tc>
        <w:tc>
          <w:tcPr>
            <w:tcW w:w="4482" w:type="dxa"/>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4．应急保障用车</w:t>
            </w:r>
          </w:p>
        </w:tc>
        <w:tc>
          <w:tcPr>
            <w:tcW w:w="21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9</w:t>
            </w:r>
          </w:p>
        </w:tc>
      </w:tr>
      <w:tr>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（2）国（境）外接待费</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p>
        </w:tc>
        <w:tc>
          <w:tcPr>
            <w:tcW w:w="4482" w:type="dxa"/>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5．执法执勤用车</w:t>
            </w:r>
          </w:p>
        </w:tc>
        <w:tc>
          <w:tcPr>
            <w:tcW w:w="21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2</w:t>
            </w:r>
          </w:p>
        </w:tc>
      </w:tr>
      <w:tr>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（二）相关统计数</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4482" w:type="dxa"/>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6．特种专业技术用车</w:t>
            </w:r>
          </w:p>
        </w:tc>
        <w:tc>
          <w:tcPr>
            <w:tcW w:w="21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p>
        </w:tc>
      </w:tr>
      <w:tr>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1．因公出国（境）团组数（个）</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p>
        </w:tc>
        <w:tc>
          <w:tcPr>
            <w:tcW w:w="4482" w:type="dxa"/>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7．离退休干部用车</w:t>
            </w:r>
          </w:p>
        </w:tc>
        <w:tc>
          <w:tcPr>
            <w:tcW w:w="21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p>
        </w:tc>
      </w:tr>
      <w:tr>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2．因公出国（境）人次数（人）</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p>
        </w:tc>
        <w:tc>
          <w:tcPr>
            <w:tcW w:w="4482" w:type="dxa"/>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8．其他用车</w:t>
            </w:r>
          </w:p>
        </w:tc>
        <w:tc>
          <w:tcPr>
            <w:tcW w:w="21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p>
        </w:tc>
      </w:tr>
      <w:tr>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3．公务用车购置数（辆）</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4</w:t>
            </w:r>
          </w:p>
        </w:tc>
        <w:tc>
          <w:tcPr>
            <w:tcW w:w="4482" w:type="dxa"/>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（二）单价100万元（含）以上设备（不含车辆）</w:t>
            </w:r>
          </w:p>
        </w:tc>
        <w:tc>
          <w:tcPr>
            <w:tcW w:w="21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p>
        </w:tc>
      </w:tr>
      <w:tr>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4．公务用车保有量（辆）</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13</w:t>
            </w:r>
          </w:p>
        </w:tc>
        <w:tc>
          <w:tcPr>
            <w:tcW w:w="4482"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六、政府采购支出信息</w:t>
            </w:r>
          </w:p>
        </w:tc>
        <w:tc>
          <w:tcPr>
            <w:tcW w:w="21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r>
      <w:tr>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5．国内公务接待批次（个）</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447</w:t>
            </w:r>
          </w:p>
        </w:tc>
        <w:tc>
          <w:tcPr>
            <w:tcW w:w="4482"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（一）政府采购支出合计</w:t>
            </w:r>
          </w:p>
        </w:tc>
        <w:tc>
          <w:tcPr>
            <w:tcW w:w="21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5.94</w:t>
            </w:r>
          </w:p>
        </w:tc>
      </w:tr>
      <w:tr>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其中：外事接待批次（个）</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p>
        </w:tc>
        <w:tc>
          <w:tcPr>
            <w:tcW w:w="4482"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1．政府采购货物支出</w:t>
            </w:r>
          </w:p>
        </w:tc>
        <w:tc>
          <w:tcPr>
            <w:tcW w:w="21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5.94</w:t>
            </w:r>
          </w:p>
        </w:tc>
      </w:tr>
      <w:tr>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6．国内公务接待人次（人）</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1,912</w:t>
            </w:r>
          </w:p>
        </w:tc>
        <w:tc>
          <w:tcPr>
            <w:tcW w:w="4482"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2．政府采购工程支出</w:t>
            </w:r>
          </w:p>
        </w:tc>
        <w:tc>
          <w:tcPr>
            <w:tcW w:w="21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p>
        </w:tc>
      </w:tr>
      <w:tr>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其中：外事接待人次（人）</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p>
        </w:tc>
        <w:tc>
          <w:tcPr>
            <w:tcW w:w="4482"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3．政府采购服务支出</w:t>
            </w:r>
          </w:p>
        </w:tc>
        <w:tc>
          <w:tcPr>
            <w:tcW w:w="21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p>
        </w:tc>
      </w:tr>
      <w:tr>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7．国（境）外公务接待批次（个）</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p>
        </w:tc>
        <w:tc>
          <w:tcPr>
            <w:tcW w:w="4482"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（二）政府采购授予中小企业合同金额</w:t>
            </w:r>
          </w:p>
        </w:tc>
        <w:tc>
          <w:tcPr>
            <w:tcW w:w="21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5.94</w:t>
            </w:r>
          </w:p>
        </w:tc>
      </w:tr>
      <w:tr>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8．国（境）外公务接待人次（人）</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p>
        </w:tc>
        <w:tc>
          <w:tcPr>
            <w:tcW w:w="4482"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其中：授予小微企业合同金额</w:t>
            </w:r>
          </w:p>
        </w:tc>
        <w:tc>
          <w:tcPr>
            <w:tcW w:w="21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5.94</w:t>
            </w:r>
          </w:p>
        </w:tc>
      </w:tr>
      <w:tr>
        <w:tblPrEx>
          <w:tblCellMar>
            <w:top w:w="0" w:type="dxa"/>
            <w:left w:w="170" w:type="dxa"/>
            <w:bottom w:w="0" w:type="dxa"/>
            <w:right w:w="170" w:type="dxa"/>
          </w:tblCellMar>
        </w:tblPrEx>
        <w:trPr>
          <w:trHeight w:val="286" w:hRule="atLeast"/>
        </w:trPr>
        <w:tc>
          <w:tcPr>
            <w:tcW w:w="4004"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二、会议费</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23.79</w:t>
            </w:r>
          </w:p>
        </w:tc>
        <w:tc>
          <w:tcPr>
            <w:tcW w:w="4482"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rPr>
                <w:rFonts w:hint="default" w:cs="宋体"/>
                <w:color w:val="000000"/>
                <w:kern w:val="2"/>
                <w:sz w:val="16"/>
                <w:szCs w:val="16"/>
              </w:rPr>
            </w:pPr>
          </w:p>
        </w:tc>
        <w:tc>
          <w:tcPr>
            <w:tcW w:w="21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rPr>
                <w:rFonts w:hint="default" w:cs="宋体"/>
                <w:color w:val="000000"/>
                <w:kern w:val="2"/>
                <w:sz w:val="16"/>
                <w:szCs w:val="16"/>
              </w:rPr>
            </w:pPr>
          </w:p>
        </w:tc>
      </w:tr>
      <w:tr>
        <w:tblPrEx>
          <w:tblCellMar>
            <w:top w:w="0" w:type="dxa"/>
            <w:left w:w="170" w:type="dxa"/>
            <w:bottom w:w="0" w:type="dxa"/>
            <w:right w:w="170" w:type="dxa"/>
          </w:tblCellMar>
        </w:tblPrEx>
        <w:trPr>
          <w:trHeight w:val="389" w:hRule="atLeast"/>
        </w:trPr>
        <w:tc>
          <w:tcPr>
            <w:tcW w:w="4004"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三、培训费</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11.59</w:t>
            </w:r>
          </w:p>
        </w:tc>
        <w:tc>
          <w:tcPr>
            <w:tcW w:w="4482"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rPr>
                <w:rFonts w:hint="default" w:cs="宋体"/>
                <w:color w:val="000000"/>
                <w:kern w:val="2"/>
                <w:sz w:val="16"/>
                <w:szCs w:val="16"/>
              </w:rPr>
            </w:pPr>
          </w:p>
        </w:tc>
        <w:tc>
          <w:tcPr>
            <w:tcW w:w="21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rPr>
                <w:rFonts w:hint="default" w:cs="宋体"/>
                <w:color w:val="000000"/>
                <w:kern w:val="2"/>
                <w:sz w:val="16"/>
                <w:szCs w:val="16"/>
              </w:rPr>
            </w:pPr>
          </w:p>
        </w:tc>
      </w:tr>
    </w:tbl>
    <w:p>
      <w:pPr>
        <w:rPr>
          <w:rFonts w:hint="default"/>
        </w:rPr>
      </w:pPr>
      <w:r>
        <w:rPr>
          <w:rFonts w:cs="宋体"/>
          <w:sz w:val="20"/>
          <w:szCs w:val="20"/>
        </w:rPr>
        <w:t>备注：1.本表反映部门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sectPr>
      <w:headerReference r:id="rId3" w:type="default"/>
      <w:footerReference r:id="rId4" w:type="default"/>
      <w:pgSz w:w="16783" w:h="11850" w:orient="landscape"/>
      <w:pgMar w:top="1417" w:right="1446" w:bottom="2211" w:left="1446" w:header="0" w:footer="283" w:gutter="0"/>
      <w:paperSrc/>
      <w:pgNumType w:fmt="numberInDash"/>
      <w:cols w:space="0" w:num="1"/>
      <w:rtlGutter w:val="0"/>
      <w:docGrid w:type="lines" w:linePitch="32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script"/>
    <w:pitch w:val="default"/>
    <w:sig w:usb0="00000001" w:usb1="0800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方正仿宋_GBK">
    <w:panose1 w:val="02000000000000000000"/>
    <w:charset w:val="86"/>
    <w:family w:val="script"/>
    <w:pitch w:val="default"/>
    <w:sig w:usb0="00000001" w:usb1="08000000" w:usb2="00000000" w:usb3="00000000" w:csb0="00040000" w:csb1="00000000"/>
  </w:font>
  <w:font w:name="微软雅黑">
    <w:altName w:val="方正黑体_GBK"/>
    <w:panose1 w:val="020B0503020204020204"/>
    <w:charset w:val="86"/>
    <w:family w:val="swiss"/>
    <w:pitch w:val="default"/>
    <w:sig w:usb0="00000000" w:usb1="00000000" w:usb2="00000016" w:usb3="00000000" w:csb0="0004001F" w:csb1="00000000"/>
  </w:font>
  <w:font w:name="Arial">
    <w:altName w:val="Times New Roman"/>
    <w:panose1 w:val="020B0604020202020204"/>
    <w:charset w:val="00"/>
    <w:family w:val="swiss"/>
    <w:pitch w:val="default"/>
    <w:sig w:usb0="00000000" w:usb1="00000000" w:usb2="00000009" w:usb3="00000000" w:csb0="000001F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汉仪中等线简">
    <w:panose1 w:val="02010600000101010101"/>
    <w:charset w:val="86"/>
    <w:family w:val="auto"/>
    <w:pitch w:val="default"/>
    <w:sig w:usb0="00000001" w:usb1="080E0800" w:usb2="00000002" w:usb3="00000000" w:csb0="00040000" w:csb1="00000000"/>
  </w:font>
  <w:font w:name="汉仪润圆-35简">
    <w:panose1 w:val="00020600040101010101"/>
    <w:charset w:val="86"/>
    <w:family w:val="auto"/>
    <w:pitch w:val="default"/>
    <w:sig w:usb0="A00002BF" w:usb1="1ACF7CFA" w:usb2="00000016" w:usb3="00000000" w:csb0="0004009F" w:csb1="DFD70000"/>
  </w:font>
  <w:font w:name="汉仪猴嗨森体简">
    <w:panose1 w:val="02010509060101010101"/>
    <w:charset w:val="86"/>
    <w:family w:val="auto"/>
    <w:pitch w:val="default"/>
    <w:sig w:usb0="00000001" w:usb1="080E0000" w:usb2="00000000" w:usb3="00000000" w:csb0="00040000" w:csb1="00000000"/>
  </w:font>
  <w:font w:name="方正细黑一_GBK">
    <w:panose1 w:val="03000509000000000000"/>
    <w:charset w:val="86"/>
    <w:family w:val="auto"/>
    <w:pitch w:val="default"/>
    <w:sig w:usb0="00000001" w:usb1="080E0000" w:usb2="00000000" w:usb3="00000000" w:csb0="00040000" w:csb1="00000000"/>
  </w:font>
  <w:font w:name="Calibri Light">
    <w:altName w:val="DejaVu Sans"/>
    <w:panose1 w:val="00000000000000000000"/>
    <w:charset w:val="00"/>
    <w:family w:val="auto"/>
    <w:pitch w:val="default"/>
    <w:sig w:usb0="00000000" w:usb1="00000000" w:usb2="00000000" w:usb3="00000000" w:csb0="00000000" w:csb1="00000000"/>
  </w:font>
  <w:font w:name="方正姚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SVju0AAAAAUBAAAPAAAAAAAAAAEA&#10;IAAAACIAAABkcnMvZG93bnJldi54bWxQSwECFAAUAAAACACHTuJAsPgxiRcCAAAZBAAADgAAAAAA&#10;AAABACAAAAAfAQAAZHJzL2Uyb0RvYy54bWxQSwUGAAAAAAYABgBZAQAAqAUAAAAA&#10;">
          <v:path/>
          <v:fill on="f" focussize="0,0"/>
          <v:stroke on="f" weight="0.5pt" joinstyle="miter"/>
          <v:imagedata o:title=""/>
          <o:lock v:ext="edit"/>
          <v:textbox inset="0mm,0mm,0mm,0mm" style="mso-fit-shape-to-text:t;">
            <w:txbxContent>
              <w:p>
                <w:pPr>
                  <w:pStyle w:val="3"/>
                  <w:rPr>
                    <w:rFonts w:hint="default"/>
                  </w:rPr>
                </w:pPr>
                <w:r>
                  <w:fldChar w:fldCharType="begin"/>
                </w:r>
                <w:r>
                  <w:instrText xml:space="preserve">PAGE   \* MERGEFORMAT</w:instrText>
                </w:r>
                <w:r>
                  <w:fldChar w:fldCharType="separate"/>
                </w:r>
                <w:r>
                  <w:rPr>
                    <w:rFonts w:hint="default"/>
                    <w:lang w:val="zh-CN"/>
                  </w:rPr>
                  <w:t>-</w:t>
                </w:r>
                <w:r>
                  <w:rPr>
                    <w:rFonts w:hint="default"/>
                  </w:rPr>
                  <w:t xml:space="preserve"> 1 -</w:t>
                </w:r>
                <w:r>
                  <w:fldChar w:fldCharType="end"/>
                </w:r>
              </w:p>
            </w:txbxContent>
          </v:textbox>
        </v:shape>
      </w:pict>
    </w:r>
    <w:r>
      <w:rPr>
        <w:rFonts w:hint="default"/>
      </w:rPr>
      <w:pict>
        <v:shape id="_x0000_s1027" o:spid="_x0000_s1027"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eA1UVNgAAAAKAQAA&#10;DwAAAAAAAAABACAAAAAiAAAAZHJzL2Rvd25yZXYueG1sUEsBAhQAFAAAAAgAh07iQG8zbR0ZAgAA&#10;GAQAAA4AAAAAAAAAAQAgAAAAJwEAAGRycy9lMm9Eb2MueG1sUEsFBgAAAAAGAAYAWQEAALIFAAAA&#10;AA==&#10;">
          <v:path/>
          <v:fill on="f" focussize="0,0"/>
          <v:stroke on="f" weight="0.5pt" joinstyle="miter"/>
          <v:imagedata o:title=""/>
          <o:lock v:ext="edit"/>
          <v:textbox inset="0mm,0mm,0mm,0mm">
            <w:txbxContent>
              <w:p>
                <w:pPr>
                  <w:pStyle w:val="3"/>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HorizontalSpacing w:val="120"/>
  <w:drawingGridVerticalSpacing w:val="164"/>
  <w:displayVerticalDrawingGridEvery w:val="2"/>
  <w:noPunctuationKerning w:val="true"/>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GQwYWQ1YTE0ZDA0NjgxYzlhMjZlMDExNTFmMWI3MmEifQ=="/>
  </w:docVars>
  <w:rsids>
    <w:rsidRoot w:val="00B03CCD"/>
    <w:rsid w:val="00040A79"/>
    <w:rsid w:val="00073D7B"/>
    <w:rsid w:val="000B1D6C"/>
    <w:rsid w:val="000C01CC"/>
    <w:rsid w:val="000D7702"/>
    <w:rsid w:val="00111FC4"/>
    <w:rsid w:val="00146842"/>
    <w:rsid w:val="001B134F"/>
    <w:rsid w:val="00240667"/>
    <w:rsid w:val="002500D2"/>
    <w:rsid w:val="002C764D"/>
    <w:rsid w:val="002D0E5A"/>
    <w:rsid w:val="002D3773"/>
    <w:rsid w:val="002E5443"/>
    <w:rsid w:val="0038757E"/>
    <w:rsid w:val="003B7144"/>
    <w:rsid w:val="00403176"/>
    <w:rsid w:val="0045242B"/>
    <w:rsid w:val="004C12FF"/>
    <w:rsid w:val="00525F59"/>
    <w:rsid w:val="00550ABE"/>
    <w:rsid w:val="005B023C"/>
    <w:rsid w:val="006137D7"/>
    <w:rsid w:val="00634FA8"/>
    <w:rsid w:val="0063613A"/>
    <w:rsid w:val="00674A1E"/>
    <w:rsid w:val="00680DA7"/>
    <w:rsid w:val="006D255E"/>
    <w:rsid w:val="006F402B"/>
    <w:rsid w:val="00755A3A"/>
    <w:rsid w:val="00792285"/>
    <w:rsid w:val="00797400"/>
    <w:rsid w:val="007A0D2E"/>
    <w:rsid w:val="007A3314"/>
    <w:rsid w:val="007B419D"/>
    <w:rsid w:val="00810F13"/>
    <w:rsid w:val="008D5E06"/>
    <w:rsid w:val="009360A1"/>
    <w:rsid w:val="00944711"/>
    <w:rsid w:val="00950D37"/>
    <w:rsid w:val="00984852"/>
    <w:rsid w:val="009B67B8"/>
    <w:rsid w:val="009D338D"/>
    <w:rsid w:val="009F25D2"/>
    <w:rsid w:val="00A03B1E"/>
    <w:rsid w:val="00A519B6"/>
    <w:rsid w:val="00A67739"/>
    <w:rsid w:val="00A820B7"/>
    <w:rsid w:val="00AC5566"/>
    <w:rsid w:val="00AE2259"/>
    <w:rsid w:val="00B03CCD"/>
    <w:rsid w:val="00B40138"/>
    <w:rsid w:val="00BC74E6"/>
    <w:rsid w:val="00BF5A85"/>
    <w:rsid w:val="00C307F6"/>
    <w:rsid w:val="00C96B11"/>
    <w:rsid w:val="00CC6B99"/>
    <w:rsid w:val="00D37DD6"/>
    <w:rsid w:val="00D60371"/>
    <w:rsid w:val="00DF4F83"/>
    <w:rsid w:val="00DF7706"/>
    <w:rsid w:val="00E05175"/>
    <w:rsid w:val="00E11270"/>
    <w:rsid w:val="00E654E2"/>
    <w:rsid w:val="00E76362"/>
    <w:rsid w:val="00ED4B40"/>
    <w:rsid w:val="00F137D3"/>
    <w:rsid w:val="00F13C36"/>
    <w:rsid w:val="00F23C68"/>
    <w:rsid w:val="00F32C53"/>
    <w:rsid w:val="00F73F90"/>
    <w:rsid w:val="00F7623D"/>
    <w:rsid w:val="00F8598B"/>
    <w:rsid w:val="01474EBF"/>
    <w:rsid w:val="01F3521E"/>
    <w:rsid w:val="03B87EA0"/>
    <w:rsid w:val="03E3214F"/>
    <w:rsid w:val="044C50BA"/>
    <w:rsid w:val="05BC6D49"/>
    <w:rsid w:val="06194FF1"/>
    <w:rsid w:val="06A2550B"/>
    <w:rsid w:val="06F80EE2"/>
    <w:rsid w:val="07001CCA"/>
    <w:rsid w:val="075678DB"/>
    <w:rsid w:val="079D7CC7"/>
    <w:rsid w:val="08051BCA"/>
    <w:rsid w:val="086C12F4"/>
    <w:rsid w:val="08BA052C"/>
    <w:rsid w:val="08DB07BA"/>
    <w:rsid w:val="0969353F"/>
    <w:rsid w:val="098305D0"/>
    <w:rsid w:val="098A0877"/>
    <w:rsid w:val="0A5C4B69"/>
    <w:rsid w:val="0A86124A"/>
    <w:rsid w:val="0AB54CC0"/>
    <w:rsid w:val="0B9335CE"/>
    <w:rsid w:val="0C7927C4"/>
    <w:rsid w:val="0C9B098C"/>
    <w:rsid w:val="0D673E11"/>
    <w:rsid w:val="0DDA54E4"/>
    <w:rsid w:val="0E3A5F83"/>
    <w:rsid w:val="0E74421A"/>
    <w:rsid w:val="0F836721"/>
    <w:rsid w:val="0FA25D96"/>
    <w:rsid w:val="107B59E5"/>
    <w:rsid w:val="10EC0126"/>
    <w:rsid w:val="10F70B9A"/>
    <w:rsid w:val="111445C7"/>
    <w:rsid w:val="114278C6"/>
    <w:rsid w:val="1158083A"/>
    <w:rsid w:val="11643A4B"/>
    <w:rsid w:val="11ED0F98"/>
    <w:rsid w:val="11F03528"/>
    <w:rsid w:val="12C921C4"/>
    <w:rsid w:val="12D46238"/>
    <w:rsid w:val="13871C70"/>
    <w:rsid w:val="13A71CB4"/>
    <w:rsid w:val="13AF1D43"/>
    <w:rsid w:val="13CE1647"/>
    <w:rsid w:val="13FD55AB"/>
    <w:rsid w:val="14200702"/>
    <w:rsid w:val="163A6CEE"/>
    <w:rsid w:val="173708E3"/>
    <w:rsid w:val="17C374FC"/>
    <w:rsid w:val="189079DC"/>
    <w:rsid w:val="189B0D0B"/>
    <w:rsid w:val="18B43F7C"/>
    <w:rsid w:val="194A1770"/>
    <w:rsid w:val="19B906A4"/>
    <w:rsid w:val="1B6F15B6"/>
    <w:rsid w:val="1BAA2EDC"/>
    <w:rsid w:val="1C5C0973"/>
    <w:rsid w:val="1CA55E64"/>
    <w:rsid w:val="1D014A01"/>
    <w:rsid w:val="1D022362"/>
    <w:rsid w:val="1D1B04B0"/>
    <w:rsid w:val="1DBD6767"/>
    <w:rsid w:val="1DC52125"/>
    <w:rsid w:val="1DD26311"/>
    <w:rsid w:val="1E374ACB"/>
    <w:rsid w:val="1E5E27E3"/>
    <w:rsid w:val="1ECF0A66"/>
    <w:rsid w:val="1EF67CA4"/>
    <w:rsid w:val="1F020D3A"/>
    <w:rsid w:val="1F2C5189"/>
    <w:rsid w:val="1F4B0B02"/>
    <w:rsid w:val="1FBB35CD"/>
    <w:rsid w:val="1FCD26AF"/>
    <w:rsid w:val="20642787"/>
    <w:rsid w:val="21556F04"/>
    <w:rsid w:val="22403BD3"/>
    <w:rsid w:val="23DA37D9"/>
    <w:rsid w:val="24B92327"/>
    <w:rsid w:val="24C14514"/>
    <w:rsid w:val="2533755C"/>
    <w:rsid w:val="25791755"/>
    <w:rsid w:val="26396DF4"/>
    <w:rsid w:val="27167136"/>
    <w:rsid w:val="27B23302"/>
    <w:rsid w:val="29310A5F"/>
    <w:rsid w:val="29C37A35"/>
    <w:rsid w:val="2A076083"/>
    <w:rsid w:val="2A73162E"/>
    <w:rsid w:val="2B167953"/>
    <w:rsid w:val="2B200583"/>
    <w:rsid w:val="2B8209DE"/>
    <w:rsid w:val="2C6762A3"/>
    <w:rsid w:val="2D2FDF0E"/>
    <w:rsid w:val="2EBF7B3E"/>
    <w:rsid w:val="2EDE1934"/>
    <w:rsid w:val="2F5E13CB"/>
    <w:rsid w:val="2FCA4B37"/>
    <w:rsid w:val="2FE029D7"/>
    <w:rsid w:val="2FF06E00"/>
    <w:rsid w:val="30562E26"/>
    <w:rsid w:val="30586FEC"/>
    <w:rsid w:val="30E4686A"/>
    <w:rsid w:val="30EC7046"/>
    <w:rsid w:val="315F0B22"/>
    <w:rsid w:val="319D022C"/>
    <w:rsid w:val="31C90022"/>
    <w:rsid w:val="31D84415"/>
    <w:rsid w:val="32163404"/>
    <w:rsid w:val="32285F6F"/>
    <w:rsid w:val="32770556"/>
    <w:rsid w:val="329C0913"/>
    <w:rsid w:val="32AA0460"/>
    <w:rsid w:val="3337290D"/>
    <w:rsid w:val="33E31118"/>
    <w:rsid w:val="33EF7674"/>
    <w:rsid w:val="342D7BC6"/>
    <w:rsid w:val="352930DB"/>
    <w:rsid w:val="35573069"/>
    <w:rsid w:val="355F6038"/>
    <w:rsid w:val="358C217E"/>
    <w:rsid w:val="35937598"/>
    <w:rsid w:val="36C9128A"/>
    <w:rsid w:val="372E3953"/>
    <w:rsid w:val="37841E99"/>
    <w:rsid w:val="37BF1123"/>
    <w:rsid w:val="383C3F15"/>
    <w:rsid w:val="38BE4696"/>
    <w:rsid w:val="3939115E"/>
    <w:rsid w:val="39B82A39"/>
    <w:rsid w:val="39C42CA8"/>
    <w:rsid w:val="39DC4FD6"/>
    <w:rsid w:val="39F03D7A"/>
    <w:rsid w:val="39F33306"/>
    <w:rsid w:val="3A2C1C67"/>
    <w:rsid w:val="3B1705E5"/>
    <w:rsid w:val="3B18334B"/>
    <w:rsid w:val="3B36794F"/>
    <w:rsid w:val="3C566AD6"/>
    <w:rsid w:val="3C6A5B02"/>
    <w:rsid w:val="3D2757A1"/>
    <w:rsid w:val="3D3D4FC4"/>
    <w:rsid w:val="3DDF3AB1"/>
    <w:rsid w:val="3E1D0952"/>
    <w:rsid w:val="3E42660A"/>
    <w:rsid w:val="3E7555B1"/>
    <w:rsid w:val="3E787ED9"/>
    <w:rsid w:val="3EEC37F3"/>
    <w:rsid w:val="3F032E93"/>
    <w:rsid w:val="3F0527E5"/>
    <w:rsid w:val="3F694D83"/>
    <w:rsid w:val="3F885DCC"/>
    <w:rsid w:val="3FCD675E"/>
    <w:rsid w:val="4004000C"/>
    <w:rsid w:val="411B6CE5"/>
    <w:rsid w:val="412070D7"/>
    <w:rsid w:val="41314E40"/>
    <w:rsid w:val="41E0734B"/>
    <w:rsid w:val="426554D0"/>
    <w:rsid w:val="426C1EA8"/>
    <w:rsid w:val="42736402"/>
    <w:rsid w:val="42E86A87"/>
    <w:rsid w:val="43307B09"/>
    <w:rsid w:val="438D0E97"/>
    <w:rsid w:val="43BB152F"/>
    <w:rsid w:val="43E45D64"/>
    <w:rsid w:val="44C37687"/>
    <w:rsid w:val="45821838"/>
    <w:rsid w:val="45CB699A"/>
    <w:rsid w:val="465B470D"/>
    <w:rsid w:val="469D6AD4"/>
    <w:rsid w:val="46FF7CD8"/>
    <w:rsid w:val="471E6C84"/>
    <w:rsid w:val="473F0ADA"/>
    <w:rsid w:val="4748792B"/>
    <w:rsid w:val="475D719D"/>
    <w:rsid w:val="47674801"/>
    <w:rsid w:val="48225EF7"/>
    <w:rsid w:val="488F422B"/>
    <w:rsid w:val="48E36915"/>
    <w:rsid w:val="495C4A24"/>
    <w:rsid w:val="497135DF"/>
    <w:rsid w:val="4A263DF2"/>
    <w:rsid w:val="4A6F6675"/>
    <w:rsid w:val="4B0502DF"/>
    <w:rsid w:val="4B135857"/>
    <w:rsid w:val="4B7951CB"/>
    <w:rsid w:val="4B7C315C"/>
    <w:rsid w:val="4DAC4ACA"/>
    <w:rsid w:val="4DBE01D2"/>
    <w:rsid w:val="4EFC6D10"/>
    <w:rsid w:val="4F0C6BA3"/>
    <w:rsid w:val="4F10477D"/>
    <w:rsid w:val="4F186D58"/>
    <w:rsid w:val="4FEA65B7"/>
    <w:rsid w:val="50F06B6E"/>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A3CBC"/>
    <w:rsid w:val="5582012B"/>
    <w:rsid w:val="558E4E05"/>
    <w:rsid w:val="55BE2E85"/>
    <w:rsid w:val="56530F5D"/>
    <w:rsid w:val="567700D3"/>
    <w:rsid w:val="56FF7E9E"/>
    <w:rsid w:val="572C8CE1"/>
    <w:rsid w:val="578867FC"/>
    <w:rsid w:val="5842572D"/>
    <w:rsid w:val="5A3B59D6"/>
    <w:rsid w:val="5AD134D8"/>
    <w:rsid w:val="5B6503B1"/>
    <w:rsid w:val="5C263CE4"/>
    <w:rsid w:val="5C5D2777"/>
    <w:rsid w:val="5CF66BF3"/>
    <w:rsid w:val="5D290C69"/>
    <w:rsid w:val="5E1E494F"/>
    <w:rsid w:val="5F2D4A41"/>
    <w:rsid w:val="5FFDB0A1"/>
    <w:rsid w:val="60C74F6C"/>
    <w:rsid w:val="61025A59"/>
    <w:rsid w:val="613D5BBC"/>
    <w:rsid w:val="61536C39"/>
    <w:rsid w:val="62944DD7"/>
    <w:rsid w:val="6319381F"/>
    <w:rsid w:val="63236436"/>
    <w:rsid w:val="63C25DC5"/>
    <w:rsid w:val="63C62057"/>
    <w:rsid w:val="64571EF5"/>
    <w:rsid w:val="64FB113D"/>
    <w:rsid w:val="656152C6"/>
    <w:rsid w:val="6587477F"/>
    <w:rsid w:val="658C3A08"/>
    <w:rsid w:val="65C031CA"/>
    <w:rsid w:val="65CE6852"/>
    <w:rsid w:val="66267C04"/>
    <w:rsid w:val="663F505A"/>
    <w:rsid w:val="66967186"/>
    <w:rsid w:val="66EE5541"/>
    <w:rsid w:val="67790F94"/>
    <w:rsid w:val="67924660"/>
    <w:rsid w:val="68407834"/>
    <w:rsid w:val="6883293E"/>
    <w:rsid w:val="688412AD"/>
    <w:rsid w:val="68EB1B71"/>
    <w:rsid w:val="69475C96"/>
    <w:rsid w:val="6AAD2300"/>
    <w:rsid w:val="6B474EF5"/>
    <w:rsid w:val="6BBF53FD"/>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6650B0"/>
    <w:rsid w:val="73934AD2"/>
    <w:rsid w:val="750837F0"/>
    <w:rsid w:val="754758CF"/>
    <w:rsid w:val="764F62AB"/>
    <w:rsid w:val="765C45EC"/>
    <w:rsid w:val="768A7619"/>
    <w:rsid w:val="772E1EBA"/>
    <w:rsid w:val="77EB79F7"/>
    <w:rsid w:val="796D60A4"/>
    <w:rsid w:val="79A031D5"/>
    <w:rsid w:val="7A1525F7"/>
    <w:rsid w:val="7B420052"/>
    <w:rsid w:val="7B861484"/>
    <w:rsid w:val="7BD06A28"/>
    <w:rsid w:val="7C3A7C0B"/>
    <w:rsid w:val="7C5248E4"/>
    <w:rsid w:val="7C566698"/>
    <w:rsid w:val="7C5866A3"/>
    <w:rsid w:val="7D7406BB"/>
    <w:rsid w:val="7DE94331"/>
    <w:rsid w:val="7F446A19"/>
    <w:rsid w:val="7F7452B9"/>
    <w:rsid w:val="A16FC2DF"/>
    <w:rsid w:val="AD69B5A0"/>
    <w:rsid w:val="AEFDBF9E"/>
    <w:rsid w:val="E8EFB2D2"/>
    <w:rsid w:val="FBDF3CB8"/>
    <w:rsid w:val="FFB7B14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6"/>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qFormat/>
    <w:uiPriority w:val="0"/>
    <w:rPr>
      <w:b/>
    </w:rPr>
  </w:style>
  <w:style w:type="character" w:styleId="11">
    <w:name w:val="Hyperlink"/>
    <w:basedOn w:val="9"/>
    <w:qFormat/>
    <w:uiPriority w:val="0"/>
    <w:rPr>
      <w:color w:val="0000FF"/>
      <w:u w:val="single"/>
    </w:rPr>
  </w:style>
  <w:style w:type="paragraph" w:customStyle="1" w:styleId="12">
    <w:name w:val="列出段落1"/>
    <w:basedOn w:val="1"/>
    <w:qFormat/>
    <w:uiPriority w:val="99"/>
    <w:pPr>
      <w:ind w:firstLine="420" w:firstLineChars="200"/>
    </w:pPr>
    <w:rPr>
      <w:rFonts w:hint="default"/>
    </w:rPr>
  </w:style>
  <w:style w:type="paragraph" w:customStyle="1" w:styleId="13">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4">
    <w:name w:val="21"/>
    <w:qFormat/>
    <w:uiPriority w:val="0"/>
    <w:rPr>
      <w:rFonts w:hint="default" w:ascii="Wingdings" w:hAnsi="Wingdings" w:cs="Wingdings"/>
      <w:b/>
      <w:bCs/>
    </w:rPr>
  </w:style>
  <w:style w:type="paragraph" w:customStyle="1" w:styleId="15">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6">
    <w:name w:val="批注框文本 Char"/>
    <w:basedOn w:val="9"/>
    <w:link w:val="2"/>
    <w:qFormat/>
    <w:uiPriority w:val="0"/>
    <w:rPr>
      <w:rFonts w:ascii="宋体" w:hAnsi="宋体"/>
      <w:sz w:val="18"/>
      <w:szCs w:val="18"/>
    </w:rPr>
  </w:style>
  <w:style w:type="paragraph" w:styleId="1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29</Pages>
  <Words>3066</Words>
  <Characters>17481</Characters>
  <Lines>145</Lines>
  <Paragraphs>41</Paragraphs>
  <TotalTime>107</TotalTime>
  <ScaleCrop>false</ScaleCrop>
  <LinksUpToDate>false</LinksUpToDate>
  <CharactersWithSpaces>20506</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2024-07-11T10:00:00Z</dcterms:created>
  <dc:creator>Administrator</dc:creator>
  <cp:lastModifiedBy>fengdu</cp:lastModifiedBy>
  <dcterms:modified xsi:type="dcterms:W3CDTF">2024-09-29T09:37:41Z</dcterms:modified>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BB46EABDBB2749749395447164B066B3_12</vt:lpwstr>
  </property>
</Properties>
</file>