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丰都县林业产业发展中心</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line="594" w:lineRule="exact"/>
        <w:jc w:val="both"/>
        <w:textAlignment w:val="auto"/>
        <w:rPr>
          <w:rFonts w:hint="eastAsia" w:ascii="方正黑体_GBK" w:hAnsi="方正黑体_GBK" w:eastAsia="方正黑体_GBK" w:cs="方正黑体_GBK"/>
          <w:b w:val="0"/>
          <w:bCs/>
          <w:sz w:val="28"/>
          <w:szCs w:val="28"/>
        </w:rPr>
      </w:pPr>
      <w:r>
        <w:rPr>
          <w:rStyle w:val="10"/>
          <w:rFonts w:hint="eastAsia" w:ascii="方正黑体_GBK" w:hAnsi="方正黑体_GBK" w:eastAsia="方正黑体_GBK" w:cs="方正黑体_GBK"/>
          <w:b w:val="0"/>
          <w:bCs/>
          <w:sz w:val="28"/>
          <w:szCs w:val="28"/>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420"/>
        <w:jc w:val="both"/>
        <w:textAlignment w:val="auto"/>
        <w:rPr>
          <w:rFonts w:hint="eastAsia" w:ascii="方正仿宋_GBK" w:hAnsi="方正仿宋_GBK" w:eastAsia="方正仿宋_GBK" w:cs="方正仿宋_GBK"/>
          <w:b/>
          <w:bCs w:val="0"/>
          <w:sz w:val="28"/>
          <w:szCs w:val="28"/>
        </w:rPr>
      </w:pPr>
      <w:r>
        <w:rPr>
          <w:rStyle w:val="10"/>
          <w:rFonts w:hint="eastAsia" w:ascii="方正仿宋_GBK" w:hAnsi="方正仿宋_GBK" w:eastAsia="方正仿宋_GBK" w:cs="方正仿宋_GBK"/>
          <w:b/>
          <w:bCs w:val="0"/>
          <w:sz w:val="28"/>
          <w:szCs w:val="28"/>
          <w:shd w:val="clear" w:color="auto" w:fill="FFFFFF"/>
        </w:rPr>
        <w:t>（一）职能职责</w:t>
      </w:r>
    </w:p>
    <w:p>
      <w:pPr>
        <w:keepNext w:val="0"/>
        <w:keepLines w:val="0"/>
        <w:pageBreakBefore w:val="0"/>
        <w:widowControl/>
        <w:kinsoku/>
        <w:wordWrap/>
        <w:overflowPunct/>
        <w:topLinePunct w:val="0"/>
        <w:autoSpaceDN/>
        <w:bidi w:val="0"/>
        <w:adjustRightInd/>
        <w:spacing w:line="594" w:lineRule="exact"/>
        <w:ind w:firstLine="560" w:firstLineChars="200"/>
        <w:jc w:val="both"/>
        <w:textAlignment w:val="auto"/>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丰都县林业产业发展中心为县林业局所属副科级全额拨款公益一类事业单位</w:t>
      </w:r>
      <w:r>
        <w:rPr>
          <w:rFonts w:hint="eastAsia" w:ascii="方正仿宋_GBK" w:hAnsi="方正仿宋_GBK" w:eastAsia="方正仿宋_GBK" w:cs="方正仿宋_GBK"/>
          <w:b w:val="0"/>
          <w:bCs w:val="0"/>
          <w:color w:val="000000"/>
          <w:sz w:val="28"/>
          <w:szCs w:val="28"/>
        </w:rPr>
        <w:t>，主要职责是：</w:t>
      </w:r>
      <w:r>
        <w:rPr>
          <w:rFonts w:hint="eastAsia" w:ascii="方正仿宋_GBK" w:hAnsi="方正仿宋_GBK" w:eastAsia="方正仿宋_GBK" w:cs="方正仿宋_GBK"/>
          <w:b w:val="0"/>
          <w:bCs w:val="0"/>
          <w:sz w:val="28"/>
          <w:szCs w:val="28"/>
        </w:rPr>
        <w:t>贯彻落实上级产业发展政策；负责林旅融合发、林下经济、林产品加工贸易和品牌创建、涉林农民专业合作社等技术业务指导；负责林业招商引资；承担重点林业展</w:t>
      </w:r>
      <w:r>
        <w:rPr>
          <w:rFonts w:hint="eastAsia" w:ascii="方正仿宋_GBK" w:hAnsi="方正仿宋_GBK" w:eastAsia="方正仿宋_GBK" w:cs="方正仿宋_GBK"/>
          <w:b w:val="0"/>
          <w:bCs w:val="0"/>
          <w:spacing w:val="-8"/>
          <w:sz w:val="28"/>
          <w:szCs w:val="28"/>
        </w:rPr>
        <w:t>会参展及对外合作与交流和林业贷款贴息工作；开展林业技术推广</w:t>
      </w:r>
      <w:r>
        <w:rPr>
          <w:rFonts w:hint="eastAsia" w:ascii="方正仿宋_GBK" w:hAnsi="方正仿宋_GBK" w:eastAsia="方正仿宋_GBK" w:cs="方正仿宋_GBK"/>
          <w:b w:val="0"/>
          <w:bCs w:val="0"/>
          <w:snapToGrid w:val="0"/>
          <w:sz w:val="28"/>
          <w:szCs w:val="28"/>
        </w:rPr>
        <w:t>。</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42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（二）机构设置</w:t>
      </w:r>
    </w:p>
    <w:p>
      <w:pPr>
        <w:keepNext w:val="0"/>
        <w:keepLines w:val="0"/>
        <w:pageBreakBefore w:val="0"/>
        <w:widowControl/>
        <w:kinsoku/>
        <w:wordWrap/>
        <w:overflowPunct/>
        <w:topLinePunct w:val="0"/>
        <w:autoSpaceDN/>
        <w:bidi w:val="0"/>
        <w:adjustRightInd/>
        <w:spacing w:line="594" w:lineRule="exact"/>
        <w:ind w:firstLine="528" w:firstLineChars="200"/>
        <w:jc w:val="both"/>
        <w:textAlignment w:val="auto"/>
        <w:rPr>
          <w:rFonts w:hint="eastAsia" w:ascii="方正仿宋_GBK" w:hAnsi="方正仿宋_GBK" w:eastAsia="方正仿宋_GBK" w:cs="方正仿宋_GBK"/>
          <w:spacing w:val="-8"/>
          <w:sz w:val="28"/>
          <w:szCs w:val="28"/>
        </w:rPr>
      </w:pPr>
      <w:r>
        <w:rPr>
          <w:rFonts w:hint="eastAsia" w:ascii="方正仿宋_GBK" w:hAnsi="方正仿宋_GBK" w:eastAsia="方正仿宋_GBK" w:cs="方正仿宋_GBK"/>
          <w:spacing w:val="-8"/>
          <w:sz w:val="28"/>
          <w:szCs w:val="28"/>
        </w:rPr>
        <w:t>根据以上职责任务，丰都县林业产业发展中心设4个内设机构。</w:t>
      </w:r>
    </w:p>
    <w:p>
      <w:pPr>
        <w:keepNext w:val="0"/>
        <w:keepLines w:val="0"/>
        <w:pageBreakBefore w:val="0"/>
        <w:widowControl/>
        <w:kinsoku/>
        <w:wordWrap/>
        <w:overflowPunct/>
        <w:topLinePunct w:val="0"/>
        <w:autoSpaceDN/>
        <w:bidi w:val="0"/>
        <w:adjustRightInd/>
        <w:spacing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综合科。负责中心日常运转，承担中心文秘、党建、群团、会务、安全、信访、财务、统计、人事编制、资产管理、信息化建设、政务值班、议提案办理、政务公开、档案管理、目标管理、后勤保障等工作；承担中心扶贫工作的结对帮扶；负责重点林业展会的参展和对外合作与交流工作。</w:t>
      </w:r>
    </w:p>
    <w:p>
      <w:pPr>
        <w:keepNext w:val="0"/>
        <w:keepLines w:val="0"/>
        <w:pageBreakBefore w:val="0"/>
        <w:widowControl/>
        <w:kinsoku/>
        <w:wordWrap/>
        <w:overflowPunct/>
        <w:topLinePunct w:val="0"/>
        <w:autoSpaceDN/>
        <w:bidi w:val="0"/>
        <w:adjustRightInd/>
        <w:spacing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科。负责各类财政资金扶持的产业项目的综合管理，建立项目库，组织开展项目绩效管理，具体负责本科室管理项目的绩效管理工作；负责林旅融合发展，指导森林旅游、森林康养、森林体验、森林人家建设的技术业务工作。</w:t>
      </w:r>
    </w:p>
    <w:p>
      <w:pPr>
        <w:keepNext w:val="0"/>
        <w:keepLines w:val="0"/>
        <w:pageBreakBefore w:val="0"/>
        <w:widowControl/>
        <w:kinsoku/>
        <w:wordWrap/>
        <w:overflowPunct/>
        <w:topLinePunct w:val="0"/>
        <w:autoSpaceDN/>
        <w:bidi w:val="0"/>
        <w:adjustRightInd/>
        <w:spacing w:line="594" w:lineRule="exact"/>
        <w:ind w:firstLine="560" w:firstLineChars="200"/>
        <w:jc w:val="both"/>
        <w:textAlignment w:val="auto"/>
        <w:rPr>
          <w:rFonts w:hint="eastAsia" w:ascii="方正仿宋_GBK" w:hAnsi="方正仿宋_GBK" w:eastAsia="方正仿宋_GBK" w:cs="方正仿宋_GBK"/>
          <w:spacing w:val="-6"/>
          <w:sz w:val="28"/>
          <w:szCs w:val="28"/>
        </w:rPr>
      </w:pPr>
      <w:r>
        <w:rPr>
          <w:rFonts w:hint="eastAsia" w:ascii="方正仿宋_GBK" w:hAnsi="方正仿宋_GBK" w:eastAsia="方正仿宋_GBK" w:cs="方正仿宋_GBK"/>
          <w:sz w:val="28"/>
          <w:szCs w:val="28"/>
        </w:rPr>
        <w:t>3、基</w:t>
      </w:r>
      <w:r>
        <w:rPr>
          <w:rFonts w:hint="eastAsia" w:ascii="方正仿宋_GBK" w:hAnsi="方正仿宋_GBK" w:eastAsia="方正仿宋_GBK" w:cs="方正仿宋_GBK"/>
          <w:spacing w:val="-6"/>
          <w:sz w:val="28"/>
          <w:szCs w:val="28"/>
        </w:rPr>
        <w:t>地建设科。负责各类林业产业示范基地建设的综合管理；负责林下经济、林产品加工贸易及品牌创建、涉林农民专业</w:t>
      </w:r>
      <w:r>
        <w:rPr>
          <w:rFonts w:hint="eastAsia" w:ascii="方正仿宋_GBK" w:hAnsi="方正仿宋_GBK" w:eastAsia="方正仿宋_GBK" w:cs="方正仿宋_GBK"/>
          <w:spacing w:val="-10"/>
          <w:sz w:val="28"/>
          <w:szCs w:val="28"/>
        </w:rPr>
        <w:t>合作社的技术业务工作；具体负责本科室管理项目的绩效管理工作。</w:t>
      </w:r>
    </w:p>
    <w:p>
      <w:pPr>
        <w:keepNext w:val="0"/>
        <w:keepLines w:val="0"/>
        <w:pageBreakBefore w:val="0"/>
        <w:widowControl/>
        <w:kinsoku/>
        <w:wordWrap/>
        <w:overflowPunct/>
        <w:topLinePunct w:val="0"/>
        <w:autoSpaceDN/>
        <w:bidi w:val="0"/>
        <w:adjustRightInd/>
        <w:spacing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4、行业科。负责协助拟订林业产业政策、编制产业规划、平衡年度计划；负责林业贷款贴息的有关工作；组织开展林业技术推广；负责林业招商引资工作；负责本科室管理项目的绩效管理工作。</w:t>
      </w:r>
    </w:p>
    <w:p>
      <w:pPr>
        <w:pStyle w:val="6"/>
        <w:keepNext w:val="0"/>
        <w:keepLines w:val="0"/>
        <w:pageBreakBefore w:val="0"/>
        <w:widowControl/>
        <w:shd w:val="clear" w:color="auto" w:fill="FFFFFF"/>
        <w:kinsoku/>
        <w:wordWrap/>
        <w:overflowPunct/>
        <w:topLinePunct w:val="0"/>
        <w:autoSpaceDN/>
        <w:bidi w:val="0"/>
        <w:adjustRightInd/>
        <w:spacing w:line="594" w:lineRule="exact"/>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二、单位决算情况说明</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1.总体情况。</w:t>
      </w:r>
      <w:r>
        <w:rPr>
          <w:rFonts w:hint="eastAsia" w:ascii="方正仿宋_GBK" w:hAnsi="方正仿宋_GBK" w:eastAsia="方正仿宋_GBK" w:cs="方正仿宋_GBK"/>
          <w:sz w:val="28"/>
          <w:szCs w:val="28"/>
          <w:shd w:val="clear" w:color="auto" w:fill="FFFFFF"/>
        </w:rPr>
        <w:t>2023年度收入总计268.85万元，支出总计</w:t>
      </w:r>
      <w:r>
        <w:rPr>
          <w:rFonts w:hint="eastAsia" w:ascii="方正仿宋_GBK" w:hAnsi="方正仿宋_GBK" w:eastAsia="方正仿宋_GBK" w:cs="方正仿宋_GBK"/>
          <w:sz w:val="28"/>
          <w:szCs w:val="28"/>
        </w:rPr>
        <w:t>268.85</w:t>
      </w:r>
      <w:r>
        <w:rPr>
          <w:rFonts w:hint="eastAsia" w:ascii="方正仿宋_GBK" w:hAnsi="方正仿宋_GBK" w:eastAsia="方正仿宋_GBK" w:cs="方正仿宋_GBK"/>
          <w:sz w:val="28"/>
          <w:szCs w:val="28"/>
          <w:shd w:val="clear" w:color="auto" w:fill="FFFFFF"/>
        </w:rPr>
        <w:t>万元。收支较上年决算数增加268.85万元，增长100.00%，主要原因是2023年度以前，本单位在林业局（本级）里面统一核算未进行单独核算，在2023年底进行了分账，因此导致本年数据较上年增加。</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sz w:val="28"/>
          <w:szCs w:val="28"/>
          <w:shd w:val="clear" w:color="auto" w:fill="FFFFFF"/>
        </w:rPr>
      </w:pPr>
      <w:r>
        <w:rPr>
          <w:rStyle w:val="10"/>
          <w:rFonts w:hint="eastAsia" w:ascii="方正仿宋_GBK" w:hAnsi="方正仿宋_GBK" w:eastAsia="方正仿宋_GBK" w:cs="方正仿宋_GBK"/>
          <w:sz w:val="28"/>
          <w:szCs w:val="28"/>
          <w:shd w:val="clear" w:color="auto" w:fill="FFFFFF"/>
        </w:rPr>
        <w:t>2.收入情况。</w:t>
      </w:r>
      <w:r>
        <w:rPr>
          <w:rFonts w:hint="eastAsia" w:ascii="方正仿宋_GBK" w:hAnsi="方正仿宋_GBK" w:eastAsia="方正仿宋_GBK" w:cs="方正仿宋_GBK"/>
          <w:sz w:val="28"/>
          <w:szCs w:val="28"/>
          <w:shd w:val="clear" w:color="auto" w:fill="FFFFFF"/>
        </w:rPr>
        <w:t>2023年度收入合计268.85万元，较上年决算数增加268.85万元，增长100.00%，主要原因是2023年度以前，本单位在林业局（本级）里面统一核算未进行单独核算，在2023年底进行了分账，因此导致本年数据较上年增加。其中：财政拨款收入</w:t>
      </w:r>
      <w:r>
        <w:rPr>
          <w:rFonts w:hint="eastAsia" w:ascii="方正仿宋_GBK" w:hAnsi="方正仿宋_GBK" w:eastAsia="方正仿宋_GBK" w:cs="方正仿宋_GBK"/>
          <w:sz w:val="28"/>
          <w:szCs w:val="28"/>
        </w:rPr>
        <w:t>268.85</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100.00</w:t>
      </w:r>
      <w:r>
        <w:rPr>
          <w:rFonts w:hint="eastAsia" w:ascii="方正仿宋_GBK" w:hAnsi="方正仿宋_GBK" w:eastAsia="方正仿宋_GBK" w:cs="方正仿宋_GBK"/>
          <w:sz w:val="28"/>
          <w:szCs w:val="28"/>
          <w:shd w:val="clear" w:color="auto" w:fill="FFFFFF"/>
        </w:rPr>
        <w:t>%；事业收入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万元，占0.00%；经营收入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万元，占0.00%；其他收入</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万元，占0.00%。此外，使用非财政拨款结余和专用结余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万元，年初结转和结余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line="594" w:lineRule="exact"/>
        <w:ind w:firstLine="562" w:firstLineChars="200"/>
        <w:jc w:val="both"/>
        <w:textAlignment w:val="auto"/>
        <w:rPr>
          <w:rFonts w:hint="eastAsia" w:ascii="方正仿宋_GBK" w:hAnsi="方正仿宋_GBK" w:eastAsia="方正仿宋_GBK" w:cs="方正仿宋_GBK"/>
          <w:sz w:val="28"/>
          <w:szCs w:val="28"/>
          <w:shd w:val="clear" w:color="auto" w:fill="FFFFFF"/>
        </w:rPr>
      </w:pPr>
      <w:r>
        <w:rPr>
          <w:rStyle w:val="10"/>
          <w:rFonts w:hint="eastAsia" w:ascii="方正仿宋_GBK" w:hAnsi="方正仿宋_GBK" w:eastAsia="方正仿宋_GBK" w:cs="方正仿宋_GBK"/>
          <w:sz w:val="28"/>
          <w:szCs w:val="28"/>
          <w:shd w:val="clear" w:color="auto" w:fill="FFFFFF"/>
        </w:rPr>
        <w:t>3.支出情况。</w:t>
      </w:r>
      <w:r>
        <w:rPr>
          <w:rFonts w:hint="eastAsia" w:ascii="方正仿宋_GBK" w:hAnsi="方正仿宋_GBK" w:eastAsia="方正仿宋_GBK" w:cs="方正仿宋_GBK"/>
          <w:sz w:val="28"/>
          <w:szCs w:val="28"/>
          <w:shd w:val="clear" w:color="auto" w:fill="FFFFFF"/>
        </w:rPr>
        <w:t>2023年度支出合计</w:t>
      </w:r>
      <w:r>
        <w:rPr>
          <w:rFonts w:hint="eastAsia" w:ascii="方正仿宋_GBK" w:hAnsi="方正仿宋_GBK" w:eastAsia="方正仿宋_GBK" w:cs="方正仿宋_GBK"/>
          <w:sz w:val="28"/>
          <w:szCs w:val="28"/>
        </w:rPr>
        <w:t>268.85</w:t>
      </w:r>
      <w:r>
        <w:rPr>
          <w:rFonts w:hint="eastAsia" w:ascii="方正仿宋_GBK" w:hAnsi="方正仿宋_GBK" w:eastAsia="方正仿宋_GBK" w:cs="方正仿宋_GBK"/>
          <w:sz w:val="28"/>
          <w:szCs w:val="28"/>
          <w:shd w:val="clear" w:color="auto" w:fill="FFFFFF"/>
        </w:rPr>
        <w:t>万元，较上年决算数增加268.85万元，增长100.00%，主要原因是2023年度以前，本单位在林业局（本级）里面统一核算未进行单独核算，在2023年底进行了分账，因此导致本年数据较上年增加。其中：基本支出</w:t>
      </w:r>
      <w:r>
        <w:rPr>
          <w:rFonts w:hint="eastAsia" w:ascii="方正仿宋_GBK" w:hAnsi="方正仿宋_GBK" w:eastAsia="方正仿宋_GBK" w:cs="方正仿宋_GBK"/>
          <w:sz w:val="28"/>
          <w:szCs w:val="28"/>
        </w:rPr>
        <w:t>268.85</w:t>
      </w:r>
      <w:r>
        <w:rPr>
          <w:rFonts w:hint="eastAsia" w:ascii="方正仿宋_GBK" w:hAnsi="方正仿宋_GBK" w:eastAsia="方正仿宋_GBK" w:cs="方正仿宋_GBK"/>
          <w:sz w:val="28"/>
          <w:szCs w:val="28"/>
          <w:shd w:val="clear" w:color="auto" w:fill="FFFFFF"/>
        </w:rPr>
        <w:t>万元，占100.00%；项目支出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万元，占0.00%；经营支出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万元，占0.00%。此外，结余分配</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shd w:val="clear" w:color="auto" w:fill="FFFFFF"/>
        </w:rPr>
      </w:pPr>
      <w:r>
        <w:rPr>
          <w:rStyle w:val="10"/>
          <w:rFonts w:hint="eastAsia" w:ascii="方正仿宋_GBK" w:hAnsi="方正仿宋_GBK" w:eastAsia="方正仿宋_GBK" w:cs="方正仿宋_GBK"/>
          <w:sz w:val="28"/>
          <w:szCs w:val="28"/>
          <w:shd w:val="clear" w:color="auto" w:fill="FFFFFF"/>
        </w:rPr>
        <w:t>4.结转结余情况。</w:t>
      </w:r>
      <w:r>
        <w:rPr>
          <w:rFonts w:hint="eastAsia" w:ascii="方正仿宋_GBK" w:hAnsi="方正仿宋_GBK" w:eastAsia="方正仿宋_GBK" w:cs="方正仿宋_GBK"/>
          <w:sz w:val="28"/>
          <w:szCs w:val="28"/>
          <w:shd w:val="clear" w:color="auto" w:fill="FFFFFF"/>
        </w:rPr>
        <w:t>2023年度年末结转和结余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万元，较上年决算数无增减，主要原因是本单位无年末结转结余。</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财政拨款收、支总计268.85万元。与2022年相比，财政拨款收、支总计各增加268.85万元，增长100.00%。主要原因是2023年度以前，本单位在林业局（本级）里面统一核算未进行单独核算，在2023年底进行了分账，因此导致本年数据较上年增加。</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1.收入情况。</w:t>
      </w:r>
      <w:r>
        <w:rPr>
          <w:rFonts w:hint="eastAsia" w:ascii="方正仿宋_GBK" w:hAnsi="方正仿宋_GBK" w:eastAsia="方正仿宋_GBK" w:cs="方正仿宋_GBK"/>
          <w:sz w:val="28"/>
          <w:szCs w:val="28"/>
          <w:shd w:val="clear" w:color="auto" w:fill="FFFFFF"/>
        </w:rPr>
        <w:t>2023年度一般公共预算财政拨款收入</w:t>
      </w:r>
      <w:r>
        <w:rPr>
          <w:rFonts w:hint="eastAsia" w:ascii="方正仿宋_GBK" w:hAnsi="方正仿宋_GBK" w:eastAsia="方正仿宋_GBK" w:cs="方正仿宋_GBK"/>
          <w:sz w:val="28"/>
          <w:szCs w:val="28"/>
        </w:rPr>
        <w:t>268.85</w:t>
      </w:r>
      <w:r>
        <w:rPr>
          <w:rFonts w:hint="eastAsia" w:ascii="方正仿宋_GBK" w:hAnsi="方正仿宋_GBK" w:eastAsia="方正仿宋_GBK" w:cs="方正仿宋_GBK"/>
          <w:sz w:val="28"/>
          <w:szCs w:val="28"/>
          <w:shd w:val="clear" w:color="auto" w:fill="FFFFFF"/>
        </w:rPr>
        <w:t>万元，较上年决算数增加268.85万元，增长100.00%。主要原因是2023年度以前，本单位在林业局（本级）里面统一核算未进行单独核算，在2023年底进行了分账，因此导致本年数据较上年增加。较年初预算数增加28.44万元，增长11.83%。主要原因是本年开支实际超出预算。此外，年初财政拨款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2.支出情况。</w:t>
      </w:r>
      <w:r>
        <w:rPr>
          <w:rFonts w:hint="eastAsia" w:ascii="方正仿宋_GBK" w:hAnsi="方正仿宋_GBK" w:eastAsia="方正仿宋_GBK" w:cs="方正仿宋_GBK"/>
          <w:sz w:val="28"/>
          <w:szCs w:val="28"/>
          <w:shd w:val="clear" w:color="auto" w:fill="FFFFFF"/>
        </w:rPr>
        <w:t>2023年度一般公共预算财政拨款支出</w:t>
      </w:r>
      <w:r>
        <w:rPr>
          <w:rFonts w:hint="eastAsia" w:ascii="方正仿宋_GBK" w:hAnsi="方正仿宋_GBK" w:eastAsia="方正仿宋_GBK" w:cs="方正仿宋_GBK"/>
          <w:sz w:val="28"/>
          <w:szCs w:val="28"/>
        </w:rPr>
        <w:t>268.85</w:t>
      </w:r>
      <w:r>
        <w:rPr>
          <w:rFonts w:hint="eastAsia" w:ascii="方正仿宋_GBK" w:hAnsi="方正仿宋_GBK" w:eastAsia="方正仿宋_GBK" w:cs="方正仿宋_GBK"/>
          <w:sz w:val="28"/>
          <w:szCs w:val="28"/>
          <w:shd w:val="clear" w:color="auto" w:fill="FFFFFF"/>
        </w:rPr>
        <w:t>万元，较上年决算数增加268.85万元，增长100.00%。主要原因是2023年度以前，本单位在林业局（本级）里面统一核算未进行单独核算，在2023年底进行了分账，因此导致本年数据较上年增加。较年初预算数增加28.44万元，增长11.83%。主要原因是本年开支实际超出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Style w:val="10"/>
          <w:rFonts w:hint="eastAsia" w:ascii="方正仿宋_GBK" w:hAnsi="方正仿宋_GBK" w:eastAsia="方正仿宋_GBK" w:cs="方正仿宋_GBK"/>
          <w:sz w:val="28"/>
          <w:szCs w:val="28"/>
          <w:shd w:val="clear" w:color="auto" w:fill="FFFFFF"/>
        </w:rPr>
      </w:pPr>
      <w:r>
        <w:rPr>
          <w:rStyle w:val="10"/>
          <w:rFonts w:hint="eastAsia" w:ascii="方正仿宋_GBK" w:hAnsi="方正仿宋_GBK" w:eastAsia="方正仿宋_GBK" w:cs="方正仿宋_GBK"/>
          <w:sz w:val="28"/>
          <w:szCs w:val="28"/>
          <w:shd w:val="clear" w:color="auto" w:fill="FFFFFF"/>
        </w:rPr>
        <w:t>3.结转结余情况。</w:t>
      </w:r>
      <w:r>
        <w:rPr>
          <w:rFonts w:hint="eastAsia" w:ascii="方正仿宋_GBK" w:hAnsi="方正仿宋_GBK" w:eastAsia="方正仿宋_GBK" w:cs="方正仿宋_GBK"/>
          <w:sz w:val="28"/>
          <w:szCs w:val="28"/>
          <w:shd w:val="clear" w:color="auto" w:fill="FFFFFF"/>
        </w:rPr>
        <w:t>2023年度年末一般公共预算财政拨款结转和结余</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万元，较上年决算数无增减，主要原因是本年无结余。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color w:val="FF0000"/>
          <w:sz w:val="28"/>
          <w:szCs w:val="28"/>
          <w:highlight w:val="cyan"/>
          <w:shd w:val="clear" w:color="auto" w:fill="FFFFFF"/>
        </w:rPr>
      </w:pPr>
      <w:r>
        <w:rPr>
          <w:rStyle w:val="10"/>
          <w:rFonts w:hint="eastAsia" w:ascii="方正仿宋_GBK" w:hAnsi="方正仿宋_GBK" w:eastAsia="方正仿宋_GBK" w:cs="方正仿宋_GBK"/>
          <w:sz w:val="28"/>
          <w:szCs w:val="28"/>
          <w:shd w:val="clear" w:color="auto" w:fill="FFFFFF"/>
        </w:rPr>
        <w:t>4.比较情况。</w:t>
      </w:r>
      <w:r>
        <w:rPr>
          <w:rFonts w:hint="eastAsia" w:ascii="方正仿宋_GBK" w:hAnsi="方正仿宋_GBK" w:eastAsia="方正仿宋_GBK" w:cs="方正仿宋_GBK"/>
          <w:sz w:val="28"/>
          <w:szCs w:val="28"/>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w:t>
      </w:r>
      <w:r>
        <w:rPr>
          <w:rFonts w:hint="eastAsia" w:ascii="方正仿宋_GBK" w:hAnsi="方正仿宋_GBK" w:eastAsia="方正仿宋_GBK" w:cs="方正仿宋_GBK"/>
          <w:sz w:val="28"/>
          <w:szCs w:val="28"/>
          <w:shd w:val="clear" w:color="auto" w:fill="FFFFFF"/>
          <w:lang w:val="en-US" w:eastAsia="zh-CN"/>
        </w:rPr>
        <w:t>1</w:t>
      </w:r>
      <w:r>
        <w:rPr>
          <w:rFonts w:hint="eastAsia" w:ascii="方正仿宋_GBK" w:hAnsi="方正仿宋_GBK" w:eastAsia="方正仿宋_GBK" w:cs="方正仿宋_GBK"/>
          <w:sz w:val="28"/>
          <w:szCs w:val="28"/>
          <w:shd w:val="clear" w:color="auto" w:fill="FFFFFF"/>
        </w:rPr>
        <w:t>）社会保障与就业支出</w:t>
      </w:r>
      <w:r>
        <w:rPr>
          <w:rFonts w:hint="eastAsia" w:ascii="方正仿宋_GBK" w:hAnsi="方正仿宋_GBK" w:eastAsia="方正仿宋_GBK" w:cs="方正仿宋_GBK"/>
          <w:sz w:val="28"/>
          <w:szCs w:val="28"/>
        </w:rPr>
        <w:t>24.10</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8.97</w:t>
      </w:r>
      <w:r>
        <w:rPr>
          <w:rFonts w:hint="eastAsia" w:ascii="方正仿宋_GBK" w:hAnsi="方正仿宋_GBK" w:eastAsia="方正仿宋_GBK" w:cs="方正仿宋_GBK"/>
          <w:sz w:val="28"/>
          <w:szCs w:val="28"/>
          <w:shd w:val="clear" w:color="auto" w:fill="FFFFFF"/>
        </w:rPr>
        <w:t>%，较年初预算数无增减。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w:t>
      </w:r>
      <w:r>
        <w:rPr>
          <w:rFonts w:hint="eastAsia" w:ascii="方正仿宋_GBK" w:hAnsi="方正仿宋_GBK" w:eastAsia="方正仿宋_GBK" w:cs="方正仿宋_GBK"/>
          <w:sz w:val="28"/>
          <w:szCs w:val="28"/>
          <w:shd w:val="clear" w:color="auto" w:fill="FFFFFF"/>
          <w:lang w:val="en-US" w:eastAsia="zh-CN"/>
        </w:rPr>
        <w:t>2</w:t>
      </w:r>
      <w:r>
        <w:rPr>
          <w:rFonts w:hint="eastAsia" w:ascii="方正仿宋_GBK" w:hAnsi="方正仿宋_GBK" w:eastAsia="方正仿宋_GBK" w:cs="方正仿宋_GBK"/>
          <w:sz w:val="28"/>
          <w:szCs w:val="28"/>
          <w:shd w:val="clear" w:color="auto" w:fill="FFFFFF"/>
        </w:rPr>
        <w:t>）卫生健康支出</w:t>
      </w:r>
      <w:r>
        <w:rPr>
          <w:rFonts w:hint="eastAsia" w:ascii="方正仿宋_GBK" w:hAnsi="方正仿宋_GBK" w:eastAsia="方正仿宋_GBK" w:cs="方正仿宋_GBK"/>
          <w:sz w:val="28"/>
          <w:szCs w:val="28"/>
        </w:rPr>
        <w:t>12.10</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4.50</w:t>
      </w:r>
      <w:r>
        <w:rPr>
          <w:rFonts w:hint="eastAsia" w:ascii="方正仿宋_GBK" w:hAnsi="方正仿宋_GBK" w:eastAsia="方正仿宋_GBK" w:cs="方正仿宋_GBK"/>
          <w:sz w:val="28"/>
          <w:szCs w:val="28"/>
          <w:shd w:val="clear" w:color="auto" w:fill="FFFFFF"/>
        </w:rPr>
        <w:t>%，较年初预算数无增减。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color w:val="FF0000"/>
          <w:sz w:val="28"/>
          <w:szCs w:val="28"/>
          <w:shd w:val="clear" w:color="auto" w:fill="FFFFFF"/>
        </w:rPr>
      </w:pPr>
      <w:r>
        <w:rPr>
          <w:rFonts w:hint="eastAsia" w:ascii="方正仿宋_GBK" w:hAnsi="方正仿宋_GBK" w:eastAsia="方正仿宋_GBK" w:cs="方正仿宋_GBK"/>
          <w:sz w:val="28"/>
          <w:szCs w:val="28"/>
          <w:shd w:val="clear" w:color="auto" w:fill="FFFFFF"/>
        </w:rPr>
        <w:t>（</w:t>
      </w:r>
      <w:r>
        <w:rPr>
          <w:rFonts w:hint="eastAsia" w:ascii="方正仿宋_GBK" w:hAnsi="方正仿宋_GBK" w:eastAsia="方正仿宋_GBK" w:cs="方正仿宋_GBK"/>
          <w:sz w:val="28"/>
          <w:szCs w:val="28"/>
          <w:shd w:val="clear" w:color="auto" w:fill="FFFFFF"/>
          <w:lang w:val="en-US" w:eastAsia="zh-CN"/>
        </w:rPr>
        <w:t>3</w:t>
      </w:r>
      <w:r>
        <w:rPr>
          <w:rFonts w:hint="eastAsia" w:ascii="方正仿宋_GBK" w:hAnsi="方正仿宋_GBK" w:eastAsia="方正仿宋_GBK" w:cs="方正仿宋_GBK"/>
          <w:sz w:val="28"/>
          <w:szCs w:val="28"/>
          <w:shd w:val="clear" w:color="auto" w:fill="FFFFFF"/>
        </w:rPr>
        <w:t>）农林水支出</w:t>
      </w:r>
      <w:r>
        <w:rPr>
          <w:rFonts w:hint="eastAsia" w:ascii="方正仿宋_GBK" w:hAnsi="方正仿宋_GBK" w:eastAsia="方正仿宋_GBK" w:cs="方正仿宋_GBK"/>
          <w:sz w:val="28"/>
          <w:szCs w:val="28"/>
        </w:rPr>
        <w:t>220.04</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81.84</w:t>
      </w:r>
      <w:r>
        <w:rPr>
          <w:rFonts w:hint="eastAsia" w:ascii="方正仿宋_GBK" w:hAnsi="方正仿宋_GBK" w:eastAsia="方正仿宋_GBK" w:cs="方正仿宋_GBK"/>
          <w:sz w:val="28"/>
          <w:szCs w:val="28"/>
          <w:shd w:val="clear" w:color="auto" w:fill="FFFFFF"/>
        </w:rPr>
        <w:t>%，较年初预算数增加28.44万元，增长14.84%，主要原因是单位在2023年有人员新增，导致实际较年初有所增加。</w:t>
      </w:r>
    </w:p>
    <w:p>
      <w:pPr>
        <w:keepNext w:val="0"/>
        <w:keepLines w:val="0"/>
        <w:pageBreakBefore w:val="0"/>
        <w:widowControl/>
        <w:kinsoku/>
        <w:wordWrap/>
        <w:overflowPunct/>
        <w:topLinePunct w:val="0"/>
        <w:autoSpaceDN/>
        <w:bidi w:val="0"/>
        <w:adjustRightInd/>
        <w:spacing w:line="594" w:lineRule="exact"/>
        <w:ind w:firstLine="560" w:firstLineChars="200"/>
        <w:jc w:val="both"/>
        <w:textAlignment w:val="auto"/>
        <w:rPr>
          <w:rFonts w:hint="eastAsia" w:ascii="方正仿宋_GBK" w:hAnsi="方正仿宋_GBK" w:eastAsia="方正仿宋_GBK" w:cs="方正仿宋_GBK"/>
          <w:color w:val="FF0000"/>
          <w:sz w:val="28"/>
          <w:szCs w:val="28"/>
          <w:shd w:val="clear" w:color="auto" w:fill="FFFFFF"/>
        </w:rPr>
      </w:pPr>
      <w:r>
        <w:rPr>
          <w:rFonts w:hint="eastAsia" w:ascii="方正仿宋_GBK" w:hAnsi="方正仿宋_GBK" w:eastAsia="方正仿宋_GBK" w:cs="方正仿宋_GBK"/>
          <w:sz w:val="28"/>
          <w:szCs w:val="28"/>
          <w:shd w:val="clear" w:color="auto" w:fill="FFFFFF"/>
        </w:rPr>
        <w:t>（</w:t>
      </w:r>
      <w:r>
        <w:rPr>
          <w:rFonts w:hint="eastAsia" w:ascii="方正仿宋_GBK" w:hAnsi="方正仿宋_GBK" w:eastAsia="方正仿宋_GBK" w:cs="方正仿宋_GBK"/>
          <w:sz w:val="28"/>
          <w:szCs w:val="28"/>
          <w:shd w:val="clear" w:color="auto" w:fill="FFFFFF"/>
          <w:lang w:val="en-US" w:eastAsia="zh-CN"/>
        </w:rPr>
        <w:t>4</w:t>
      </w:r>
      <w:r>
        <w:rPr>
          <w:rFonts w:hint="eastAsia" w:ascii="方正仿宋_GBK" w:hAnsi="方正仿宋_GBK" w:eastAsia="方正仿宋_GBK" w:cs="方正仿宋_GBK"/>
          <w:sz w:val="28"/>
          <w:szCs w:val="28"/>
          <w:shd w:val="clear" w:color="auto" w:fill="FFFFFF"/>
        </w:rPr>
        <w:t>）</w:t>
      </w:r>
      <w:r>
        <w:rPr>
          <w:rFonts w:hint="eastAsia" w:ascii="方正仿宋_GBK" w:hAnsi="方正仿宋_GBK" w:eastAsia="方正仿宋_GBK" w:cs="方正仿宋_GBK"/>
          <w:sz w:val="28"/>
          <w:szCs w:val="28"/>
        </w:rPr>
        <w:t>住房保障支出12.61</w:t>
      </w:r>
      <w:r>
        <w:rPr>
          <w:rFonts w:hint="eastAsia" w:ascii="方正仿宋_GBK" w:hAnsi="方正仿宋_GBK" w:eastAsia="方正仿宋_GBK" w:cs="方正仿宋_GBK"/>
          <w:sz w:val="28"/>
          <w:szCs w:val="28"/>
          <w:shd w:val="clear" w:color="auto" w:fill="FFFFFF"/>
        </w:rPr>
        <w:t>万元，占</w:t>
      </w:r>
      <w:r>
        <w:rPr>
          <w:rFonts w:hint="eastAsia" w:ascii="方正仿宋_GBK" w:hAnsi="方正仿宋_GBK" w:eastAsia="方正仿宋_GBK" w:cs="方正仿宋_GBK"/>
          <w:sz w:val="28"/>
          <w:szCs w:val="28"/>
        </w:rPr>
        <w:t>4.69</w:t>
      </w:r>
      <w:r>
        <w:rPr>
          <w:rFonts w:hint="eastAsia" w:ascii="方正仿宋_GBK" w:hAnsi="方正仿宋_GBK" w:eastAsia="方正仿宋_GBK" w:cs="方正仿宋_GBK"/>
          <w:sz w:val="28"/>
          <w:szCs w:val="28"/>
          <w:shd w:val="clear" w:color="auto" w:fill="FFFFFF"/>
        </w:rPr>
        <w:t>%，较年初预算数无增减。</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2023年度一般公共财政拨款基本支出</w:t>
      </w:r>
      <w:r>
        <w:rPr>
          <w:rFonts w:hint="eastAsia" w:ascii="方正仿宋_GBK" w:hAnsi="方正仿宋_GBK" w:eastAsia="方正仿宋_GBK" w:cs="方正仿宋_GBK"/>
          <w:sz w:val="28"/>
          <w:szCs w:val="28"/>
        </w:rPr>
        <w:t>268.85</w:t>
      </w:r>
      <w:r>
        <w:rPr>
          <w:rFonts w:hint="eastAsia" w:ascii="方正仿宋_GBK" w:hAnsi="方正仿宋_GBK" w:eastAsia="方正仿宋_GBK" w:cs="方正仿宋_GBK"/>
          <w:sz w:val="28"/>
          <w:szCs w:val="28"/>
          <w:shd w:val="clear" w:color="auto" w:fill="FFFFFF"/>
        </w:rPr>
        <w:t>万元。其中：人员经费</w:t>
      </w:r>
      <w:r>
        <w:rPr>
          <w:rFonts w:hint="eastAsia" w:ascii="方正仿宋_GBK" w:hAnsi="方正仿宋_GBK" w:eastAsia="方正仿宋_GBK" w:cs="方正仿宋_GBK"/>
          <w:sz w:val="28"/>
          <w:szCs w:val="28"/>
        </w:rPr>
        <w:t>236.98</w:t>
      </w:r>
      <w:r>
        <w:rPr>
          <w:rFonts w:hint="eastAsia" w:ascii="方正仿宋_GBK" w:hAnsi="方正仿宋_GBK" w:eastAsia="方正仿宋_GBK" w:cs="方正仿宋_GBK"/>
          <w:sz w:val="28"/>
          <w:szCs w:val="28"/>
          <w:shd w:val="clear" w:color="auto" w:fill="FFFFFF"/>
        </w:rPr>
        <w:t>万元，较上年决算数增加236.98万元，增长100.00%，主要原因是2023年度以前，本单位在林业局（本级）里面统一核算未进行单独核算，在2023年底进行了分账，因此导致本年数据较上年增加。人员经费用途主要包括</w:t>
      </w:r>
      <w:r>
        <w:rPr>
          <w:rFonts w:hint="eastAsia" w:ascii="方正仿宋_GBK" w:hAnsi="方正仿宋_GBK" w:eastAsia="方正仿宋_GBK" w:cs="方正仿宋_GBK"/>
          <w:snapToGrid w:val="0"/>
          <w:sz w:val="28"/>
          <w:szCs w:val="28"/>
        </w:rPr>
        <w:t>工基本工资、津贴补贴、奖金、社会保障缴费等。</w:t>
      </w:r>
      <w:r>
        <w:rPr>
          <w:rFonts w:hint="eastAsia" w:ascii="方正仿宋_GBK" w:hAnsi="方正仿宋_GBK" w:eastAsia="方正仿宋_GBK" w:cs="方正仿宋_GBK"/>
          <w:sz w:val="28"/>
          <w:szCs w:val="28"/>
          <w:shd w:val="clear" w:color="auto" w:fill="FFFFFF"/>
        </w:rPr>
        <w:t>公用经费</w:t>
      </w:r>
      <w:r>
        <w:rPr>
          <w:rFonts w:hint="eastAsia" w:ascii="方正仿宋_GBK" w:hAnsi="方正仿宋_GBK" w:eastAsia="方正仿宋_GBK" w:cs="方正仿宋_GBK"/>
          <w:sz w:val="28"/>
          <w:szCs w:val="28"/>
        </w:rPr>
        <w:t>31.87</w:t>
      </w:r>
      <w:r>
        <w:rPr>
          <w:rFonts w:hint="eastAsia" w:ascii="方正仿宋_GBK" w:hAnsi="方正仿宋_GBK" w:eastAsia="方正仿宋_GBK" w:cs="方正仿宋_GBK"/>
          <w:sz w:val="28"/>
          <w:szCs w:val="28"/>
          <w:shd w:val="clear" w:color="auto" w:fill="FFFFFF"/>
        </w:rPr>
        <w:t>万元，较上年决算数增加31.87万元，增长100.00%，主要原因是2023年度以前，本单位在林业局（本级）里面统一核算未进行单独核算，在2023年底进行了分账，因此导致本年数据较上年增加。公用经费用途主要包括</w:t>
      </w:r>
      <w:r>
        <w:rPr>
          <w:rFonts w:hint="eastAsia" w:ascii="方正仿宋_GBK" w:hAnsi="方正仿宋_GBK" w:eastAsia="方正仿宋_GBK" w:cs="方正仿宋_GBK"/>
          <w:snapToGrid w:val="0"/>
          <w:sz w:val="28"/>
          <w:szCs w:val="28"/>
        </w:rPr>
        <w:t>办公费、水电费、印刷费、咨询费、手续费、差旅费、劳务费等。</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本单位2023年度无政府性基金预算财政拨款收支。</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line="594" w:lineRule="exact"/>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2023年度“三公”经费支出共计</w:t>
      </w:r>
      <w:r>
        <w:rPr>
          <w:rFonts w:hint="eastAsia" w:ascii="方正仿宋_GBK" w:hAnsi="方正仿宋_GBK" w:eastAsia="方正仿宋_GBK" w:cs="方正仿宋_GBK"/>
          <w:sz w:val="28"/>
          <w:szCs w:val="28"/>
        </w:rPr>
        <w:t>2.00</w:t>
      </w:r>
      <w:r>
        <w:rPr>
          <w:rFonts w:hint="eastAsia" w:ascii="方正仿宋_GBK" w:hAnsi="方正仿宋_GBK" w:eastAsia="方正仿宋_GBK" w:cs="方正仿宋_GBK"/>
          <w:sz w:val="28"/>
          <w:szCs w:val="28"/>
          <w:shd w:val="clear" w:color="auto" w:fill="FFFFFF"/>
        </w:rPr>
        <w:t>万元，较年初预算数减少4.00万元，下降66.67%，主要原因是年初预算了公务用车运行维护费，但是单位的车辆及其他的资产均在林业局（本级）核算，因此费用较年初预算有所减少。较上年支出数增加2.00万元，增长100.00%，主要原因是2023年度以前，本单位在林业局（本级）里面统一核算未进行单独核算，在2023年底进行了分账，因此导致本年数据较上年增加。</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2023年度本单位未发生因公出国（境）费用， 公务车购置费，公务车运行维护费</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shd w:val="clear" w:color="auto" w:fill="FFFFFF"/>
        </w:rPr>
        <w:t>公务接待费</w:t>
      </w:r>
      <w:r>
        <w:rPr>
          <w:rFonts w:hint="eastAsia" w:ascii="方正仿宋_GBK" w:hAnsi="方正仿宋_GBK" w:eastAsia="方正仿宋_GBK" w:cs="方正仿宋_GBK"/>
          <w:sz w:val="28"/>
          <w:szCs w:val="28"/>
        </w:rPr>
        <w:t>2.00</w:t>
      </w:r>
      <w:r>
        <w:rPr>
          <w:rFonts w:hint="eastAsia" w:ascii="方正仿宋_GBK" w:hAnsi="方正仿宋_GBK" w:eastAsia="方正仿宋_GBK" w:cs="方正仿宋_GBK"/>
          <w:sz w:val="28"/>
          <w:szCs w:val="28"/>
          <w:shd w:val="clear" w:color="auto" w:fill="FFFFFF"/>
        </w:rPr>
        <w:t>万元，主要用于接待天然林管护、森林资源调查等工作检查支出。费用支出较年初预算数无增减。较上年支出数增加2.00万元，增长100.00%，主要原因是2023年度以前，本单位在林业局（本级）里面统一核算未进行单独核算，在2023年底进行了分账，因此导致本年数据较上年增加。</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2023年度本单位因公出国（境）共计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个团组，</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人；公务用车购置</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辆，公务车保有量为</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辆；国内公务接待</w:t>
      </w:r>
      <w:r>
        <w:rPr>
          <w:rFonts w:hint="eastAsia" w:ascii="方正仿宋_GBK" w:hAnsi="方正仿宋_GBK" w:eastAsia="方正仿宋_GBK" w:cs="方正仿宋_GBK"/>
          <w:sz w:val="28"/>
          <w:szCs w:val="28"/>
        </w:rPr>
        <w:t>84</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334</w:t>
      </w:r>
      <w:r>
        <w:rPr>
          <w:rFonts w:hint="eastAsia" w:ascii="方正仿宋_GBK" w:hAnsi="方正仿宋_GBK" w:eastAsia="方正仿宋_GBK" w:cs="方正仿宋_GBK"/>
          <w:sz w:val="28"/>
          <w:szCs w:val="28"/>
          <w:shd w:val="clear" w:color="auto" w:fill="FFFFFF"/>
        </w:rPr>
        <w:t>人，其中：国内外事接待</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人；国（境）外公务接待</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批次，</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人。2023年本单位人均接待费</w:t>
      </w:r>
      <w:r>
        <w:rPr>
          <w:rFonts w:hint="eastAsia" w:ascii="方正仿宋_GBK" w:hAnsi="方正仿宋_GBK" w:eastAsia="方正仿宋_GBK" w:cs="方正仿宋_GBK"/>
          <w:sz w:val="28"/>
          <w:szCs w:val="28"/>
        </w:rPr>
        <w:t>59.88</w:t>
      </w:r>
      <w:r>
        <w:rPr>
          <w:rFonts w:hint="eastAsia" w:ascii="方正仿宋_GBK" w:hAnsi="方正仿宋_GBK" w:eastAsia="方正仿宋_GBK" w:cs="方正仿宋_GBK"/>
          <w:sz w:val="28"/>
          <w:szCs w:val="28"/>
          <w:shd w:val="clear" w:color="auto" w:fill="FFFFFF"/>
        </w:rPr>
        <w:t>元，车均购置费</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万元，车均维护费</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line="594" w:lineRule="exact"/>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本年度会议费支出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万元，较上年决算数无增减，本年度培训费支出</w:t>
      </w:r>
      <w:r>
        <w:rPr>
          <w:rFonts w:hint="eastAsia" w:ascii="方正仿宋_GBK" w:hAnsi="方正仿宋_GBK" w:eastAsia="方正仿宋_GBK" w:cs="方正仿宋_GBK"/>
          <w:sz w:val="28"/>
          <w:szCs w:val="28"/>
        </w:rPr>
        <w:t>0.12</w:t>
      </w:r>
      <w:r>
        <w:rPr>
          <w:rFonts w:hint="eastAsia" w:ascii="方正仿宋_GBK" w:hAnsi="方正仿宋_GBK" w:eastAsia="方正仿宋_GBK" w:cs="方正仿宋_GBK"/>
          <w:sz w:val="28"/>
          <w:szCs w:val="28"/>
          <w:shd w:val="clear" w:color="auto" w:fill="FFFFFF"/>
        </w:rPr>
        <w:t>万元，较上年决算数增加0.12万元，增长100.00%，主要原因是今年单位有人员新进需接受培训，且2023年度以前，本单位在林业局（本级）里面统一核算未进行单独核算，在2023年底进行了分账，因此导致本年数据较上年增加。</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2023年度本单位机关运行经费支出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万元，机关运行经费主要用于开支</w:t>
      </w:r>
      <w:r>
        <w:rPr>
          <w:rFonts w:hint="eastAsia" w:ascii="方正仿宋_GBK" w:hAnsi="方正仿宋_GBK" w:eastAsia="方正仿宋_GBK" w:cs="方正仿宋_GBK"/>
          <w:snapToGrid w:val="0"/>
          <w:sz w:val="28"/>
          <w:szCs w:val="28"/>
        </w:rPr>
        <w:t>办公费、公务车运行维护费、信息网络费、劳务费、差旅费等。</w:t>
      </w:r>
      <w:r>
        <w:rPr>
          <w:rFonts w:hint="eastAsia" w:ascii="方正仿宋_GBK" w:hAnsi="方正仿宋_GBK" w:eastAsia="方正仿宋_GBK" w:cs="方正仿宋_GBK"/>
          <w:sz w:val="28"/>
          <w:szCs w:val="28"/>
          <w:shd w:val="clear" w:color="auto" w:fill="FFFFFF"/>
        </w:rPr>
        <w:t>机关运行经费较上年支出数无增减。</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shd w:val="clear" w:color="auto" w:fill="FFFFFF"/>
        </w:rPr>
        <w:t>截至2023年12月31日，本单位共有车辆</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辆，其中，副部（省）级及以上领导用车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辆、主要领导干部用车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辆、机要通信用车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辆、应急保障用车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辆、执法执勤用车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辆，特种专业技术用车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辆，离退休干部用车</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辆。单价100万元（含）以上设备（不含车辆）</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台（套）。</w:t>
      </w:r>
    </w:p>
    <w:p>
      <w:pPr>
        <w:pStyle w:val="12"/>
        <w:keepNext w:val="0"/>
        <w:keepLines w:val="0"/>
        <w:pageBreakBefore w:val="0"/>
        <w:widowControl/>
        <w:kinsoku/>
        <w:wordWrap/>
        <w:overflowPunct/>
        <w:topLinePunct w:val="0"/>
        <w:autoSpaceDE w:val="0"/>
        <w:autoSpaceDN/>
        <w:bidi w:val="0"/>
        <w:adjustRightInd/>
        <w:spacing w:line="594" w:lineRule="exact"/>
        <w:ind w:firstLine="643"/>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color w:val="FF0000"/>
          <w:sz w:val="28"/>
          <w:szCs w:val="28"/>
          <w:shd w:val="clear" w:color="auto" w:fill="FFFFFF"/>
        </w:rPr>
      </w:pPr>
      <w:r>
        <w:rPr>
          <w:rFonts w:hint="eastAsia" w:ascii="方正仿宋_GBK" w:hAnsi="方正仿宋_GBK" w:eastAsia="方正仿宋_GBK" w:cs="方正仿宋_GBK"/>
          <w:sz w:val="28"/>
          <w:szCs w:val="28"/>
          <w:shd w:val="clear" w:color="auto" w:fill="FFFFFF"/>
        </w:rPr>
        <w:t>2023年度本单位政府采购支出总额</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万元，其中：政府采购货物支出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万元、政府采购工程支出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万元、政府采购服务支出</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万元。授予中小企业合同金额</w:t>
      </w:r>
      <w:r>
        <w:rPr>
          <w:rFonts w:hint="eastAsia" w:ascii="方正仿宋_GBK" w:hAnsi="方正仿宋_GBK" w:eastAsia="方正仿宋_GBK" w:cs="方正仿宋_GBK"/>
          <w:sz w:val="28"/>
          <w:szCs w:val="28"/>
        </w:rPr>
        <w:t>0.00万</w:t>
      </w:r>
      <w:r>
        <w:rPr>
          <w:rFonts w:hint="eastAsia" w:ascii="方正仿宋_GBK" w:hAnsi="方正仿宋_GBK" w:eastAsia="方正仿宋_GBK" w:cs="方正仿宋_GBK"/>
          <w:sz w:val="28"/>
          <w:szCs w:val="28"/>
          <w:shd w:val="clear" w:color="auto" w:fill="FFFFFF"/>
        </w:rPr>
        <w:t>元，占政府采购支出总额的</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%，其中：授予小微企业合同金额</w:t>
      </w:r>
      <w:r>
        <w:rPr>
          <w:rFonts w:hint="eastAsia" w:ascii="方正仿宋_GBK" w:hAnsi="方正仿宋_GBK" w:eastAsia="方正仿宋_GBK" w:cs="方正仿宋_GBK"/>
          <w:sz w:val="28"/>
          <w:szCs w:val="28"/>
        </w:rPr>
        <w:t>0.00</w:t>
      </w:r>
      <w:r>
        <w:rPr>
          <w:rFonts w:hint="eastAsia" w:ascii="方正仿宋_GBK" w:hAnsi="方正仿宋_GBK" w:eastAsia="方正仿宋_GBK" w:cs="方正仿宋_GBK"/>
          <w:sz w:val="28"/>
          <w:szCs w:val="28"/>
          <w:shd w:val="clear" w:color="auto" w:fill="FFFFFF"/>
        </w:rPr>
        <w:t>万元，占政府采购支出总额的</w:t>
      </w:r>
      <w:r>
        <w:rPr>
          <w:rFonts w:hint="eastAsia" w:ascii="方正仿宋_GBK" w:hAnsi="方正仿宋_GBK" w:eastAsia="方正仿宋_GBK" w:cs="方正仿宋_GBK"/>
          <w:sz w:val="28"/>
          <w:szCs w:val="28"/>
        </w:rPr>
        <w:t>0</w:t>
      </w:r>
      <w:r>
        <w:rPr>
          <w:rFonts w:hint="eastAsia" w:ascii="方正仿宋_GBK" w:hAnsi="方正仿宋_GBK" w:eastAsia="方正仿宋_GBK" w:cs="方正仿宋_GBK"/>
          <w:sz w:val="28"/>
          <w:szCs w:val="28"/>
          <w:shd w:val="clear" w:color="auto" w:fill="FFFFFF"/>
        </w:rPr>
        <w:t xml:space="preserve"> %。</w:t>
      </w:r>
    </w:p>
    <w:p>
      <w:pPr>
        <w:pStyle w:val="6"/>
        <w:keepNext w:val="0"/>
        <w:keepLines w:val="0"/>
        <w:pageBreakBefore w:val="0"/>
        <w:widowControl/>
        <w:shd w:val="clear" w:color="auto" w:fill="FFFFFF"/>
        <w:kinsoku/>
        <w:wordWrap/>
        <w:overflowPunct/>
        <w:topLinePunct w:val="0"/>
        <w:autoSpaceDN/>
        <w:bidi w:val="0"/>
        <w:adjustRightInd/>
        <w:spacing w:line="594" w:lineRule="exact"/>
        <w:jc w:val="both"/>
        <w:textAlignment w:val="auto"/>
        <w:rPr>
          <w:rStyle w:val="10"/>
          <w:rFonts w:hint="eastAsia" w:ascii="方正黑体_GBK" w:hAnsi="方正黑体_GBK" w:eastAsia="方正黑体_GBK" w:cs="方正黑体_GBK"/>
          <w:b w:val="0"/>
          <w:bCs/>
          <w:sz w:val="28"/>
          <w:szCs w:val="28"/>
          <w:shd w:val="clear" w:color="auto" w:fill="FFFFFF"/>
        </w:rPr>
      </w:pPr>
      <w:r>
        <w:rPr>
          <w:rStyle w:val="10"/>
          <w:rFonts w:hint="eastAsia" w:ascii="方正黑体_GBK" w:hAnsi="方正黑体_GBK" w:eastAsia="方正黑体_GBK" w:cs="方正黑体_GBK"/>
          <w:b w:val="0"/>
          <w:bCs/>
          <w:sz w:val="28"/>
          <w:szCs w:val="28"/>
          <w:shd w:val="clear" w:color="auto" w:fill="FFFFFF"/>
          <w:lang w:eastAsia="zh-CN"/>
        </w:rPr>
        <w:t>五、</w:t>
      </w:r>
      <w:r>
        <w:rPr>
          <w:rStyle w:val="10"/>
          <w:rFonts w:hint="eastAsia" w:ascii="方正黑体_GBK" w:hAnsi="方正黑体_GBK" w:eastAsia="方正黑体_GBK" w:cs="方正黑体_GBK"/>
          <w:b w:val="0"/>
          <w:bCs/>
          <w:sz w:val="28"/>
          <w:szCs w:val="28"/>
          <w:shd w:val="clear" w:color="auto" w:fill="FFFFFF"/>
        </w:rPr>
        <w:t>预算绩效管理情况说明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eastAsia="zh-CN"/>
        </w:rPr>
        <w:t>（一）</w:t>
      </w:r>
      <w:r>
        <w:rPr>
          <w:rFonts w:hint="eastAsia" w:ascii="方正仿宋_GBK" w:hAnsi="方正仿宋_GBK" w:eastAsia="方正仿宋_GBK" w:cs="方正仿宋_GBK"/>
          <w:b/>
          <w:bCs/>
          <w:sz w:val="28"/>
          <w:szCs w:val="28"/>
          <w:shd w:val="clear" w:color="auto" w:fill="FFFFFF"/>
        </w:rPr>
        <w:t>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2023年度本单位无项目资金，未开展预算绩效自评。</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rPr>
      </w:pPr>
      <w:r>
        <w:rPr>
          <w:rFonts w:hint="eastAsia" w:ascii="方正仿宋_GBK" w:hAnsi="方正仿宋_GBK" w:eastAsia="方正仿宋_GBK" w:cs="方正仿宋_GBK"/>
          <w:b/>
          <w:bCs/>
          <w:sz w:val="28"/>
          <w:szCs w:val="28"/>
          <w:shd w:val="clear" w:color="auto" w:fill="FFFFFF"/>
          <w:lang w:eastAsia="zh-CN"/>
        </w:rPr>
        <w:t>（二）</w:t>
      </w:r>
      <w:r>
        <w:rPr>
          <w:rFonts w:hint="eastAsia" w:ascii="方正仿宋_GBK" w:hAnsi="方正仿宋_GBK" w:eastAsia="方正仿宋_GBK" w:cs="方正仿宋_GBK"/>
          <w:b/>
          <w:bCs/>
          <w:sz w:val="28"/>
          <w:szCs w:val="28"/>
          <w:shd w:val="clear" w:color="auto" w:fill="FFFFFF"/>
        </w:rPr>
        <w:t>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2023年度本单位无项目资金，未组织开展单位绩效评价。</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b/>
          <w:bCs/>
          <w:sz w:val="28"/>
          <w:szCs w:val="28"/>
          <w:shd w:val="clear" w:color="auto" w:fill="FFFFFF"/>
          <w:lang w:eastAsia="zh-CN"/>
        </w:rPr>
      </w:pPr>
      <w:r>
        <w:rPr>
          <w:rFonts w:hint="eastAsia" w:ascii="方正仿宋_GBK" w:hAnsi="方正仿宋_GBK" w:eastAsia="方正仿宋_GBK" w:cs="方正仿宋_GBK"/>
          <w:b/>
          <w:bCs/>
          <w:sz w:val="28"/>
          <w:szCs w:val="28"/>
          <w:shd w:val="clear" w:color="auto" w:fill="FFFFFF"/>
          <w:lang w:eastAsia="zh-CN"/>
        </w:rPr>
        <w:t>（三）财政绩</w:t>
      </w:r>
      <w:bookmarkStart w:id="0" w:name="_GoBack"/>
      <w:bookmarkEnd w:id="0"/>
      <w:r>
        <w:rPr>
          <w:rFonts w:hint="eastAsia" w:ascii="方正仿宋_GBK" w:hAnsi="方正仿宋_GBK" w:eastAsia="方正仿宋_GBK" w:cs="方正仿宋_GBK"/>
          <w:b/>
          <w:bCs/>
          <w:sz w:val="28"/>
          <w:szCs w:val="28"/>
          <w:shd w:val="clear" w:color="auto" w:fill="FFFFFF"/>
          <w:lang w:eastAsia="zh-CN"/>
        </w:rPr>
        <w:t>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line="594" w:lineRule="exact"/>
        <w:jc w:val="both"/>
        <w:textAlignment w:val="auto"/>
        <w:rPr>
          <w:rStyle w:val="10"/>
          <w:rFonts w:hint="eastAsia" w:ascii="方正黑体_GBK" w:hAnsi="方正黑体_GBK" w:eastAsia="方正黑体_GBK" w:cs="方正黑体_GBK"/>
          <w:b w:val="0"/>
          <w:bCs/>
          <w:sz w:val="28"/>
          <w:szCs w:val="28"/>
          <w:shd w:val="clear" w:color="auto" w:fill="FFFFFF"/>
          <w:lang w:eastAsia="zh-CN"/>
        </w:rPr>
      </w:pPr>
      <w:r>
        <w:rPr>
          <w:rStyle w:val="10"/>
          <w:rFonts w:hint="eastAsia" w:ascii="方正黑体_GBK" w:hAnsi="方正黑体_GBK" w:eastAsia="方正黑体_GBK" w:cs="方正黑体_GBK"/>
          <w:b w:val="0"/>
          <w:bCs/>
          <w:sz w:val="28"/>
          <w:szCs w:val="28"/>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shd w:val="clear" w:color="auto" w:fill="FFFFFF"/>
        </w:rPr>
        <w:t>（一）财政拨款收入：</w:t>
      </w:r>
      <w:r>
        <w:rPr>
          <w:rFonts w:hint="eastAsia" w:ascii="方正仿宋_GBK" w:hAnsi="方正仿宋_GBK" w:eastAsia="方正仿宋_GBK" w:cs="方正仿宋_GBK"/>
          <w:sz w:val="28"/>
          <w:szCs w:val="28"/>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（二）事业收入</w:t>
      </w:r>
      <w:r>
        <w:rPr>
          <w:rFonts w:hint="eastAsia" w:ascii="方正仿宋_GBK" w:hAnsi="方正仿宋_GBK" w:eastAsia="方正仿宋_GBK" w:cs="方正仿宋_GBK"/>
          <w:sz w:val="28"/>
          <w:szCs w:val="28"/>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（三）经营收入</w:t>
      </w:r>
      <w:r>
        <w:rPr>
          <w:rFonts w:hint="eastAsia" w:ascii="方正仿宋_GBK" w:hAnsi="方正仿宋_GBK" w:eastAsia="方正仿宋_GBK" w:cs="方正仿宋_GBK"/>
          <w:sz w:val="28"/>
          <w:szCs w:val="28"/>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（四）其他收入</w:t>
      </w:r>
      <w:r>
        <w:rPr>
          <w:rFonts w:hint="eastAsia" w:ascii="方正仿宋_GBK" w:hAnsi="方正仿宋_GBK" w:eastAsia="方正仿宋_GBK" w:cs="方正仿宋_GBK"/>
          <w:sz w:val="28"/>
          <w:szCs w:val="28"/>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（五）使用非财政拨款结余</w:t>
      </w:r>
      <w:r>
        <w:rPr>
          <w:rFonts w:hint="eastAsia" w:ascii="方正仿宋_GBK" w:hAnsi="方正仿宋_GBK" w:eastAsia="方正仿宋_GBK" w:cs="方正仿宋_GBK"/>
          <w:sz w:val="28"/>
          <w:szCs w:val="28"/>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（六）年初结转和结余</w:t>
      </w:r>
      <w:r>
        <w:rPr>
          <w:rFonts w:hint="eastAsia" w:ascii="方正仿宋_GBK" w:hAnsi="方正仿宋_GBK" w:eastAsia="方正仿宋_GBK" w:cs="方正仿宋_GBK"/>
          <w:sz w:val="28"/>
          <w:szCs w:val="28"/>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（七）结余分配</w:t>
      </w:r>
      <w:r>
        <w:rPr>
          <w:rFonts w:hint="eastAsia" w:ascii="方正仿宋_GBK" w:hAnsi="方正仿宋_GBK" w:eastAsia="方正仿宋_GBK" w:cs="方正仿宋_GBK"/>
          <w:sz w:val="28"/>
          <w:szCs w:val="28"/>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（八）年末结转和结余</w:t>
      </w:r>
      <w:r>
        <w:rPr>
          <w:rFonts w:hint="eastAsia" w:ascii="方正仿宋_GBK" w:hAnsi="方正仿宋_GBK" w:eastAsia="方正仿宋_GBK" w:cs="方正仿宋_GBK"/>
          <w:sz w:val="28"/>
          <w:szCs w:val="28"/>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（九）基本支出</w:t>
      </w:r>
      <w:r>
        <w:rPr>
          <w:rFonts w:hint="eastAsia" w:ascii="方正仿宋_GBK" w:hAnsi="方正仿宋_GBK" w:eastAsia="方正仿宋_GBK" w:cs="方正仿宋_GBK"/>
          <w:sz w:val="28"/>
          <w:szCs w:val="28"/>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（十）项目支出</w:t>
      </w:r>
      <w:r>
        <w:rPr>
          <w:rFonts w:hint="eastAsia" w:ascii="方正仿宋_GBK" w:hAnsi="方正仿宋_GBK" w:eastAsia="方正仿宋_GBK" w:cs="方正仿宋_GBK"/>
          <w:sz w:val="28"/>
          <w:szCs w:val="28"/>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（十一）经营支出</w:t>
      </w:r>
      <w:r>
        <w:rPr>
          <w:rFonts w:hint="eastAsia" w:ascii="方正仿宋_GBK" w:hAnsi="方正仿宋_GBK" w:eastAsia="方正仿宋_GBK" w:cs="方正仿宋_GBK"/>
          <w:sz w:val="28"/>
          <w:szCs w:val="28"/>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（十二）“三公”经费</w:t>
      </w:r>
      <w:r>
        <w:rPr>
          <w:rFonts w:hint="eastAsia" w:ascii="方正仿宋_GBK" w:hAnsi="方正仿宋_GBK" w:eastAsia="方正仿宋_GBK" w:cs="方正仿宋_GBK"/>
          <w:sz w:val="28"/>
          <w:szCs w:val="28"/>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（十三）机关运行经费</w:t>
      </w:r>
      <w:r>
        <w:rPr>
          <w:rFonts w:hint="eastAsia" w:ascii="方正仿宋_GBK" w:hAnsi="方正仿宋_GBK" w:eastAsia="方正仿宋_GBK" w:cs="方正仿宋_GBK"/>
          <w:sz w:val="28"/>
          <w:szCs w:val="28"/>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（十四）工资福利支出（支出经济分类科目类级）</w:t>
      </w:r>
      <w:r>
        <w:rPr>
          <w:rFonts w:hint="eastAsia" w:ascii="方正仿宋_GBK" w:hAnsi="方正仿宋_GBK" w:eastAsia="方正仿宋_GBK" w:cs="方正仿宋_GBK"/>
          <w:sz w:val="28"/>
          <w:szCs w:val="28"/>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（十五）商品和服务支出（支出经济分类科目类级）</w:t>
      </w:r>
      <w:r>
        <w:rPr>
          <w:rFonts w:hint="eastAsia" w:ascii="方正仿宋_GBK" w:hAnsi="方正仿宋_GBK" w:eastAsia="方正仿宋_GBK" w:cs="方正仿宋_GBK"/>
          <w:sz w:val="28"/>
          <w:szCs w:val="28"/>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（十六）对个人和家庭的补助（支出经济分类科目类级）</w:t>
      </w:r>
      <w:r>
        <w:rPr>
          <w:rFonts w:hint="eastAsia" w:ascii="方正仿宋_GBK" w:hAnsi="方正仿宋_GBK" w:eastAsia="方正仿宋_GBK" w:cs="方正仿宋_GBK"/>
          <w:sz w:val="28"/>
          <w:szCs w:val="28"/>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562" w:firstLineChars="200"/>
        <w:jc w:val="both"/>
        <w:textAlignment w:val="auto"/>
        <w:rPr>
          <w:rFonts w:hint="eastAsia" w:ascii="方正仿宋_GBK" w:hAnsi="方正仿宋_GBK" w:eastAsia="方正仿宋_GBK" w:cs="方正仿宋_GBK"/>
          <w:sz w:val="28"/>
          <w:szCs w:val="28"/>
        </w:rPr>
      </w:pPr>
      <w:r>
        <w:rPr>
          <w:rStyle w:val="10"/>
          <w:rFonts w:hint="eastAsia" w:ascii="方正仿宋_GBK" w:hAnsi="方正仿宋_GBK" w:eastAsia="方正仿宋_GBK" w:cs="方正仿宋_GBK"/>
          <w:sz w:val="28"/>
          <w:szCs w:val="28"/>
          <w:shd w:val="clear" w:color="auto" w:fill="FFFFFF"/>
        </w:rPr>
        <w:t>（十七）其他资本性支出（支出经济分类科目类级）</w:t>
      </w:r>
      <w:r>
        <w:rPr>
          <w:rFonts w:hint="eastAsia" w:ascii="方正仿宋_GBK" w:hAnsi="方正仿宋_GBK" w:eastAsia="方正仿宋_GBK" w:cs="方正仿宋_GBK"/>
          <w:sz w:val="28"/>
          <w:szCs w:val="28"/>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line="594" w:lineRule="exact"/>
        <w:jc w:val="both"/>
        <w:textAlignment w:val="auto"/>
        <w:rPr>
          <w:rStyle w:val="10"/>
          <w:rFonts w:hint="eastAsia" w:ascii="方正黑体_GBK" w:hAnsi="方正黑体_GBK" w:eastAsia="方正黑体_GBK" w:cs="方正黑体_GBK"/>
          <w:b w:val="0"/>
          <w:bCs/>
          <w:sz w:val="28"/>
          <w:szCs w:val="28"/>
          <w:shd w:val="clear" w:color="auto" w:fill="FFFFFF"/>
          <w:lang w:eastAsia="zh-CN"/>
        </w:rPr>
      </w:pPr>
      <w:r>
        <w:rPr>
          <w:rStyle w:val="10"/>
          <w:rFonts w:hint="eastAsia" w:ascii="方正黑体_GBK" w:hAnsi="方正黑体_GBK" w:eastAsia="方正黑体_GBK" w:cs="方正黑体_GBK"/>
          <w:b w:val="0"/>
          <w:bCs/>
          <w:sz w:val="28"/>
          <w:szCs w:val="28"/>
          <w:shd w:val="clear" w:color="auto" w:fill="FFFFFF"/>
          <w:lang w:eastAsia="zh-CN"/>
        </w:rPr>
        <w:t>七、决算公开联系方式及信息反馈渠道</w:t>
      </w:r>
    </w:p>
    <w:p>
      <w:pPr>
        <w:pStyle w:val="12"/>
        <w:keepNext w:val="0"/>
        <w:keepLines w:val="0"/>
        <w:pageBreakBefore w:val="0"/>
        <w:widowControl/>
        <w:kinsoku/>
        <w:wordWrap/>
        <w:overflowPunct/>
        <w:topLinePunct w:val="0"/>
        <w:autoSpaceDE w:val="0"/>
        <w:autoSpaceDN/>
        <w:bidi w:val="0"/>
        <w:adjustRightInd/>
        <w:snapToGrid/>
        <w:spacing w:line="594" w:lineRule="exact"/>
        <w:ind w:firstLine="560" w:firstLineChars="200"/>
        <w:jc w:val="both"/>
        <w:textAlignment w:val="auto"/>
        <w:rPr>
          <w:rFonts w:hint="eastAsia"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本单位决算公开信息反馈和联系方式：</w:t>
      </w:r>
    </w:p>
    <w:p>
      <w:pPr>
        <w:pStyle w:val="12"/>
        <w:keepNext w:val="0"/>
        <w:keepLines w:val="0"/>
        <w:pageBreakBefore w:val="0"/>
        <w:widowControl/>
        <w:kinsoku/>
        <w:wordWrap/>
        <w:overflowPunct/>
        <w:topLinePunct w:val="0"/>
        <w:autoSpaceDE w:val="0"/>
        <w:autoSpaceDN/>
        <w:bidi w:val="0"/>
        <w:adjustRightInd/>
        <w:snapToGrid/>
        <w:spacing w:line="594" w:lineRule="exact"/>
        <w:ind w:firstLine="560" w:firstLineChars="200"/>
        <w:jc w:val="both"/>
        <w:textAlignment w:val="auto"/>
        <w:rPr>
          <w:rFonts w:hint="eastAsia" w:ascii="方正仿宋_GBK" w:hAnsi="方正仿宋_GBK" w:eastAsia="方正仿宋_GBK" w:cs="方正仿宋_GBK"/>
          <w:sz w:val="28"/>
          <w:szCs w:val="28"/>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28"/>
          <w:szCs w:val="28"/>
          <w:shd w:val="clear" w:color="auto" w:fill="FFFFFF"/>
        </w:rPr>
        <w:t xml:space="preserve">联系人：陆鑫       联系电话：70606433      </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重庆市丰都县林业产业发展中心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268.85</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24.10</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12.10</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220.04</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12.61</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268.85</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268.85</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268.85</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268.85</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重庆市丰都县林业产业发展中心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268.85</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268.85</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12.61</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重庆市丰都县林业产业发展中心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268.85</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268.85</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220.04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12.61</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重庆市丰都县林业产业发展中心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268.85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220.04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220.04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12.61</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268.85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268.85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268.85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268.85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268.85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268.85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重庆市丰都县林业产业发展中心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268.85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268.85</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24.10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12.10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220.04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220.04</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12.61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12.61</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12.61</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重庆市丰都县林业产业发展中心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236.98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129.27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236.98</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31.87</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重庆市丰都县林业产业发展中心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重庆市丰都县林业产业发展中心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重庆市丰都县林业产业发展中心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84</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334</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0.12</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汉仪中秀体简">
    <w:panose1 w:val="00020600040101010101"/>
    <w:charset w:val="86"/>
    <w:family w:val="auto"/>
    <w:pitch w:val="default"/>
    <w:sig w:usb0="A00002BF" w:usb1="1ACF7CFA" w:usb2="00000016" w:usb3="00000000" w:csb0="0004009F" w:csb1="00000000"/>
  </w:font>
  <w:font w:name="方正姚体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21 -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QwYWQ1YTE0ZDA0NjgxYzlhMjZlMDExNTFmMWI3MmEifQ=="/>
  </w:docVars>
  <w:rsids>
    <w:rsidRoot w:val="00B03CCD"/>
    <w:rsid w:val="00065812"/>
    <w:rsid w:val="000A445A"/>
    <w:rsid w:val="001D3BB7"/>
    <w:rsid w:val="002B254B"/>
    <w:rsid w:val="003B57BC"/>
    <w:rsid w:val="00417101"/>
    <w:rsid w:val="00466C9B"/>
    <w:rsid w:val="00550ABE"/>
    <w:rsid w:val="005B0648"/>
    <w:rsid w:val="005D6D9F"/>
    <w:rsid w:val="005D7937"/>
    <w:rsid w:val="00770383"/>
    <w:rsid w:val="007819D4"/>
    <w:rsid w:val="007B419D"/>
    <w:rsid w:val="007B7C4B"/>
    <w:rsid w:val="007D3D39"/>
    <w:rsid w:val="00853CE0"/>
    <w:rsid w:val="008F59FD"/>
    <w:rsid w:val="00994AF7"/>
    <w:rsid w:val="009B67B8"/>
    <w:rsid w:val="009D2B67"/>
    <w:rsid w:val="009F4A6E"/>
    <w:rsid w:val="00A13BD9"/>
    <w:rsid w:val="00A566F9"/>
    <w:rsid w:val="00AF2751"/>
    <w:rsid w:val="00B03CCD"/>
    <w:rsid w:val="00BE2B89"/>
    <w:rsid w:val="00C10E9E"/>
    <w:rsid w:val="00C20C3E"/>
    <w:rsid w:val="00C20F75"/>
    <w:rsid w:val="00DB6214"/>
    <w:rsid w:val="00F73F90"/>
    <w:rsid w:val="00FB5E72"/>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E9EFA"/>
    <w:rsid w:val="56FF7E9E"/>
    <w:rsid w:val="578867FC"/>
    <w:rsid w:val="5842572D"/>
    <w:rsid w:val="5A3B59D6"/>
    <w:rsid w:val="5AD134D8"/>
    <w:rsid w:val="5C263CE4"/>
    <w:rsid w:val="5C5D2777"/>
    <w:rsid w:val="5CF66BF3"/>
    <w:rsid w:val="5D290C69"/>
    <w:rsid w:val="5F2D4A41"/>
    <w:rsid w:val="5FDB245A"/>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E0286A"/>
    <w:rsid w:val="750837F0"/>
    <w:rsid w:val="754758CF"/>
    <w:rsid w:val="764F62AB"/>
    <w:rsid w:val="765C45EC"/>
    <w:rsid w:val="768A7619"/>
    <w:rsid w:val="772E1EBA"/>
    <w:rsid w:val="781926BC"/>
    <w:rsid w:val="785710C1"/>
    <w:rsid w:val="796D60A4"/>
    <w:rsid w:val="79A031D5"/>
    <w:rsid w:val="7A1525F7"/>
    <w:rsid w:val="7B420052"/>
    <w:rsid w:val="7BD06A28"/>
    <w:rsid w:val="7C3A7C0B"/>
    <w:rsid w:val="7C5248E4"/>
    <w:rsid w:val="7C566698"/>
    <w:rsid w:val="7C5866A3"/>
    <w:rsid w:val="7D7406BB"/>
    <w:rsid w:val="7DE94331"/>
    <w:rsid w:val="7F446A19"/>
    <w:rsid w:val="7F7452B9"/>
    <w:rsid w:val="9E7F8D16"/>
    <w:rsid w:val="ECF30638"/>
    <w:rsid w:val="FD7FD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styleId="11">
    <w:name w:val="Hyperlink"/>
    <w:basedOn w:val="9"/>
    <w:qFormat/>
    <w:uiPriority w:val="0"/>
    <w:rPr>
      <w:color w:val="0000FF"/>
      <w:u w:val="single"/>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8438</Words>
  <Characters>3858</Characters>
  <Lines>32</Lines>
  <Paragraphs>24</Paragraphs>
  <TotalTime>113</TotalTime>
  <ScaleCrop>false</ScaleCrop>
  <LinksUpToDate>false</LinksUpToDate>
  <CharactersWithSpaces>12272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fengdu</cp:lastModifiedBy>
  <dcterms:modified xsi:type="dcterms:W3CDTF">2024-09-29T10:19:37Z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