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丰都县湿地保护管理中心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eastAsia" w:ascii="方正黑体_GBK" w:hAnsi="方正黑体_GBK" w:eastAsia="方正黑体_GBK" w:cs="方正黑体_GBK"/>
          <w:b w:val="0"/>
          <w:bCs/>
          <w:sz w:val="28"/>
          <w:szCs w:val="28"/>
        </w:rPr>
      </w:pPr>
      <w:r>
        <w:rPr>
          <w:rStyle w:val="10"/>
          <w:rFonts w:hint="eastAsia" w:ascii="方正黑体_GBK" w:hAnsi="方正黑体_GBK" w:eastAsia="方正黑体_GBK" w:cs="方正黑体_GBK"/>
          <w:b w:val="0"/>
          <w:bCs/>
          <w:sz w:val="28"/>
          <w:szCs w:val="28"/>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（一）职能职责</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参与拟定并组织实施全县湿地保护规划，执行湿地保护技术标准和规范，开展湿地资源调查、动态监测和统计，建设并管理自然保护区、湿地保护小区、湿地公园、森林公园，负责陆生野生动植物保护工作。</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（二）机构设置</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内设综合科、保护管理科、建设管理科3个科室。</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1.总体情况。</w:t>
      </w:r>
      <w:r>
        <w:rPr>
          <w:rFonts w:hint="eastAsia" w:ascii="方正仿宋_GBK" w:hAnsi="方正仿宋_GBK" w:eastAsia="方正仿宋_GBK" w:cs="方正仿宋_GBK"/>
          <w:sz w:val="28"/>
          <w:szCs w:val="28"/>
          <w:shd w:val="clear" w:color="auto" w:fill="FFFFFF"/>
        </w:rPr>
        <w:t>2023年度收入总计277.84万元，支出总计277.84万元。收支较上年决算数增加277.84万元，增长100.00%，主要原因是本单位以往年度在林业局统一核算，2023年决算时才单独核算，导致本年数据较上年有所增长</w:t>
      </w:r>
      <w:r>
        <w:rPr>
          <w:rFonts w:hint="eastAsia" w:ascii="方正仿宋_GBK" w:hAnsi="方正仿宋_GBK" w:eastAsia="方正仿宋_GBK" w:cs="方正仿宋_GBK"/>
          <w:sz w:val="28"/>
          <w:szCs w:val="28"/>
        </w:rPr>
        <w:t>。</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2.收入情况。</w:t>
      </w:r>
      <w:r>
        <w:rPr>
          <w:rFonts w:hint="eastAsia" w:ascii="方正仿宋_GBK" w:hAnsi="方正仿宋_GBK" w:eastAsia="方正仿宋_GBK" w:cs="方正仿宋_GBK"/>
          <w:sz w:val="28"/>
          <w:szCs w:val="28"/>
          <w:shd w:val="clear" w:color="auto" w:fill="FFFFFF"/>
        </w:rPr>
        <w:t>2023年度收入合计277.84万元，较上年决算数增加277.84万元，增长100.00%，主要原因是本单位以往年度在林业局统一核算，2023年决算时才单独核算，导致本年数据增长。其中：财政拨款收入</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100.00</w:t>
      </w:r>
      <w:r>
        <w:rPr>
          <w:rFonts w:hint="eastAsia" w:ascii="方正仿宋_GBK" w:hAnsi="方正仿宋_GBK" w:eastAsia="方正仿宋_GBK" w:cs="方正仿宋_GBK"/>
          <w:sz w:val="28"/>
          <w:szCs w:val="28"/>
          <w:shd w:val="clear" w:color="auto" w:fill="FFFFFF"/>
        </w:rPr>
        <w:t>%；事业收入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万元，占0.00%；其他收入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万元，占0.00%。此外，未使用非财政拨款结余和专用结余，无年初结转和结余。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3.支出情况。</w:t>
      </w:r>
      <w:r>
        <w:rPr>
          <w:rFonts w:hint="eastAsia" w:ascii="方正仿宋_GBK" w:hAnsi="方正仿宋_GBK" w:eastAsia="方正仿宋_GBK" w:cs="方正仿宋_GBK"/>
          <w:sz w:val="28"/>
          <w:szCs w:val="28"/>
          <w:shd w:val="clear" w:color="auto" w:fill="FFFFFF"/>
        </w:rPr>
        <w:t>2023年度支出合计</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万元，较上年决算数增加277.84万元，增长100.00%，主要原因是本单位以往年度在林业局统一核算，2023年决算时才单独核算，导致本年数据较上年有所增长。其中：基本支出</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万元，占100.00%；项目支出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万元，占0.00%。此外，结余分配</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4.结转结余情况。</w:t>
      </w:r>
      <w:r>
        <w:rPr>
          <w:rFonts w:hint="eastAsia" w:ascii="方正仿宋_GBK" w:hAnsi="方正仿宋_GBK" w:eastAsia="方正仿宋_GBK" w:cs="方正仿宋_GBK"/>
          <w:sz w:val="28"/>
          <w:szCs w:val="28"/>
          <w:shd w:val="clear" w:color="auto" w:fill="FFFFFF"/>
        </w:rPr>
        <w:t>2023年度年末结转和结余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财政拨款收、支总计277.84万元。与2022年相比，财政拨款收、支总计各增加277.84万元，增长100.00%。较上年决算数增加277.84万元，增长100.00%，主要原因是本单位以往年度在林业局统一核算，2023年决算时才单独核算，导致本年数据较上年有所增长。</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1.收入情况。</w:t>
      </w:r>
      <w:r>
        <w:rPr>
          <w:rFonts w:hint="eastAsia" w:ascii="方正仿宋_GBK" w:hAnsi="方正仿宋_GBK" w:eastAsia="方正仿宋_GBK" w:cs="方正仿宋_GBK"/>
          <w:sz w:val="28"/>
          <w:szCs w:val="28"/>
          <w:shd w:val="clear" w:color="auto" w:fill="FFFFFF"/>
        </w:rPr>
        <w:t>2023年度一般公共预算财政拨款收入</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较上年决算数增加277.84万元，增长100.00%。主要原因是本单位以往年度在林业局统一核算，2023年决算时才单独核算，导致本年数据较上年有所增长。较年初预算数增加31.33万元，增长12.71%。主要原因是本年度新增2名人员，此外，无年初财政拨款结转和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2.支出情况。</w:t>
      </w:r>
      <w:r>
        <w:rPr>
          <w:rFonts w:hint="eastAsia" w:ascii="方正仿宋_GBK" w:hAnsi="方正仿宋_GBK" w:eastAsia="方正仿宋_GBK" w:cs="方正仿宋_GBK"/>
          <w:sz w:val="28"/>
          <w:szCs w:val="28"/>
          <w:shd w:val="clear" w:color="auto" w:fill="FFFFFF"/>
        </w:rPr>
        <w:t>2023年度一般公共预算财政拨款支出</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较上年决算数增加277.84万元，增长100.00%。较上年决算数增加277.84万元，增长100.00%，主要原因是本单位以往年度在林业局统一核算，2023年决算时才单独核算，导致本年数据较上年有所增长。较年初预算数增加31.33万元，增长12.71%。主要原因是本年度新增2名人员。</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3.结转结余情况。</w:t>
      </w:r>
      <w:r>
        <w:rPr>
          <w:rFonts w:hint="eastAsia" w:ascii="方正仿宋_GBK" w:hAnsi="方正仿宋_GBK" w:eastAsia="方正仿宋_GBK" w:cs="方正仿宋_GBK"/>
          <w:sz w:val="28"/>
          <w:szCs w:val="28"/>
          <w:shd w:val="clear" w:color="auto" w:fill="FFFFFF"/>
        </w:rPr>
        <w:t>2023年度年末无一般公共预算财政拨款结转和结余，较上年决算数无增减，主要原因是本单位以往年度在林业局统一核算，2023年决算时才单独核算，导致本年数据较上年有所增长。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color w:val="FF0000"/>
          <w:sz w:val="28"/>
          <w:szCs w:val="28"/>
          <w:highlight w:val="cyan"/>
          <w:shd w:val="clear" w:color="auto" w:fill="FFFFFF"/>
        </w:rPr>
      </w:pPr>
      <w:r>
        <w:rPr>
          <w:rStyle w:val="10"/>
          <w:rFonts w:hint="eastAsia" w:ascii="方正仿宋_GBK" w:hAnsi="方正仿宋_GBK" w:eastAsia="方正仿宋_GBK" w:cs="方正仿宋_GBK"/>
          <w:sz w:val="28"/>
          <w:szCs w:val="28"/>
          <w:shd w:val="clear" w:color="auto" w:fill="FFFFFF"/>
        </w:rPr>
        <w:t>4.比较情况。</w:t>
      </w:r>
      <w:r>
        <w:rPr>
          <w:rFonts w:hint="eastAsia" w:ascii="方正仿宋_GBK" w:hAnsi="方正仿宋_GBK" w:eastAsia="方正仿宋_GBK" w:cs="方正仿宋_GBK"/>
          <w:sz w:val="28"/>
          <w:szCs w:val="28"/>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（1）社会保障与就业支出</w:t>
      </w:r>
      <w:r>
        <w:rPr>
          <w:rFonts w:hint="eastAsia" w:ascii="方正仿宋_GBK" w:hAnsi="方正仿宋_GBK" w:eastAsia="方正仿宋_GBK" w:cs="方正仿宋_GBK"/>
          <w:sz w:val="28"/>
          <w:szCs w:val="28"/>
        </w:rPr>
        <w:t>23.87</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8.59</w:t>
      </w:r>
      <w:r>
        <w:rPr>
          <w:rFonts w:hint="eastAsia" w:ascii="方正仿宋_GBK" w:hAnsi="方正仿宋_GBK" w:eastAsia="方正仿宋_GBK" w:cs="方正仿宋_GBK"/>
          <w:sz w:val="28"/>
          <w:szCs w:val="28"/>
          <w:shd w:val="clear" w:color="auto" w:fill="FFFFFF"/>
        </w:rPr>
        <w:t>%，较年初预算数无增减，主要原因是本单位以往年度在林业局统一核算，2023年决算时才单独核算，导致本年数据较上年有所增长。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（2）卫生健康支出</w:t>
      </w:r>
      <w:r>
        <w:rPr>
          <w:rFonts w:hint="eastAsia" w:ascii="方正仿宋_GBK" w:hAnsi="方正仿宋_GBK" w:eastAsia="方正仿宋_GBK" w:cs="方正仿宋_GBK"/>
          <w:sz w:val="28"/>
          <w:szCs w:val="28"/>
        </w:rPr>
        <w:t>12.16</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4.38</w:t>
      </w:r>
      <w:r>
        <w:rPr>
          <w:rFonts w:hint="eastAsia" w:ascii="方正仿宋_GBK" w:hAnsi="方正仿宋_GBK" w:eastAsia="方正仿宋_GBK" w:cs="方正仿宋_GBK"/>
          <w:sz w:val="28"/>
          <w:szCs w:val="28"/>
          <w:shd w:val="clear" w:color="auto" w:fill="FFFFFF"/>
        </w:rPr>
        <w:t>%，较年初预算数无增减，主要原因是本单位以往年度在林业局统一核算，2023年决算时才单独核算，导致本年数据较上年有所增长。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（3）农林水支出</w:t>
      </w:r>
      <w:r>
        <w:rPr>
          <w:rFonts w:hint="eastAsia" w:ascii="方正仿宋_GBK" w:hAnsi="方正仿宋_GBK" w:eastAsia="方正仿宋_GBK" w:cs="方正仿宋_GBK"/>
          <w:sz w:val="28"/>
          <w:szCs w:val="28"/>
        </w:rPr>
        <w:t>229.27</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82.52</w:t>
      </w:r>
      <w:r>
        <w:rPr>
          <w:rFonts w:hint="eastAsia" w:ascii="方正仿宋_GBK" w:hAnsi="方正仿宋_GBK" w:eastAsia="方正仿宋_GBK" w:cs="方正仿宋_GBK"/>
          <w:sz w:val="28"/>
          <w:szCs w:val="28"/>
          <w:shd w:val="clear" w:color="auto" w:fill="FFFFFF"/>
        </w:rPr>
        <w:t>%，较年初预算数增加31.32万元，增长15.82%，主要原因是本单位以往年度在林业局统一核算，2023年决算时才单独核算，导致本年数据较上年有所增长。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（4）</w:t>
      </w:r>
      <w:r>
        <w:rPr>
          <w:rFonts w:hint="eastAsia" w:ascii="方正仿宋_GBK" w:hAnsi="方正仿宋_GBK" w:eastAsia="方正仿宋_GBK" w:cs="方正仿宋_GBK"/>
          <w:sz w:val="28"/>
          <w:szCs w:val="28"/>
        </w:rPr>
        <w:t>住房保障支出12.54</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4.51</w:t>
      </w:r>
      <w:r>
        <w:rPr>
          <w:rFonts w:hint="eastAsia" w:ascii="方正仿宋_GBK" w:hAnsi="方正仿宋_GBK" w:eastAsia="方正仿宋_GBK" w:cs="方正仿宋_GBK"/>
          <w:sz w:val="28"/>
          <w:szCs w:val="28"/>
          <w:shd w:val="clear" w:color="auto" w:fill="FFFFFF"/>
        </w:rPr>
        <w:t>%，较年初预算数无增减，主要原因是本单位以往年度在林业局统一核算，2023年决算时才单独核算，导致本年数据较上年有所增长。</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2023年度一般公共财政拨款基本支出</w:t>
      </w:r>
      <w:r>
        <w:rPr>
          <w:rFonts w:hint="eastAsia" w:ascii="方正仿宋_GBK" w:hAnsi="方正仿宋_GBK" w:eastAsia="方正仿宋_GBK" w:cs="方正仿宋_GBK"/>
          <w:sz w:val="28"/>
          <w:szCs w:val="28"/>
        </w:rPr>
        <w:t>277.84</w:t>
      </w:r>
      <w:r>
        <w:rPr>
          <w:rFonts w:hint="eastAsia" w:ascii="方正仿宋_GBK" w:hAnsi="方正仿宋_GBK" w:eastAsia="方正仿宋_GBK" w:cs="方正仿宋_GBK"/>
          <w:sz w:val="28"/>
          <w:szCs w:val="28"/>
          <w:shd w:val="clear" w:color="auto" w:fill="FFFFFF"/>
        </w:rPr>
        <w:t>万元。其中：人员经费</w:t>
      </w:r>
      <w:r>
        <w:rPr>
          <w:rFonts w:hint="eastAsia" w:ascii="方正仿宋_GBK" w:hAnsi="方正仿宋_GBK" w:eastAsia="方正仿宋_GBK" w:cs="方正仿宋_GBK"/>
          <w:sz w:val="28"/>
          <w:szCs w:val="28"/>
        </w:rPr>
        <w:t>240.29</w:t>
      </w:r>
      <w:r>
        <w:rPr>
          <w:rFonts w:hint="eastAsia" w:ascii="方正仿宋_GBK" w:hAnsi="方正仿宋_GBK" w:eastAsia="方正仿宋_GBK" w:cs="方正仿宋_GBK"/>
          <w:sz w:val="28"/>
          <w:szCs w:val="28"/>
          <w:shd w:val="clear" w:color="auto" w:fill="FFFFFF"/>
        </w:rPr>
        <w:t>万元，较上年决算数增加240.29万元，增长100.00%，主要原因是本单位以往年度在林业局统一核算，2023年决算时才单独核算，导致本年数据较上年有所增长。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人员经费主要包括在职人员的</w:t>
      </w:r>
      <w:r>
        <w:rPr>
          <w:rFonts w:hint="eastAsia" w:ascii="方正仿宋_GBK" w:hAnsi="方正仿宋_GBK" w:eastAsia="方正仿宋_GBK" w:cs="方正仿宋_GBK"/>
          <w:sz w:val="28"/>
          <w:szCs w:val="28"/>
        </w:rPr>
        <w:t>工资以及五险等费用支出240.29万元，</w:t>
      </w:r>
      <w:r>
        <w:rPr>
          <w:rFonts w:hint="eastAsia" w:ascii="方正仿宋_GBK" w:hAnsi="方正仿宋_GBK" w:eastAsia="方正仿宋_GBK" w:cs="方正仿宋_GBK"/>
          <w:sz w:val="28"/>
          <w:szCs w:val="28"/>
          <w:shd w:val="clear" w:color="auto" w:fill="FFFFFF"/>
        </w:rPr>
        <w:t>公用经费</w:t>
      </w:r>
      <w:r>
        <w:rPr>
          <w:rFonts w:hint="eastAsia" w:ascii="方正仿宋_GBK" w:hAnsi="方正仿宋_GBK" w:eastAsia="方正仿宋_GBK" w:cs="方正仿宋_GBK"/>
          <w:sz w:val="28"/>
          <w:szCs w:val="28"/>
        </w:rPr>
        <w:t>37.55</w:t>
      </w:r>
      <w:r>
        <w:rPr>
          <w:rFonts w:hint="eastAsia" w:ascii="方正仿宋_GBK" w:hAnsi="方正仿宋_GBK" w:eastAsia="方正仿宋_GBK" w:cs="方正仿宋_GBK"/>
          <w:sz w:val="28"/>
          <w:szCs w:val="28"/>
          <w:shd w:val="clear" w:color="auto" w:fill="FFFFFF"/>
        </w:rPr>
        <w:t>万元，较上年决算数增加37.55万元，增长100.00%，主要原因是本单位以往年度在林业局统一核算，2023年决算时才单独核算，导致本年数据较上年有所增长。公用经费用途主要包括办公用品采购，公务出差等。</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（五）政府性基金预算收支决算情况说明</w:t>
      </w:r>
    </w:p>
    <w:p>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本单位2023年度无国有资本经营预算财政拨款支出。</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2023年度“三公”经费支出共计</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较年初预算数减少4.00万元，下降66.67%，主要原因是本单位以往年度在林业局统一核算，2023年决算时账务已处理完成，经人员手工分账导致部分年初预算经费未核算到本单位。较上年支出数增加2.00万元，增长100.00%，主要原因是本单位以往年度在林业局统一核算，2023年决算时才单独核算，导致本年数据较上年有所增长。</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（二）“三公”经费分项支出情况</w:t>
      </w:r>
    </w:p>
    <w:p>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b/>
          <w:bCs/>
          <w:color w:val="000000"/>
          <w:sz w:val="28"/>
          <w:szCs w:val="28"/>
        </w:rPr>
      </w:pPr>
      <w:r>
        <w:rPr>
          <w:rFonts w:hint="eastAsia" w:ascii="方正仿宋_GBK" w:hAnsi="方正仿宋_GBK" w:eastAsia="方正仿宋_GBK" w:cs="方正仿宋_GBK"/>
          <w:bCs/>
          <w:color w:val="000000"/>
          <w:sz w:val="28"/>
          <w:szCs w:val="28"/>
        </w:rPr>
        <w:t>本单位</w:t>
      </w:r>
      <w:r>
        <w:rPr>
          <w:rStyle w:val="10"/>
          <w:rFonts w:hint="eastAsia" w:ascii="方正仿宋_GBK" w:hAnsi="方正仿宋_GBK" w:eastAsia="方正仿宋_GBK" w:cs="方正仿宋_GBK"/>
          <w:b w:val="0"/>
          <w:color w:val="000000"/>
          <w:sz w:val="28"/>
          <w:szCs w:val="28"/>
        </w:rPr>
        <w:t> 2023年度</w:t>
      </w:r>
      <w:r>
        <w:rPr>
          <w:rFonts w:hint="eastAsia" w:ascii="方正仿宋_GBK" w:hAnsi="方正仿宋_GBK" w:eastAsia="方正仿宋_GBK" w:cs="方正仿宋_GBK"/>
          <w:bCs/>
          <w:color w:val="000000"/>
          <w:sz w:val="28"/>
          <w:szCs w:val="28"/>
        </w:rPr>
        <w:t>未发生因公出国（境）费用，与</w:t>
      </w:r>
      <w:r>
        <w:rPr>
          <w:rStyle w:val="10"/>
          <w:rFonts w:hint="eastAsia" w:ascii="方正仿宋_GBK" w:hAnsi="方正仿宋_GBK" w:eastAsia="方正仿宋_GBK" w:cs="方正仿宋_GBK"/>
          <w:b w:val="0"/>
          <w:color w:val="000000"/>
          <w:sz w:val="28"/>
          <w:szCs w:val="28"/>
        </w:rPr>
        <w:t>年初预算数及</w:t>
      </w:r>
      <w:r>
        <w:rPr>
          <w:rFonts w:hint="eastAsia" w:ascii="方正仿宋_GBK" w:hAnsi="方正仿宋_GBK" w:eastAsia="方正仿宋_GBK" w:cs="方正仿宋_GBK"/>
          <w:bCs/>
          <w:color w:val="000000"/>
          <w:sz w:val="28"/>
          <w:szCs w:val="28"/>
        </w:rPr>
        <w:t>上年支出数持平。</w:t>
      </w:r>
    </w:p>
    <w:p>
      <w:pPr>
        <w:pStyle w:val="6"/>
        <w:keepNext w:val="0"/>
        <w:keepLines w:val="0"/>
        <w:pageBreakBefore w:val="0"/>
        <w:widowControl w:val="0"/>
        <w:kinsoku/>
        <w:wordWrap/>
        <w:overflowPunct/>
        <w:topLinePunct w:val="0"/>
        <w:autoSpaceDN/>
        <w:bidi w:val="0"/>
        <w:adjustRightInd/>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本单位</w:t>
      </w:r>
      <w:r>
        <w:rPr>
          <w:rStyle w:val="10"/>
          <w:rFonts w:hint="eastAsia" w:ascii="方正仿宋_GBK" w:hAnsi="方正仿宋_GBK" w:eastAsia="方正仿宋_GBK" w:cs="方正仿宋_GBK"/>
          <w:b w:val="0"/>
          <w:color w:val="000000"/>
          <w:sz w:val="28"/>
          <w:szCs w:val="28"/>
        </w:rPr>
        <w:t>2023年度未发生</w:t>
      </w:r>
      <w:r>
        <w:rPr>
          <w:rFonts w:hint="eastAsia" w:ascii="方正仿宋_GBK" w:hAnsi="方正仿宋_GBK" w:eastAsia="方正仿宋_GBK" w:cs="方正仿宋_GBK"/>
          <w:bCs/>
          <w:color w:val="000000"/>
          <w:sz w:val="28"/>
          <w:szCs w:val="28"/>
        </w:rPr>
        <w:t>公务车购置费用，与</w:t>
      </w:r>
      <w:r>
        <w:rPr>
          <w:rStyle w:val="10"/>
          <w:rFonts w:hint="eastAsia" w:ascii="方正仿宋_GBK" w:hAnsi="方正仿宋_GBK" w:eastAsia="方正仿宋_GBK" w:cs="方正仿宋_GBK"/>
          <w:b w:val="0"/>
          <w:color w:val="000000"/>
          <w:sz w:val="28"/>
          <w:szCs w:val="28"/>
        </w:rPr>
        <w:t>年初预算数及</w:t>
      </w:r>
      <w:r>
        <w:rPr>
          <w:rFonts w:hint="eastAsia" w:ascii="方正仿宋_GBK" w:hAnsi="方正仿宋_GBK" w:eastAsia="方正仿宋_GBK" w:cs="方正仿宋_GBK"/>
          <w:bCs/>
          <w:color w:val="000000"/>
          <w:sz w:val="28"/>
          <w:szCs w:val="28"/>
        </w:rPr>
        <w:t>上年支出数持平。</w:t>
      </w:r>
    </w:p>
    <w:p>
      <w:pPr>
        <w:keepNext w:val="0"/>
        <w:keepLines w:val="0"/>
        <w:pageBreakBefore w:val="0"/>
        <w:kinsoku/>
        <w:wordWrap/>
        <w:overflowPunct/>
        <w:topLinePunct w:val="0"/>
        <w:autoSpaceDN/>
        <w:bidi w:val="0"/>
        <w:adjustRightInd/>
        <w:snapToGrid w:val="0"/>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公务车运行维护费</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万元，费用支出较年初预算数减少4.00万元，下降100.00%，主要原因是本单位</w:t>
      </w:r>
      <w:r>
        <w:rPr>
          <w:rFonts w:hint="eastAsia" w:ascii="方正仿宋_GBK" w:hAnsi="方正仿宋_GBK" w:eastAsia="方正仿宋_GBK" w:cs="方正仿宋_GBK"/>
          <w:sz w:val="28"/>
          <w:szCs w:val="28"/>
        </w:rPr>
        <w:t>公务车运行</w:t>
      </w:r>
      <w:r>
        <w:rPr>
          <w:rFonts w:hint="eastAsia" w:ascii="方正仿宋_GBK" w:hAnsi="方正仿宋_GBK" w:eastAsia="方正仿宋_GBK" w:cs="方正仿宋_GBK"/>
          <w:sz w:val="28"/>
          <w:szCs w:val="28"/>
          <w:shd w:val="clear" w:color="auto" w:fill="FFFFFF"/>
        </w:rPr>
        <w:t>维护费为40300元，由于今年分账原因资产在本级列支，较上年支出数无增减，主要原因是本单位以往年度在林业局统一核算，2023年决算时才单独核算，无上年发生数。</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公务接待费</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主要用于接待相关业务部门的工作检查，费用支出较年初预算数无增减，主要原因是预算参照往年工作开展情况预测且严格执行预算制度开支，较上年支出数增加2.00万元，增长100.00%，主要原因是2023年决算时才单独核算，导致本年数据较上年有所增长。</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（三）“三公”经费实物量情况</w:t>
      </w:r>
    </w:p>
    <w:p>
      <w:pPr>
        <w:keepNext w:val="0"/>
        <w:keepLines w:val="0"/>
        <w:pageBreakBefore w:val="0"/>
        <w:kinsoku/>
        <w:wordWrap/>
        <w:overflowPunct/>
        <w:topLinePunct w:val="0"/>
        <w:autoSpaceDN/>
        <w:bidi w:val="0"/>
        <w:adjustRightInd/>
        <w:snapToGrid w:val="0"/>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2023年度本单位因公出国（境）共计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个团组，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人；公务用车购置</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辆，公务车保有量为</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w:t>
      </w:r>
      <w:r>
        <w:rPr>
          <w:rFonts w:hint="eastAsia" w:ascii="方正仿宋_GBK" w:hAnsi="方正仿宋_GBK" w:eastAsia="方正仿宋_GBK" w:cs="方正仿宋_GBK"/>
          <w:sz w:val="28"/>
          <w:szCs w:val="28"/>
        </w:rPr>
        <w:t>由于今年分账原因资产在本级列支</w:t>
      </w:r>
      <w:r>
        <w:rPr>
          <w:rFonts w:hint="eastAsia" w:ascii="方正仿宋_GBK" w:hAnsi="方正仿宋_GBK" w:eastAsia="方正仿宋_GBK" w:cs="方正仿宋_GBK"/>
          <w:sz w:val="28"/>
          <w:szCs w:val="28"/>
          <w:shd w:val="clear" w:color="auto" w:fill="FFFFFF"/>
        </w:rPr>
        <w:t>；国内公务接待</w:t>
      </w:r>
      <w:r>
        <w:rPr>
          <w:rFonts w:hint="eastAsia" w:ascii="方正仿宋_GBK" w:hAnsi="方正仿宋_GBK" w:eastAsia="方正仿宋_GBK" w:cs="方正仿宋_GBK"/>
          <w:sz w:val="28"/>
          <w:szCs w:val="28"/>
        </w:rPr>
        <w:t>84</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334</w:t>
      </w:r>
      <w:r>
        <w:rPr>
          <w:rFonts w:hint="eastAsia" w:ascii="方正仿宋_GBK" w:hAnsi="方正仿宋_GBK" w:eastAsia="方正仿宋_GBK" w:cs="方正仿宋_GBK"/>
          <w:sz w:val="28"/>
          <w:szCs w:val="28"/>
          <w:shd w:val="clear" w:color="auto" w:fill="FFFFFF"/>
        </w:rPr>
        <w:t>人，其中：国内外事接待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人；国（境）外公务接待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人。2023年本单位人均接待费</w:t>
      </w:r>
      <w:r>
        <w:rPr>
          <w:rFonts w:hint="eastAsia" w:ascii="方正仿宋_GBK" w:hAnsi="方正仿宋_GBK" w:eastAsia="方正仿宋_GBK" w:cs="方正仿宋_GBK"/>
          <w:sz w:val="28"/>
          <w:szCs w:val="28"/>
        </w:rPr>
        <w:t>59.88</w:t>
      </w:r>
      <w:r>
        <w:rPr>
          <w:rFonts w:hint="eastAsia" w:ascii="方正仿宋_GBK" w:hAnsi="方正仿宋_GBK" w:eastAsia="方正仿宋_GBK" w:cs="方正仿宋_GBK"/>
          <w:sz w:val="28"/>
          <w:szCs w:val="28"/>
          <w:shd w:val="clear" w:color="auto" w:fill="FFFFFF"/>
        </w:rPr>
        <w:t>元，车均购置费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万元，车均维护费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四、其他需要说明的事项</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b/>
          <w:sz w:val="28"/>
          <w:szCs w:val="28"/>
          <w:shd w:val="clear" w:color="auto" w:fill="FFFFFF"/>
        </w:rPr>
      </w:pPr>
      <w:r>
        <w:rPr>
          <w:rFonts w:hint="eastAsia" w:ascii="方正仿宋_GBK" w:hAnsi="方正仿宋_GBK" w:eastAsia="方正仿宋_GBK" w:cs="方正仿宋_GBK"/>
          <w:b/>
          <w:bCs/>
          <w:sz w:val="28"/>
          <w:szCs w:val="28"/>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本年度会议费支出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万元，较上年决算数无增减，主要原因是本单位以往年度在林业局统一核算，2023年决算时才单独核算，经人员手工分账导致部分会议费未核算到本单位。本年度培训费支出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万元，较上年决算数无变化，主要原因是本单位以往年度在林业局统一核算，2023年决算时才单独核算，经人员手工分账导致部分培训费未核算到本单位。</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（二）机关运行经费情</w:t>
      </w:r>
      <w:bookmarkStart w:id="0" w:name="_GoBack"/>
      <w:bookmarkEnd w:id="0"/>
      <w:r>
        <w:rPr>
          <w:rFonts w:hint="eastAsia" w:ascii="方正仿宋_GBK" w:hAnsi="方正仿宋_GBK" w:eastAsia="方正仿宋_GBK" w:cs="方正仿宋_GBK"/>
          <w:b/>
          <w:bCs/>
          <w:sz w:val="28"/>
          <w:szCs w:val="28"/>
          <w:shd w:val="clear" w:color="auto" w:fill="FFFFFF"/>
        </w:rPr>
        <w:t>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截至2023年12月31日，本单位共有车辆</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辆，其中，副部（省）级及以上领导用车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辆、主要领导干部用车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辆、机要通信用车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辆、应急保障用车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辆、执法执勤用车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辆，特种专业技术用车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辆，离退休干部用车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辆。单价100万元（含）以上设备（不含车辆）</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台（套）。主要原因是本单位以往年度在林业局统一核算，我单位资产纳入林业局本级部门决算报表。</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2023年度我单位未发生政府采购事项，无相关经费支出。</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lang w:eastAsia="zh-CN"/>
        </w:rPr>
        <w:t>五、</w:t>
      </w:r>
      <w:r>
        <w:rPr>
          <w:rStyle w:val="10"/>
          <w:rFonts w:hint="eastAsia" w:ascii="方正黑体_GBK" w:hAnsi="方正黑体_GBK" w:eastAsia="方正黑体_GBK" w:cs="方正黑体_GBK"/>
          <w:b w:val="0"/>
          <w:bCs/>
          <w:sz w:val="28"/>
          <w:szCs w:val="28"/>
          <w:shd w:val="clear" w:color="auto" w:fill="FFFFFF"/>
        </w:rPr>
        <w:t>预算绩效管理情况说明</w:t>
      </w:r>
    </w:p>
    <w:p>
      <w:pPr>
        <w:pStyle w:val="11"/>
        <w:keepNext w:val="0"/>
        <w:keepLines w:val="0"/>
        <w:pageBreakBefore w:val="0"/>
        <w:numPr>
          <w:ilvl w:val="0"/>
          <w:numId w:val="1"/>
        </w:numPr>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单位自评情况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2023年度本单位无项目资金，未开展预算绩效自评。</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2023年度本单位无项目资金，未组织开展单位绩效评价。</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（三）财政绩效评价情况</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县财政局未委托第三方对我单位开展绩效评价。</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（一）财政拨款收入：</w:t>
      </w:r>
      <w:r>
        <w:rPr>
          <w:rFonts w:hint="eastAsia" w:ascii="方正仿宋_GBK" w:hAnsi="方正仿宋_GBK" w:eastAsia="方正仿宋_GBK" w:cs="方正仿宋_GBK"/>
          <w:sz w:val="28"/>
          <w:szCs w:val="28"/>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（二）事业收入</w:t>
      </w:r>
      <w:r>
        <w:rPr>
          <w:rFonts w:hint="eastAsia" w:ascii="方正仿宋_GBK" w:hAnsi="方正仿宋_GBK" w:eastAsia="方正仿宋_GBK" w:cs="方正仿宋_GBK"/>
          <w:sz w:val="28"/>
          <w:szCs w:val="28"/>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（三）经营收入</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（四）其他收入</w:t>
      </w:r>
      <w:r>
        <w:rPr>
          <w:rFonts w:hint="eastAsia" w:ascii="方正仿宋_GBK" w:hAnsi="方正仿宋_GBK" w:eastAsia="方正仿宋_GBK"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（五）使用非财政拨款结余</w:t>
      </w:r>
      <w:r>
        <w:rPr>
          <w:rFonts w:hint="eastAsia" w:ascii="方正仿宋_GBK" w:hAnsi="方正仿宋_GBK" w:eastAsia="方正仿宋_GBK"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（六）年初结转和结余</w:t>
      </w:r>
      <w:r>
        <w:rPr>
          <w:rFonts w:hint="eastAsia" w:ascii="方正仿宋_GBK" w:hAnsi="方正仿宋_GBK" w:eastAsia="方正仿宋_GBK" w:cs="方正仿宋_GBK"/>
          <w:sz w:val="28"/>
          <w:szCs w:val="28"/>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（七）结余分配</w:t>
      </w:r>
      <w:r>
        <w:rPr>
          <w:rFonts w:hint="eastAsia" w:ascii="方正仿宋_GBK" w:hAnsi="方正仿宋_GBK" w:eastAsia="方正仿宋_GBK" w:cs="方正仿宋_GBK"/>
          <w:sz w:val="28"/>
          <w:szCs w:val="28"/>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（八）年末结转和结余</w:t>
      </w:r>
      <w:r>
        <w:rPr>
          <w:rFonts w:hint="eastAsia" w:ascii="方正仿宋_GBK" w:hAnsi="方正仿宋_GBK" w:eastAsia="方正仿宋_GBK" w:cs="方正仿宋_GBK"/>
          <w:sz w:val="28"/>
          <w:szCs w:val="28"/>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（九）基本支出</w:t>
      </w:r>
      <w:r>
        <w:rPr>
          <w:rFonts w:hint="eastAsia" w:ascii="方正仿宋_GBK" w:hAnsi="方正仿宋_GBK" w:eastAsia="方正仿宋_GBK"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（十）项目支出</w:t>
      </w:r>
      <w:r>
        <w:rPr>
          <w:rFonts w:hint="eastAsia" w:ascii="方正仿宋_GBK" w:hAnsi="方正仿宋_GBK" w:eastAsia="方正仿宋_GBK" w:cs="方正仿宋_GBK"/>
          <w:sz w:val="28"/>
          <w:szCs w:val="28"/>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（十一）经营支出</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（十二）“三公”经费</w:t>
      </w:r>
      <w:r>
        <w:rPr>
          <w:rFonts w:hint="eastAsia" w:ascii="方正仿宋_GBK" w:hAnsi="方正仿宋_GBK" w:eastAsia="方正仿宋_GBK"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（十三）机关运行经费</w:t>
      </w:r>
      <w:r>
        <w:rPr>
          <w:rFonts w:hint="eastAsia" w:ascii="方正仿宋_GBK" w:hAnsi="方正仿宋_GBK" w:eastAsia="方正仿宋_GBK"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（十四）工资福利支出（支出经济分类科目类级）</w:t>
      </w:r>
      <w:r>
        <w:rPr>
          <w:rFonts w:hint="eastAsia" w:ascii="方正仿宋_GBK" w:hAnsi="方正仿宋_GBK" w:eastAsia="方正仿宋_GBK" w:cs="方正仿宋_GBK"/>
          <w:sz w:val="28"/>
          <w:szCs w:val="28"/>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（十五）商品和服务支出（支出经济分类科目类级）</w:t>
      </w:r>
      <w:r>
        <w:rPr>
          <w:rFonts w:hint="eastAsia" w:ascii="方正仿宋_GBK" w:hAnsi="方正仿宋_GBK" w:eastAsia="方正仿宋_GBK" w:cs="方正仿宋_GBK"/>
          <w:sz w:val="28"/>
          <w:szCs w:val="28"/>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（十六）对个人和家庭的补助（支出经济分类科目类级）</w:t>
      </w:r>
      <w:r>
        <w:rPr>
          <w:rFonts w:hint="eastAsia" w:ascii="方正仿宋_GBK" w:hAnsi="方正仿宋_GBK" w:eastAsia="方正仿宋_GBK" w:cs="方正仿宋_GBK"/>
          <w:sz w:val="28"/>
          <w:szCs w:val="28"/>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94" w:lineRule="exact"/>
        <w:ind w:left="0" w:leftChars="0"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（十七）其他资本性支出（支出经济分类科目类级）</w:t>
      </w:r>
      <w:r>
        <w:rPr>
          <w:rFonts w:hint="eastAsia" w:ascii="方正仿宋_GBK" w:hAnsi="方正仿宋_GBK" w:eastAsia="方正仿宋_GBK"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七、决算公开联系方式及信息反馈渠道</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本单位决算公开信息反馈和联系方式：</w:t>
      </w:r>
    </w:p>
    <w:p>
      <w:pPr>
        <w:pStyle w:val="11"/>
        <w:keepNext w:val="0"/>
        <w:keepLines w:val="0"/>
        <w:pageBreakBefore w:val="0"/>
        <w:kinsoku/>
        <w:wordWrap/>
        <w:overflowPunct/>
        <w:topLinePunct w:val="0"/>
        <w:autoSpaceDE w:val="0"/>
        <w:autoSpaceDN/>
        <w:bidi w:val="0"/>
        <w:adjustRightInd/>
        <w:spacing w:beforeAutospacing="0" w:afterAutospacing="0" w:line="594" w:lineRule="exact"/>
        <w:ind w:left="0" w:leftChars="0" w:firstLine="560" w:firstLineChars="200"/>
        <w:jc w:val="both"/>
        <w:textAlignment w:val="auto"/>
        <w:rPr>
          <w:rStyle w:val="10"/>
          <w:rFonts w:hint="eastAsia" w:ascii="方正仿宋_GBK" w:hAnsi="方正仿宋_GBK" w:eastAsia="方正仿宋_GBK" w:cs="方正仿宋_GBK"/>
          <w:sz w:val="28"/>
          <w:szCs w:val="28"/>
          <w:shd w:val="clear" w:color="auto" w:fill="FFFF00"/>
        </w:rPr>
        <w:sectPr>
          <w:footerReference r:id="rId3" w:type="default"/>
          <w:pgSz w:w="11915" w:h="16840"/>
          <w:pgMar w:top="1417" w:right="1446" w:bottom="2211" w:left="1446" w:header="851" w:footer="992" w:gutter="0"/>
          <w:paperSrc/>
          <w:pgNumType w:fmt="numberInDash"/>
          <w:cols w:space="0" w:num="1"/>
          <w:rtlGutter w:val="0"/>
          <w:docGrid w:type="lines" w:linePitch="330" w:charSpace="0"/>
        </w:sectPr>
      </w:pPr>
      <w:r>
        <w:rPr>
          <w:rFonts w:hint="eastAsia" w:ascii="方正仿宋_GBK" w:hAnsi="方正仿宋_GBK" w:eastAsia="方正仿宋_GBK" w:cs="方正仿宋_GBK"/>
          <w:sz w:val="28"/>
          <w:szCs w:val="28"/>
          <w:shd w:val="clear" w:color="auto" w:fill="FFFFFF"/>
        </w:rPr>
        <w:t>姓名：陆鑫           电话：</w:t>
      </w:r>
      <w:r>
        <w:rPr>
          <w:rFonts w:hint="eastAsia" w:ascii="方正仿宋_GBK" w:hAnsi="方正仿宋_GBK" w:eastAsia="方正仿宋_GBK" w:cs="方正仿宋_GBK"/>
          <w:color w:val="333333"/>
          <w:sz w:val="28"/>
          <w:szCs w:val="28"/>
          <w:shd w:val="clear" w:color="auto" w:fill="FFFFFF"/>
        </w:rPr>
        <w:t>023-70726641</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重庆市丰都县湿地保护管理中心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277.84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23.87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229.27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277.84</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277.84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277.84</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277.84</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重庆市丰都县湿地保护管理中心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229.27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重庆市丰都县湿地保护管理中心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229.27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229.27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277.84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23.87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229.27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229.27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229.27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229.27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12.54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auto"/>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240.29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240.29</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37.55</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重庆市丰都县湿地保护管理中心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1D45B"/>
    <w:multiLevelType w:val="singleLevel"/>
    <w:tmpl w:val="1D31D4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5"/>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3OWJjMTNhNzI4YzcwM2JjNDI5Y2UxZjUxNWNjMTUifQ=="/>
  </w:docVars>
  <w:rsids>
    <w:rsidRoot w:val="00B03CCD"/>
    <w:rsid w:val="000D35BC"/>
    <w:rsid w:val="001D3BB7"/>
    <w:rsid w:val="002B254B"/>
    <w:rsid w:val="002C2D81"/>
    <w:rsid w:val="00466C9B"/>
    <w:rsid w:val="004C0B25"/>
    <w:rsid w:val="00550ABE"/>
    <w:rsid w:val="0068508E"/>
    <w:rsid w:val="00702D80"/>
    <w:rsid w:val="00770383"/>
    <w:rsid w:val="007819D4"/>
    <w:rsid w:val="007B419D"/>
    <w:rsid w:val="007B7C4B"/>
    <w:rsid w:val="007D3D39"/>
    <w:rsid w:val="007F6C2F"/>
    <w:rsid w:val="008E0D64"/>
    <w:rsid w:val="00994AF7"/>
    <w:rsid w:val="009B67B8"/>
    <w:rsid w:val="009C2784"/>
    <w:rsid w:val="009D2B67"/>
    <w:rsid w:val="009E7B06"/>
    <w:rsid w:val="00A566F9"/>
    <w:rsid w:val="00AF2751"/>
    <w:rsid w:val="00B03CCD"/>
    <w:rsid w:val="00B3698B"/>
    <w:rsid w:val="00BE2B89"/>
    <w:rsid w:val="00C10E9E"/>
    <w:rsid w:val="00C20C3E"/>
    <w:rsid w:val="00CE6D7C"/>
    <w:rsid w:val="00CF07FC"/>
    <w:rsid w:val="00D37815"/>
    <w:rsid w:val="00D415AA"/>
    <w:rsid w:val="00E62103"/>
    <w:rsid w:val="00F73F90"/>
    <w:rsid w:val="00F94971"/>
    <w:rsid w:val="00FB2B9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DC7A7D"/>
    <w:rsid w:val="11ED0F98"/>
    <w:rsid w:val="11F03528"/>
    <w:rsid w:val="12C921C4"/>
    <w:rsid w:val="1349362D"/>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744BE"/>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A37B85"/>
    <w:rsid w:val="27167136"/>
    <w:rsid w:val="271B442C"/>
    <w:rsid w:val="27B23302"/>
    <w:rsid w:val="283A6840"/>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2B27A7"/>
    <w:rsid w:val="4F7B1D6D"/>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3E67B1"/>
    <w:rsid w:val="6C560CAE"/>
    <w:rsid w:val="6C576495"/>
    <w:rsid w:val="6D903FF5"/>
    <w:rsid w:val="6DA955B8"/>
    <w:rsid w:val="6DE346AB"/>
    <w:rsid w:val="6DE5391A"/>
    <w:rsid w:val="6E3D676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F7B200"/>
    <w:rsid w:val="BF47BC29"/>
    <w:rsid w:val="D1D76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1787</Words>
  <Characters>10192</Characters>
  <Lines>84</Lines>
  <Paragraphs>23</Paragraphs>
  <TotalTime>28</TotalTime>
  <ScaleCrop>false</ScaleCrop>
  <LinksUpToDate>false</LinksUpToDate>
  <CharactersWithSpaces>11956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2024-09-23T16:47:00Z</dcterms:created>
  <dc:creator>Administrator</dc:creator>
  <cp:lastModifiedBy>fengdu</cp:lastModifiedBy>
  <dcterms:modified xsi:type="dcterms:W3CDTF">2024-09-29T11:57:46Z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