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丰都县林业行政执法支队</w:t>
      </w:r>
    </w:p>
    <w:p>
      <w:pPr>
        <w:pStyle w:val="9"/>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hint="default" w:ascii="方正小标宋_GBK" w:hAnsi="方正小标宋_GBK" w:eastAsia="方正小标宋_GBK" w:cs="方正小标宋_GBK"/>
          <w:sz w:val="44"/>
          <w:szCs w:val="44"/>
          <w:shd w:val="clear" w:color="auto" w:fill="FFFFFF"/>
        </w:rPr>
      </w:pPr>
      <w:r>
        <w:rPr>
          <w:rFonts w:hint="default" w:ascii="Times New Roman" w:hAnsi="Times New Roman" w:eastAsia="方正小标宋_GBK" w:cs="Times New Roman"/>
          <w:sz w:val="44"/>
          <w:szCs w:val="44"/>
          <w:shd w:val="clear" w:color="auto" w:fill="FFFFFF"/>
        </w:rPr>
        <w:t>2024</w:t>
      </w:r>
      <w:r>
        <w:rPr>
          <w:rFonts w:ascii="方正小标宋_GBK" w:hAnsi="方正小标宋_GBK" w:eastAsia="方正小标宋_GBK" w:cs="方正小标宋_GBK"/>
          <w:sz w:val="44"/>
          <w:szCs w:val="44"/>
          <w:shd w:val="clear" w:color="auto" w:fill="FFFFFF"/>
        </w:rPr>
        <w:t>年度决算公开说明</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3"/>
          <w:rFonts w:ascii="黑体" w:hAnsi="黑体" w:eastAsia="黑体" w:cs="黑体"/>
          <w:sz w:val="32"/>
          <w:szCs w:val="32"/>
          <w:shd w:val="clear" w:color="auto" w:fill="FFFFFF"/>
        </w:rPr>
      </w:pP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13"/>
          <w:rFonts w:hint="eastAsia" w:ascii="方正黑体_GBK" w:hAnsi="方正黑体_GBK" w:eastAsia="方正黑体_GBK" w:cs="方正黑体_GBK"/>
          <w:b w:val="0"/>
          <w:bCs/>
          <w:sz w:val="32"/>
          <w:szCs w:val="32"/>
          <w:shd w:val="clear" w:color="auto" w:fill="FFFFFF"/>
        </w:rPr>
      </w:pPr>
      <w:r>
        <w:rPr>
          <w:rStyle w:val="13"/>
          <w:rFonts w:hint="eastAsia" w:ascii="方正黑体_GBK" w:hAnsi="方正黑体_GBK" w:eastAsia="方正黑体_GBK" w:cs="方正黑体_GBK"/>
          <w:b w:val="0"/>
          <w:bCs/>
          <w:sz w:val="32"/>
          <w:szCs w:val="32"/>
          <w:shd w:val="clear" w:color="auto" w:fill="FFFFFF"/>
        </w:rPr>
        <w:t>一、</w:t>
      </w:r>
      <w:r>
        <w:rPr>
          <w:rStyle w:val="13"/>
          <w:rFonts w:hint="eastAsia" w:ascii="方正黑体_GBK" w:hAnsi="方正黑体_GBK" w:eastAsia="方正黑体_GBK" w:cs="方正黑体_GBK"/>
          <w:b w:val="0"/>
          <w:bCs/>
          <w:sz w:val="32"/>
          <w:szCs w:val="32"/>
          <w:shd w:val="clear" w:color="auto" w:fill="FFFFFF"/>
          <w:lang w:eastAsia="zh-CN"/>
        </w:rPr>
        <w:t>单位</w:t>
      </w:r>
      <w:r>
        <w:rPr>
          <w:rStyle w:val="13"/>
          <w:rFonts w:hint="eastAsia" w:ascii="方正黑体_GBK" w:hAnsi="方正黑体_GBK" w:eastAsia="方正黑体_GBK" w:cs="方正黑体_GBK"/>
          <w:b w:val="0"/>
          <w:bCs/>
          <w:sz w:val="32"/>
          <w:szCs w:val="32"/>
          <w:shd w:val="clear" w:color="auto" w:fill="FFFFFF"/>
        </w:rPr>
        <w:t>基本情况</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13"/>
          <w:rFonts w:hint="default" w:ascii="方正楷体_GBK" w:hAnsi="方正楷体_GBK" w:eastAsia="方正楷体_GBK" w:cs="方正楷体_GBK"/>
          <w:b w:val="0"/>
          <w:bCs/>
          <w:sz w:val="32"/>
          <w:szCs w:val="32"/>
          <w:shd w:val="clear" w:color="auto" w:fill="FFFFFF"/>
          <w:lang w:val="en-US" w:eastAsia="zh-CN" w:bidi="ar-SA"/>
        </w:rPr>
      </w:pPr>
      <w:r>
        <w:rPr>
          <w:rStyle w:val="13"/>
          <w:rFonts w:hint="eastAsia" w:ascii="方正楷体_GBK" w:hAnsi="方正楷体_GBK" w:eastAsia="方正楷体_GBK" w:cs="方正楷体_GBK"/>
          <w:b w:val="0"/>
          <w:bCs/>
          <w:sz w:val="32"/>
          <w:szCs w:val="32"/>
          <w:shd w:val="clear" w:color="auto" w:fill="FFFFFF"/>
          <w:lang w:val="en-US" w:eastAsia="zh-CN" w:bidi="ar-SA"/>
        </w:rPr>
        <w:t>（一）职能职责</w:t>
      </w:r>
    </w:p>
    <w:p>
      <w:pPr>
        <w:spacing w:line="600" w:lineRule="exact"/>
        <w:ind w:firstLine="640"/>
        <w:rPr>
          <w:rFonts w:hint="default" w:ascii="Times New Roman" w:hAnsi="Times New Roman" w:eastAsia="方正仿宋_GBK" w:cs="Times New Roman"/>
          <w:sz w:val="32"/>
          <w:szCs w:val="32"/>
          <w:shd w:val="clear" w:color="auto" w:fill="FFFFFF"/>
          <w:lang w:val="en-US" w:eastAsia="zh-CN" w:bidi="ar-SA"/>
        </w:rPr>
      </w:pPr>
      <w:r>
        <w:rPr>
          <w:rFonts w:hint="default" w:ascii="Times New Roman" w:hAnsi="Times New Roman" w:eastAsia="方正仿宋_GBK" w:cs="Times New Roman"/>
          <w:sz w:val="32"/>
          <w:szCs w:val="32"/>
          <w:shd w:val="clear" w:color="auto" w:fill="FFFFFF"/>
          <w:lang w:val="en-US" w:eastAsia="zh-CN" w:bidi="ar-SA"/>
        </w:rPr>
        <w:t>丰都县林业行政执法支队，为县林业局管理的行政执法机构，机构规格副科级，其主要职责是: 统一行使林业领域的行政处罚权及与之相关的行政检查、行政强制</w:t>
      </w:r>
      <w:bookmarkStart w:id="0" w:name="_GoBack"/>
      <w:bookmarkEnd w:id="0"/>
      <w:r>
        <w:rPr>
          <w:rFonts w:hint="default" w:ascii="Times New Roman" w:hAnsi="Times New Roman" w:eastAsia="方正仿宋_GBK" w:cs="Times New Roman"/>
          <w:sz w:val="32"/>
          <w:szCs w:val="32"/>
          <w:shd w:val="clear" w:color="auto" w:fill="FFFFFF"/>
          <w:lang w:val="en-US" w:eastAsia="zh-CN" w:bidi="ar-SA"/>
        </w:rPr>
        <w:t>权等执法职能；承担林业行政执法的组织协调，组织开展有关专项执法，配合落实相关的交叉执法、异地执法；参与拟订林业行政执法管理制度；承担全县木材（竹木）采伐、运输和经营加工，野生动植物保护、森林防火、森林植物检疫、林地使用管理、林木种子种苗生产经营等方面的执法职能；承担自然公园（风景名胜区）等方面的执法职能；指导全县乡镇（街道）林业相关行政执法工作。</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13"/>
          <w:rFonts w:hint="default" w:ascii="方正楷体_GBK" w:hAnsi="方正楷体_GBK" w:eastAsia="方正楷体_GBK" w:cs="方正楷体_GBK"/>
          <w:b w:val="0"/>
          <w:bCs/>
          <w:sz w:val="32"/>
          <w:szCs w:val="32"/>
          <w:shd w:val="clear" w:color="auto" w:fill="FFFFFF"/>
          <w:lang w:val="en-US" w:eastAsia="zh-CN" w:bidi="ar-SA"/>
        </w:rPr>
      </w:pPr>
      <w:r>
        <w:rPr>
          <w:rStyle w:val="13"/>
          <w:rFonts w:hint="eastAsia" w:ascii="方正楷体_GBK" w:hAnsi="方正楷体_GBK" w:eastAsia="方正楷体_GBK" w:cs="方正楷体_GBK"/>
          <w:b w:val="0"/>
          <w:bCs/>
          <w:sz w:val="32"/>
          <w:szCs w:val="32"/>
          <w:shd w:val="clear" w:color="auto" w:fill="FFFFFF"/>
          <w:lang w:val="en-US" w:eastAsia="zh-CN" w:bidi="ar-SA"/>
        </w:rPr>
        <w:t>（二）机构设置</w:t>
      </w:r>
    </w:p>
    <w:p>
      <w:pPr>
        <w:spacing w:line="600" w:lineRule="exact"/>
        <w:ind w:firstLine="640"/>
        <w:rPr>
          <w:rFonts w:hint="default" w:ascii="Times New Roman" w:hAnsi="Times New Roman" w:eastAsia="方正仿宋_GBK" w:cs="Times New Roman"/>
          <w:sz w:val="32"/>
          <w:szCs w:val="32"/>
          <w:shd w:val="clear" w:color="auto" w:fill="FFFFFF"/>
          <w:lang w:val="en-US" w:eastAsia="zh-CN" w:bidi="ar-SA"/>
        </w:rPr>
      </w:pPr>
      <w:r>
        <w:rPr>
          <w:rFonts w:hint="default" w:ascii="Times New Roman" w:hAnsi="Times New Roman" w:eastAsia="方正仿宋_GBK" w:cs="Times New Roman"/>
          <w:sz w:val="32"/>
          <w:szCs w:val="32"/>
          <w:shd w:val="clear" w:color="auto" w:fill="FFFFFF"/>
          <w:lang w:val="en-US" w:eastAsia="zh-CN" w:bidi="ar-SA"/>
        </w:rPr>
        <w:t>丰都县林业执法支队内设4个机构。</w:t>
      </w:r>
    </w:p>
    <w:p>
      <w:pPr>
        <w:spacing w:line="600" w:lineRule="exact"/>
        <w:ind w:firstLine="640"/>
        <w:rPr>
          <w:rFonts w:hint="default" w:ascii="Times New Roman" w:hAnsi="Times New Roman" w:eastAsia="方正仿宋_GBK" w:cs="Times New Roman"/>
          <w:sz w:val="32"/>
          <w:szCs w:val="32"/>
          <w:shd w:val="clear" w:color="auto" w:fill="FFFFFF"/>
          <w:lang w:val="en-US" w:eastAsia="zh-CN" w:bidi="ar-SA"/>
        </w:rPr>
      </w:pPr>
      <w:r>
        <w:rPr>
          <w:rFonts w:hint="default" w:ascii="Times New Roman" w:hAnsi="Times New Roman" w:eastAsia="方正仿宋_GBK" w:cs="Times New Roman"/>
          <w:sz w:val="32"/>
          <w:szCs w:val="32"/>
          <w:shd w:val="clear" w:color="auto" w:fill="FFFFFF"/>
          <w:lang w:val="en-US" w:eastAsia="zh-CN" w:bidi="ar-SA"/>
        </w:rPr>
        <w:t>1、综合科。负责支队日常工作和重要事项督查督办，承担文秘、档案、保密、会务、党建、群团、安全、政务公开等工作；承担信息化建设、财务管理、资产管理、后勤保障等工作。负责综合协调、人事编制和议提案办理等工作。</w:t>
      </w:r>
    </w:p>
    <w:p>
      <w:pPr>
        <w:spacing w:line="600" w:lineRule="exact"/>
        <w:ind w:firstLine="640"/>
        <w:rPr>
          <w:rFonts w:hint="default" w:ascii="Times New Roman" w:hAnsi="Times New Roman" w:eastAsia="方正仿宋_GBK" w:cs="Times New Roman"/>
          <w:sz w:val="32"/>
          <w:szCs w:val="32"/>
          <w:shd w:val="clear" w:color="auto" w:fill="FFFFFF"/>
          <w:lang w:val="en-US" w:eastAsia="zh-CN" w:bidi="ar-SA"/>
        </w:rPr>
      </w:pPr>
      <w:r>
        <w:rPr>
          <w:rFonts w:hint="default" w:ascii="Times New Roman" w:hAnsi="Times New Roman" w:eastAsia="方正仿宋_GBK" w:cs="Times New Roman"/>
          <w:sz w:val="32"/>
          <w:szCs w:val="32"/>
          <w:shd w:val="clear" w:color="auto" w:fill="FFFFFF"/>
          <w:lang w:val="en-US" w:eastAsia="zh-CN" w:bidi="ar-SA"/>
        </w:rPr>
        <w:t>2、法制科。组织实施执法全过程记录制度、重大执法决定法制审核制度、执法案卷评查和评议考核制度、执法公示制度、执法人员持证上岗和资格管理制度。承担宣传教育、案件办理监督、案件会审和法律文书制发工作。承担林业执法有关信访、投诉举报、日常执法和业务系统数据填报等工作。参与拟订林业行政执法管理制度。</w:t>
      </w:r>
    </w:p>
    <w:p>
      <w:pPr>
        <w:spacing w:line="600" w:lineRule="exact"/>
        <w:ind w:firstLine="640"/>
        <w:rPr>
          <w:rFonts w:hint="default" w:ascii="Times New Roman" w:hAnsi="Times New Roman" w:eastAsia="方正仿宋_GBK" w:cs="Times New Roman"/>
          <w:sz w:val="32"/>
          <w:szCs w:val="32"/>
          <w:shd w:val="clear" w:color="auto" w:fill="FFFFFF"/>
          <w:lang w:val="en-US" w:eastAsia="zh-CN" w:bidi="ar-SA"/>
        </w:rPr>
      </w:pPr>
      <w:r>
        <w:rPr>
          <w:rFonts w:hint="default" w:ascii="Times New Roman" w:hAnsi="Times New Roman" w:eastAsia="方正仿宋_GBK" w:cs="Times New Roman"/>
          <w:sz w:val="32"/>
          <w:szCs w:val="32"/>
          <w:shd w:val="clear" w:color="auto" w:fill="FFFFFF"/>
          <w:lang w:val="en-US" w:eastAsia="zh-CN" w:bidi="ar-SA"/>
        </w:rPr>
        <w:t>3、执法一大队。负责南岸片区的林业行政执法及相关工作。</w:t>
      </w:r>
    </w:p>
    <w:p>
      <w:pPr>
        <w:spacing w:line="600" w:lineRule="exact"/>
        <w:ind w:firstLine="640"/>
        <w:rPr>
          <w:rFonts w:ascii="仿宋_GB2312" w:hAnsi="仿宋_GB2312" w:eastAsia="仿宋_GB2312" w:cs="仿宋_GB2312"/>
          <w:sz w:val="32"/>
        </w:rPr>
      </w:pPr>
      <w:r>
        <w:rPr>
          <w:rFonts w:hint="default" w:ascii="Times New Roman" w:hAnsi="Times New Roman" w:eastAsia="方正仿宋_GBK" w:cs="Times New Roman"/>
          <w:sz w:val="32"/>
          <w:szCs w:val="32"/>
          <w:shd w:val="clear" w:color="auto" w:fill="FFFFFF"/>
          <w:lang w:val="en-US" w:eastAsia="zh-CN" w:bidi="ar-SA"/>
        </w:rPr>
        <w:t>4、执法二大队。负责北岸片区的林业行政执法及相关</w:t>
      </w:r>
      <w:r>
        <w:rPr>
          <w:rFonts w:eastAsia="方正仿宋_GBK"/>
          <w:sz w:val="32"/>
          <w:szCs w:val="32"/>
        </w:rPr>
        <w:t>工作</w:t>
      </w:r>
      <w:r>
        <w:rPr>
          <w:rFonts w:ascii="仿宋_GB2312" w:hAnsi="仿宋_GB2312" w:eastAsia="仿宋_GB2312" w:cs="仿宋_GB2312"/>
          <w:sz w:val="32"/>
        </w:rPr>
        <w:t>。</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13"/>
          <w:rFonts w:hint="default" w:ascii="方正黑体_GBK" w:hAnsi="方正黑体_GBK" w:eastAsia="方正黑体_GBK" w:cs="方正黑体_GBK"/>
          <w:b w:val="0"/>
          <w:bCs/>
          <w:sz w:val="32"/>
          <w:szCs w:val="32"/>
          <w:shd w:val="clear" w:color="auto" w:fill="FFFFFF"/>
        </w:rPr>
      </w:pPr>
      <w:r>
        <w:rPr>
          <w:rStyle w:val="13"/>
          <w:rFonts w:hint="eastAsia" w:ascii="方正黑体_GBK" w:hAnsi="方正黑体_GBK" w:eastAsia="方正黑体_GBK" w:cs="方正黑体_GBK"/>
          <w:b w:val="0"/>
          <w:bCs/>
          <w:sz w:val="32"/>
          <w:szCs w:val="32"/>
          <w:shd w:val="clear" w:color="auto" w:fill="FFFFFF"/>
        </w:rPr>
        <w:t>二、</w:t>
      </w:r>
      <w:r>
        <w:rPr>
          <w:rStyle w:val="13"/>
          <w:rFonts w:hint="eastAsia" w:ascii="方正黑体_GBK" w:hAnsi="方正黑体_GBK" w:eastAsia="方正黑体_GBK" w:cs="方正黑体_GBK"/>
          <w:b w:val="0"/>
          <w:bCs/>
          <w:sz w:val="32"/>
          <w:szCs w:val="32"/>
          <w:shd w:val="clear" w:color="auto" w:fill="FFFFFF"/>
          <w:lang w:eastAsia="zh-CN"/>
        </w:rPr>
        <w:t>单位</w:t>
      </w:r>
      <w:r>
        <w:rPr>
          <w:rStyle w:val="13"/>
          <w:rFonts w:hint="eastAsia" w:ascii="方正黑体_GBK" w:hAnsi="方正黑体_GBK" w:eastAsia="方正黑体_GBK" w:cs="方正黑体_GBK"/>
          <w:b w:val="0"/>
          <w:bCs/>
          <w:sz w:val="32"/>
          <w:szCs w:val="32"/>
          <w:shd w:val="clear" w:color="auto" w:fill="FFFFFF"/>
        </w:rPr>
        <w:t>决算</w:t>
      </w:r>
      <w:r>
        <w:rPr>
          <w:rStyle w:val="13"/>
          <w:rFonts w:hint="eastAsia" w:ascii="方正黑体_GBK" w:hAnsi="方正黑体_GBK" w:eastAsia="方正黑体_GBK" w:cs="方正黑体_GBK"/>
          <w:b w:val="0"/>
          <w:bCs/>
          <w:sz w:val="32"/>
          <w:szCs w:val="32"/>
          <w:shd w:val="clear" w:color="auto" w:fill="FFFFFF"/>
          <w:lang w:eastAsia="zh-CN"/>
        </w:rPr>
        <w:t>收支</w:t>
      </w:r>
      <w:r>
        <w:rPr>
          <w:rStyle w:val="13"/>
          <w:rFonts w:hint="eastAsia" w:ascii="方正黑体_GBK" w:hAnsi="方正黑体_GBK" w:eastAsia="方正黑体_GBK" w:cs="方正黑体_GBK"/>
          <w:b w:val="0"/>
          <w:bCs/>
          <w:sz w:val="32"/>
          <w:szCs w:val="32"/>
          <w:shd w:val="clear" w:color="auto" w:fill="FFFFFF"/>
        </w:rPr>
        <w:t>情况说明</w:t>
      </w:r>
    </w:p>
    <w:p>
      <w:pPr>
        <w:pStyle w:val="14"/>
        <w:keepNext w:val="0"/>
        <w:keepLines w:val="0"/>
        <w:pageBreakBefore w:val="0"/>
        <w:widowControl/>
        <w:kinsoku/>
        <w:wordWrap/>
        <w:overflowPunct/>
        <w:topLinePunct w:val="0"/>
        <w:autoSpaceDE w:val="0"/>
        <w:autoSpaceDN/>
        <w:bidi w:val="0"/>
        <w:adjustRightInd/>
        <w:snapToGrid/>
        <w:spacing w:line="596" w:lineRule="exact"/>
        <w:ind w:firstLine="640" w:firstLineChars="200"/>
        <w:textAlignment w:val="auto"/>
        <w:rPr>
          <w:rStyle w:val="13"/>
          <w:rFonts w:hint="eastAsia" w:ascii="方正楷体_GBK" w:hAnsi="方正楷体_GBK" w:eastAsia="方正楷体_GBK" w:cs="方正楷体_GBK"/>
          <w:b w:val="0"/>
          <w:bCs/>
          <w:sz w:val="32"/>
          <w:szCs w:val="32"/>
          <w:shd w:val="clear" w:color="auto" w:fill="FFFFFF"/>
          <w:lang w:val="en-US" w:eastAsia="zh-CN" w:bidi="ar-SA"/>
        </w:rPr>
      </w:pPr>
      <w:r>
        <w:rPr>
          <w:rStyle w:val="13"/>
          <w:rFonts w:hint="eastAsia" w:ascii="方正楷体_GBK" w:hAnsi="方正楷体_GBK" w:eastAsia="方正楷体_GBK" w:cs="方正楷体_GBK"/>
          <w:b w:val="0"/>
          <w:bCs/>
          <w:sz w:val="32"/>
          <w:szCs w:val="32"/>
          <w:shd w:val="clear" w:color="auto" w:fill="FFFFFF"/>
          <w:lang w:val="en-US" w:eastAsia="zh-CN" w:bidi="ar-SA"/>
        </w:rPr>
        <w:t>（一）收入支出决算总体情况说明</w:t>
      </w:r>
    </w:p>
    <w:p>
      <w:pPr>
        <w:pStyle w:val="9"/>
        <w:shd w:val="clear" w:color="auto" w:fill="FFFFFF"/>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shd w:val="clear" w:color="auto" w:fill="FFFFFF"/>
          <w:lang w:val="en-US" w:eastAsia="zh-CN"/>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年度收</w:t>
      </w:r>
      <w:r>
        <w:rPr>
          <w:rFonts w:hint="eastAsia" w:ascii="方正仿宋_GBK" w:hAnsi="方正仿宋_GBK" w:eastAsia="方正仿宋_GBK" w:cs="方正仿宋_GBK"/>
          <w:sz w:val="32"/>
          <w:szCs w:val="32"/>
          <w:shd w:val="clear" w:color="auto" w:fill="FFFFFF"/>
          <w:lang w:eastAsia="zh-CN"/>
        </w:rPr>
        <w:t>、支</w:t>
      </w:r>
      <w:r>
        <w:rPr>
          <w:rFonts w:ascii="方正仿宋_GBK" w:hAnsi="方正仿宋_GBK" w:eastAsia="方正仿宋_GBK" w:cs="方正仿宋_GBK"/>
          <w:sz w:val="32"/>
          <w:szCs w:val="32"/>
          <w:shd w:val="clear" w:color="auto" w:fill="FFFFFF"/>
        </w:rPr>
        <w:t>总计</w:t>
      </w:r>
      <w:r>
        <w:rPr>
          <w:rFonts w:hint="eastAsia" w:ascii="方正仿宋_GBK" w:hAnsi="方正仿宋_GBK" w:eastAsia="方正仿宋_GBK" w:cs="方正仿宋_GBK"/>
          <w:sz w:val="32"/>
          <w:szCs w:val="32"/>
          <w:shd w:val="clear" w:color="auto" w:fill="FFFFFF"/>
          <w:lang w:eastAsia="zh-CN"/>
        </w:rPr>
        <w:t>均为</w:t>
      </w:r>
      <w:r>
        <w:rPr>
          <w:rFonts w:hint="default" w:ascii="Times New Roman" w:hAnsi="Times New Roman" w:eastAsia="方正仿宋_GBK"/>
          <w:sz w:val="32"/>
          <w:szCs w:val="32"/>
          <w:shd w:val="clear" w:color="auto" w:fill="FFFFFF"/>
        </w:rPr>
        <w:t>257.15</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收、支与2023年度相比，减少96.79万元，下降27.4%</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在</w:t>
      </w:r>
      <w:r>
        <w:rPr>
          <w:rFonts w:hint="eastAsia" w:ascii="方正仿宋_GBK" w:hAnsi="方正仿宋_GBK" w:eastAsia="方正仿宋_GBK" w:cs="方正仿宋_GBK"/>
          <w:sz w:val="32"/>
          <w:szCs w:val="32"/>
          <w:shd w:val="clear" w:color="auto" w:fill="FFFFFF"/>
          <w:lang w:val="en-US" w:eastAsia="zh-CN"/>
        </w:rPr>
        <w:t>2024年7月时机构改革，林业行政执法支队编制撤销，相关人员的编制转入丰都县森林病虫害防治站，相应的经费也调整到森防站。因此对于2023年减少。</w:t>
      </w:r>
    </w:p>
    <w:p>
      <w:pPr>
        <w:pStyle w:val="9"/>
        <w:shd w:val="clear" w:color="auto" w:fill="FFFFFF"/>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shd w:val="clear" w:color="auto" w:fill="FFFFFF"/>
        </w:rPr>
      </w:pPr>
      <w:r>
        <w:rPr>
          <w:rStyle w:val="13"/>
          <w:rFonts w:hint="eastAsia" w:ascii="Times New Roman" w:hAnsi="Times New Roman" w:eastAsia="方正仿宋_GBK"/>
          <w:sz w:val="32"/>
          <w:szCs w:val="32"/>
          <w:shd w:val="clear" w:color="auto" w:fill="FFFFFF"/>
          <w:lang w:val="en-US" w:eastAsia="zh-CN"/>
        </w:rPr>
        <w:t>1</w:t>
      </w:r>
      <w:r>
        <w:rPr>
          <w:rStyle w:val="13"/>
          <w:rFonts w:ascii="方正仿宋_GBK" w:hAnsi="方正仿宋_GBK" w:eastAsia="方正仿宋_GBK" w:cs="方正仿宋_GBK"/>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年度收入合计</w:t>
      </w:r>
      <w:r>
        <w:rPr>
          <w:rFonts w:hint="default" w:ascii="Times New Roman" w:hAnsi="Times New Roman" w:eastAsia="方正仿宋_GBK"/>
          <w:sz w:val="32"/>
          <w:szCs w:val="32"/>
          <w:shd w:val="clear" w:color="auto" w:fill="FFFFFF"/>
        </w:rPr>
        <w:t>257.15</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与2023年度相比，减少96.79万元，下降27.4%</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在</w:t>
      </w:r>
      <w:r>
        <w:rPr>
          <w:rFonts w:hint="eastAsia" w:ascii="方正仿宋_GBK" w:hAnsi="方正仿宋_GBK" w:eastAsia="方正仿宋_GBK" w:cs="方正仿宋_GBK"/>
          <w:sz w:val="32"/>
          <w:szCs w:val="32"/>
          <w:shd w:val="clear" w:color="auto" w:fill="FFFFFF"/>
          <w:lang w:val="en-US" w:eastAsia="zh-CN"/>
        </w:rPr>
        <w:t>2024年7月时机构改革，林业行政执法支队编制撤销，相关人员的编制转入丰都县森林病虫害防治站，相应的经费也调整到森防站。因此对于2023年减少。</w:t>
      </w:r>
      <w:r>
        <w:rPr>
          <w:rFonts w:ascii="方正仿宋_GBK" w:hAnsi="方正仿宋_GBK" w:eastAsia="方正仿宋_GBK" w:cs="方正仿宋_GBK"/>
          <w:sz w:val="32"/>
          <w:szCs w:val="32"/>
          <w:shd w:val="clear" w:color="auto" w:fill="FFFFFF"/>
        </w:rPr>
        <w:t>其中：财政拨款收入</w:t>
      </w:r>
      <w:r>
        <w:rPr>
          <w:rFonts w:hint="default" w:ascii="Times New Roman" w:hAnsi="Times New Roman" w:eastAsia="方正仿宋_GBK"/>
          <w:sz w:val="32"/>
          <w:szCs w:val="32"/>
          <w:shd w:val="clear" w:color="auto" w:fill="FFFFFF"/>
        </w:rPr>
        <w:t>257.15</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100.0%</w:t>
      </w:r>
      <w:r>
        <w:rPr>
          <w:rFonts w:ascii="方正仿宋_GBK" w:hAnsi="方正仿宋_GBK" w:eastAsia="方正仿宋_GBK" w:cs="方正仿宋_GBK"/>
          <w:sz w:val="32"/>
          <w:szCs w:val="32"/>
          <w:shd w:val="clear" w:color="auto" w:fill="FFFFFF"/>
        </w:rPr>
        <w:t>；事业收入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；经营收入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；其他收入</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。此外，</w:t>
      </w:r>
      <w:r>
        <w:rPr>
          <w:rFonts w:hint="eastAsia" w:ascii="方正仿宋_GBK" w:hAnsi="方正仿宋_GBK" w:eastAsia="方正仿宋_GBK" w:cs="方正仿宋_GBK"/>
          <w:sz w:val="32"/>
          <w:szCs w:val="32"/>
          <w:shd w:val="clear" w:color="auto" w:fill="FFFFFF"/>
        </w:rPr>
        <w:t>使用非财政拨款结余（含专用结余）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万元，年初结转和结余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pPr>
        <w:pStyle w:val="9"/>
        <w:shd w:val="clear" w:color="auto" w:fill="FFFFFF"/>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shd w:val="clear" w:color="auto" w:fill="FFFFFF"/>
        </w:rPr>
      </w:pPr>
      <w:r>
        <w:rPr>
          <w:rStyle w:val="13"/>
          <w:rFonts w:hint="eastAsia" w:ascii="Times New Roman" w:hAnsi="Times New Roman" w:eastAsia="方正仿宋_GBK"/>
          <w:sz w:val="32"/>
          <w:szCs w:val="32"/>
          <w:shd w:val="clear" w:color="auto" w:fill="FFFFFF"/>
          <w:lang w:val="en-US" w:eastAsia="zh-CN"/>
        </w:rPr>
        <w:t>2</w:t>
      </w:r>
      <w:r>
        <w:rPr>
          <w:rStyle w:val="13"/>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年度支出合计</w:t>
      </w:r>
      <w:r>
        <w:rPr>
          <w:rFonts w:hint="default" w:ascii="Times New Roman" w:hAnsi="Times New Roman" w:eastAsia="方正仿宋_GBK"/>
          <w:sz w:val="32"/>
          <w:szCs w:val="32"/>
          <w:shd w:val="clear" w:color="auto" w:fill="FFFFFF"/>
        </w:rPr>
        <w:t>257.15</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与2023年度相比，减少96.79万元，下降27.4%</w:t>
      </w:r>
      <w:r>
        <w:rPr>
          <w:rFonts w:ascii="方正仿宋_GBK" w:hAnsi="方正仿宋_GBK" w:eastAsia="方正仿宋_GBK" w:cs="方正仿宋_GBK"/>
          <w:sz w:val="32"/>
          <w:szCs w:val="32"/>
          <w:shd w:val="clear" w:color="auto" w:fill="FFFFFF"/>
        </w:rPr>
        <w:t>，主要</w:t>
      </w:r>
      <w:r>
        <w:rPr>
          <w:rFonts w:hint="eastAsia" w:ascii="方正仿宋_GBK" w:hAnsi="方正仿宋_GBK" w:eastAsia="方正仿宋_GBK" w:cs="方正仿宋_GBK"/>
          <w:sz w:val="32"/>
          <w:szCs w:val="32"/>
          <w:shd w:val="clear" w:color="auto" w:fill="FFFFFF"/>
          <w:lang w:eastAsia="zh-CN"/>
        </w:rPr>
        <w:t>原因是在</w:t>
      </w:r>
      <w:r>
        <w:rPr>
          <w:rFonts w:hint="eastAsia" w:ascii="方正仿宋_GBK" w:hAnsi="方正仿宋_GBK" w:eastAsia="方正仿宋_GBK" w:cs="方正仿宋_GBK"/>
          <w:sz w:val="32"/>
          <w:szCs w:val="32"/>
          <w:shd w:val="clear" w:color="auto" w:fill="FFFFFF"/>
          <w:lang w:val="en-US" w:eastAsia="zh-CN"/>
        </w:rPr>
        <w:t>2024年7月时机构改革，林业行政执法支队编制撤销，相关人员的编制转入丰都县森林病虫害防治站，相应的经费也调整到森防站。因此对于2023年减少。</w:t>
      </w:r>
      <w:r>
        <w:rPr>
          <w:rFonts w:ascii="方正仿宋_GBK" w:hAnsi="方正仿宋_GBK" w:eastAsia="方正仿宋_GBK" w:cs="方正仿宋_GBK"/>
          <w:sz w:val="32"/>
          <w:szCs w:val="32"/>
          <w:shd w:val="clear" w:color="auto" w:fill="FFFFFF"/>
        </w:rPr>
        <w:t>其中：基本支出</w:t>
      </w:r>
      <w:r>
        <w:rPr>
          <w:rFonts w:hint="default" w:ascii="Times New Roman" w:hAnsi="Times New Roman" w:eastAsia="方正仿宋_GBK"/>
          <w:sz w:val="32"/>
          <w:szCs w:val="32"/>
          <w:shd w:val="clear" w:color="auto" w:fill="FFFFFF"/>
        </w:rPr>
        <w:t>257.15</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100.0%</w:t>
      </w:r>
      <w:r>
        <w:rPr>
          <w:rFonts w:ascii="方正仿宋_GBK" w:hAnsi="方正仿宋_GBK" w:eastAsia="方正仿宋_GBK" w:cs="方正仿宋_GBK"/>
          <w:sz w:val="32"/>
          <w:szCs w:val="32"/>
          <w:shd w:val="clear" w:color="auto" w:fill="FFFFFF"/>
        </w:rPr>
        <w:t>；项目支出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；经营支出</w:t>
      </w:r>
      <w:r>
        <w:rPr>
          <w:rFonts w:hint="default" w:ascii="Times New Roman" w:hAnsi="Times New Roman" w:eastAsia="方正仿宋_GBK"/>
          <w:sz w:val="32"/>
          <w:szCs w:val="32"/>
        </w:rPr>
        <w:t>0.00</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0.0%</w:t>
      </w:r>
      <w:r>
        <w:rPr>
          <w:rFonts w:ascii="方正仿宋_GBK" w:hAnsi="方正仿宋_GBK" w:eastAsia="方正仿宋_GBK" w:cs="方正仿宋_GBK"/>
          <w:sz w:val="32"/>
          <w:szCs w:val="32"/>
          <w:shd w:val="clear" w:color="auto" w:fill="FFFFFF"/>
        </w:rPr>
        <w:t>。此外，结余分配</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pPr>
        <w:pStyle w:val="9"/>
        <w:snapToGrid w:val="0"/>
        <w:spacing w:before="0" w:beforeAutospacing="0" w:after="0" w:afterAutospacing="0" w:line="596" w:lineRule="exact"/>
        <w:ind w:firstLine="643" w:firstLineChars="200"/>
        <w:jc w:val="both"/>
        <w:rPr>
          <w:rFonts w:hint="eastAsia" w:ascii="方正仿宋_GBK" w:hAnsi="方正仿宋_GBK" w:eastAsia="方正仿宋_GBK" w:cs="方正仿宋_GBK"/>
          <w:sz w:val="32"/>
          <w:szCs w:val="32"/>
          <w:shd w:val="clear" w:color="auto" w:fill="FFFFFF"/>
          <w:lang w:eastAsia="zh-CN"/>
        </w:rPr>
      </w:pPr>
      <w:r>
        <w:rPr>
          <w:rStyle w:val="13"/>
          <w:rFonts w:hint="eastAsia" w:ascii="Times New Roman" w:hAnsi="Times New Roman" w:eastAsia="方正仿宋_GBK"/>
          <w:sz w:val="32"/>
          <w:szCs w:val="32"/>
          <w:shd w:val="clear" w:color="auto" w:fill="FFFFFF"/>
          <w:lang w:val="en-US" w:eastAsia="zh-CN"/>
        </w:rPr>
        <w:t>3</w:t>
      </w:r>
      <w:r>
        <w:rPr>
          <w:rStyle w:val="13"/>
          <w:rFonts w:ascii="方正仿宋_GBK" w:hAnsi="方正仿宋_GBK" w:eastAsia="方正仿宋_GBK" w:cs="方正仿宋_GBK"/>
          <w:sz w:val="32"/>
          <w:szCs w:val="32"/>
          <w:shd w:val="clear" w:color="auto" w:fill="FFFFFF"/>
        </w:rPr>
        <w:t>.结转结余情况。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年度年末结转和结余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hint="eastAsia" w:ascii="方正仿宋_GBK" w:hAnsi="方正仿宋_GBK" w:eastAsia="方正仿宋_GBK" w:cs="方正仿宋_GBK"/>
          <w:sz w:val="32"/>
          <w:szCs w:val="32"/>
          <w:shd w:val="clear" w:color="auto" w:fill="FFFFFF"/>
          <w:lang w:eastAsia="zh-CN"/>
        </w:rPr>
        <w:t>。</w:t>
      </w:r>
    </w:p>
    <w:p>
      <w:pPr>
        <w:pStyle w:val="14"/>
        <w:keepNext w:val="0"/>
        <w:keepLines w:val="0"/>
        <w:pageBreakBefore w:val="0"/>
        <w:widowControl/>
        <w:kinsoku/>
        <w:wordWrap/>
        <w:overflowPunct/>
        <w:topLinePunct w:val="0"/>
        <w:autoSpaceDE w:val="0"/>
        <w:autoSpaceDN/>
        <w:bidi w:val="0"/>
        <w:adjustRightInd/>
        <w:snapToGrid/>
        <w:spacing w:line="596" w:lineRule="exact"/>
        <w:ind w:firstLine="640" w:firstLineChars="200"/>
        <w:textAlignment w:val="auto"/>
        <w:rPr>
          <w:rStyle w:val="13"/>
          <w:rFonts w:hint="eastAsia" w:ascii="方正楷体_GBK" w:hAnsi="方正楷体_GBK" w:eastAsia="方正楷体_GBK" w:cs="方正楷体_GBK"/>
          <w:b w:val="0"/>
          <w:bCs/>
          <w:sz w:val="32"/>
          <w:szCs w:val="32"/>
          <w:shd w:val="clear" w:color="auto" w:fill="FFFFFF"/>
          <w:lang w:val="en-US" w:eastAsia="zh-CN" w:bidi="ar-SA"/>
        </w:rPr>
      </w:pPr>
      <w:r>
        <w:rPr>
          <w:rStyle w:val="13"/>
          <w:rFonts w:hint="eastAsia" w:ascii="方正楷体_GBK" w:hAnsi="方正楷体_GBK" w:eastAsia="方正楷体_GBK" w:cs="方正楷体_GBK"/>
          <w:b w:val="0"/>
          <w:bCs/>
          <w:sz w:val="32"/>
          <w:szCs w:val="32"/>
          <w:shd w:val="clear" w:color="auto" w:fill="FFFFFF"/>
          <w:lang w:val="en-US" w:eastAsia="zh-CN" w:bidi="ar-SA"/>
        </w:rPr>
        <w:t>（二）财政拨款收入支出决算总体情况说明</w:t>
      </w:r>
    </w:p>
    <w:p>
      <w:pPr>
        <w:pStyle w:val="9"/>
        <w:shd w:val="clear" w:color="auto" w:fill="FFFFFF"/>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年度财政拨款收、支总计均为</w:t>
      </w:r>
      <w:r>
        <w:rPr>
          <w:rFonts w:hint="default" w:ascii="Times New Roman" w:hAnsi="Times New Roman" w:eastAsia="方正仿宋_GBK"/>
          <w:sz w:val="32"/>
          <w:szCs w:val="32"/>
          <w:shd w:val="clear" w:color="auto" w:fill="FFFFFF"/>
        </w:rPr>
        <w:t>257.15</w:t>
      </w:r>
      <w:r>
        <w:rPr>
          <w:rFonts w:ascii="方正仿宋_GBK" w:hAnsi="方正仿宋_GBK" w:eastAsia="方正仿宋_GBK" w:cs="方正仿宋_GBK"/>
          <w:sz w:val="32"/>
          <w:szCs w:val="32"/>
          <w:shd w:val="clear" w:color="auto" w:fill="FFFFFF"/>
        </w:rPr>
        <w:t>万元。与</w:t>
      </w:r>
      <w:r>
        <w:rPr>
          <w:rFonts w:hint="default" w:ascii="Times New Roman" w:hAnsi="Times New Roman" w:eastAsia="方正仿宋_GBK"/>
          <w:sz w:val="32"/>
          <w:szCs w:val="32"/>
          <w:shd w:val="clear" w:color="auto" w:fill="FFFFFF"/>
        </w:rPr>
        <w:t>2023</w:t>
      </w:r>
      <w:r>
        <w:rPr>
          <w:rFonts w:ascii="方正仿宋_GBK" w:hAnsi="方正仿宋_GBK" w:eastAsia="方正仿宋_GBK" w:cs="方正仿宋_GBK"/>
          <w:sz w:val="32"/>
          <w:szCs w:val="32"/>
          <w:shd w:val="clear" w:color="auto" w:fill="FFFFFF"/>
        </w:rPr>
        <w:t>年</w:t>
      </w:r>
      <w:r>
        <w:rPr>
          <w:rFonts w:hint="eastAsia" w:ascii="方正仿宋_GBK" w:hAnsi="方正仿宋_GBK" w:eastAsia="方正仿宋_GBK" w:cs="方正仿宋_GBK"/>
          <w:sz w:val="32"/>
          <w:szCs w:val="32"/>
          <w:shd w:val="clear" w:color="auto" w:fill="FFFFFF"/>
          <w:lang w:eastAsia="zh-CN"/>
        </w:rPr>
        <w:t>度</w:t>
      </w:r>
      <w:r>
        <w:rPr>
          <w:rFonts w:ascii="方正仿宋_GBK" w:hAnsi="方正仿宋_GBK" w:eastAsia="方正仿宋_GBK" w:cs="方正仿宋_GBK"/>
          <w:sz w:val="32"/>
          <w:szCs w:val="32"/>
          <w:shd w:val="clear" w:color="auto" w:fill="FFFFFF"/>
        </w:rPr>
        <w:t>相比，</w:t>
      </w:r>
      <w:r>
        <w:rPr>
          <w:rFonts w:hint="default" w:ascii="Times New Roman" w:hAnsi="Times New Roman" w:eastAsia="方正仿宋_GBK"/>
          <w:sz w:val="32"/>
          <w:szCs w:val="32"/>
          <w:shd w:val="clear" w:color="auto" w:fill="FFFFFF"/>
        </w:rPr>
        <w:t>财政拨款收、支总计各减少96.79万元，下降27.4%</w:t>
      </w:r>
      <w:r>
        <w:rPr>
          <w:rFonts w:ascii="方正仿宋_GBK" w:hAnsi="方正仿宋_GBK" w:eastAsia="方正仿宋_GBK" w:cs="方正仿宋_GBK"/>
          <w:sz w:val="32"/>
          <w:szCs w:val="32"/>
          <w:shd w:val="clear" w:color="auto" w:fill="FFFFFF"/>
        </w:rPr>
        <w:t>。主要</w:t>
      </w:r>
      <w:r>
        <w:rPr>
          <w:rFonts w:hint="eastAsia" w:ascii="方正仿宋_GBK" w:hAnsi="方正仿宋_GBK" w:eastAsia="方正仿宋_GBK" w:cs="方正仿宋_GBK"/>
          <w:sz w:val="32"/>
          <w:szCs w:val="32"/>
          <w:shd w:val="clear" w:color="auto" w:fill="FFFFFF"/>
          <w:lang w:eastAsia="zh-CN"/>
        </w:rPr>
        <w:t>原因是在</w:t>
      </w:r>
      <w:r>
        <w:rPr>
          <w:rFonts w:hint="eastAsia" w:ascii="方正仿宋_GBK" w:hAnsi="方正仿宋_GBK" w:eastAsia="方正仿宋_GBK" w:cs="方正仿宋_GBK"/>
          <w:sz w:val="32"/>
          <w:szCs w:val="32"/>
          <w:shd w:val="clear" w:color="auto" w:fill="FFFFFF"/>
          <w:lang w:val="en-US" w:eastAsia="zh-CN"/>
        </w:rPr>
        <w:t>2024年7月时机构改革，林业行政执法支队编制撤销，相关人员的编制转入丰都县森林病虫害防治站，相应的经费也调整到森防站。因此对于2023年减少。</w:t>
      </w:r>
    </w:p>
    <w:p>
      <w:pPr>
        <w:pStyle w:val="14"/>
        <w:keepNext w:val="0"/>
        <w:keepLines w:val="0"/>
        <w:pageBreakBefore w:val="0"/>
        <w:widowControl/>
        <w:kinsoku/>
        <w:wordWrap/>
        <w:overflowPunct/>
        <w:topLinePunct w:val="0"/>
        <w:autoSpaceDE w:val="0"/>
        <w:autoSpaceDN/>
        <w:bidi w:val="0"/>
        <w:adjustRightInd/>
        <w:snapToGrid/>
        <w:spacing w:line="596" w:lineRule="exact"/>
        <w:textAlignment w:val="auto"/>
        <w:rPr>
          <w:rStyle w:val="13"/>
          <w:rFonts w:hint="eastAsia" w:ascii="方正楷体_GBK" w:hAnsi="方正楷体_GBK" w:eastAsia="方正楷体_GBK" w:cs="方正楷体_GBK"/>
          <w:b w:val="0"/>
          <w:bCs/>
          <w:sz w:val="32"/>
          <w:szCs w:val="32"/>
          <w:shd w:val="clear" w:color="auto" w:fill="FFFFFF"/>
          <w:lang w:val="en-US" w:eastAsia="zh-CN" w:bidi="ar-SA"/>
        </w:rPr>
      </w:pPr>
      <w:r>
        <w:rPr>
          <w:rStyle w:val="13"/>
          <w:rFonts w:hint="eastAsia" w:ascii="方正楷体_GBK" w:hAnsi="方正楷体_GBK" w:eastAsia="方正楷体_GBK" w:cs="方正楷体_GBK"/>
          <w:b w:val="0"/>
          <w:bCs/>
          <w:sz w:val="32"/>
          <w:szCs w:val="32"/>
          <w:shd w:val="clear" w:color="auto" w:fill="FFFFFF"/>
          <w:lang w:val="en-US" w:eastAsia="zh-CN" w:bidi="ar-SA"/>
        </w:rPr>
        <w:t>（三）一般公共预算财政拨款收入支出决算情况说明</w:t>
      </w:r>
    </w:p>
    <w:p>
      <w:pPr>
        <w:pStyle w:val="9"/>
        <w:shd w:val="clear" w:color="auto" w:fill="FFFFFF"/>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rPr>
      </w:pPr>
      <w:r>
        <w:rPr>
          <w:rStyle w:val="13"/>
          <w:rFonts w:hint="default" w:ascii="Times New Roman" w:hAnsi="Times New Roman" w:eastAsia="方正仿宋_GBK"/>
          <w:sz w:val="32"/>
          <w:szCs w:val="32"/>
          <w:shd w:val="clear" w:color="auto" w:fill="FFFFFF"/>
        </w:rPr>
        <w:t>1</w:t>
      </w:r>
      <w:r>
        <w:rPr>
          <w:rStyle w:val="13"/>
          <w:rFonts w:ascii="方正仿宋_GBK" w:hAnsi="方正仿宋_GBK" w:eastAsia="方正仿宋_GBK" w:cs="方正仿宋_GBK"/>
          <w:sz w:val="32"/>
          <w:szCs w:val="32"/>
          <w:shd w:val="clear" w:color="auto" w:fill="FFFFFF"/>
        </w:rPr>
        <w:t>.收入情况。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年度一般公共预算财政拨款收入</w:t>
      </w:r>
      <w:r>
        <w:rPr>
          <w:rFonts w:hint="default" w:ascii="Times New Roman" w:hAnsi="Times New Roman" w:eastAsia="方正仿宋_GBK"/>
          <w:sz w:val="32"/>
          <w:szCs w:val="32"/>
          <w:shd w:val="clear" w:color="auto" w:fill="FFFFFF"/>
        </w:rPr>
        <w:t>257.15</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与2023年度相比，减少96.79万元，下降27.4%</w:t>
      </w:r>
      <w:r>
        <w:rPr>
          <w:rFonts w:ascii="方正仿宋_GBK" w:hAnsi="方正仿宋_GBK" w:eastAsia="方正仿宋_GBK" w:cs="方正仿宋_GBK"/>
          <w:sz w:val="32"/>
          <w:szCs w:val="32"/>
          <w:shd w:val="clear" w:color="auto" w:fill="FFFFFF"/>
        </w:rPr>
        <w:t>。主要</w:t>
      </w:r>
      <w:r>
        <w:rPr>
          <w:rFonts w:hint="eastAsia" w:ascii="方正仿宋_GBK" w:hAnsi="方正仿宋_GBK" w:eastAsia="方正仿宋_GBK" w:cs="方正仿宋_GBK"/>
          <w:sz w:val="32"/>
          <w:szCs w:val="32"/>
          <w:shd w:val="clear" w:color="auto" w:fill="FFFFFF"/>
          <w:lang w:eastAsia="zh-CN"/>
        </w:rPr>
        <w:t>原因是在</w:t>
      </w:r>
      <w:r>
        <w:rPr>
          <w:rFonts w:hint="eastAsia" w:ascii="方正仿宋_GBK" w:hAnsi="方正仿宋_GBK" w:eastAsia="方正仿宋_GBK" w:cs="方正仿宋_GBK"/>
          <w:sz w:val="32"/>
          <w:szCs w:val="32"/>
          <w:shd w:val="clear" w:color="auto" w:fill="FFFFFF"/>
          <w:lang w:val="en-US" w:eastAsia="zh-CN"/>
        </w:rPr>
        <w:t>2024年7月时机构改革，林业行政执法支队编制撤销，相关人员的编制转入丰都县森林病虫害防治站，相应的经费也调整到森防站。因此对于2023年减少。</w:t>
      </w:r>
      <w:r>
        <w:rPr>
          <w:rFonts w:hint="default" w:ascii="Times New Roman" w:hAnsi="Times New Roman" w:eastAsia="方正仿宋_GBK"/>
          <w:sz w:val="32"/>
          <w:szCs w:val="32"/>
          <w:shd w:val="clear" w:color="auto" w:fill="FFFFFF"/>
        </w:rPr>
        <w:t>较年初预算数减少60.25万元，下降19.0%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在</w:t>
      </w:r>
      <w:r>
        <w:rPr>
          <w:rFonts w:hint="eastAsia" w:ascii="方正仿宋_GBK" w:hAnsi="方正仿宋_GBK" w:eastAsia="方正仿宋_GBK" w:cs="方正仿宋_GBK"/>
          <w:sz w:val="32"/>
          <w:szCs w:val="32"/>
          <w:shd w:val="clear" w:color="auto" w:fill="FFFFFF"/>
          <w:lang w:val="en-US" w:eastAsia="zh-CN"/>
        </w:rPr>
        <w:t>2024年年初预算时是按照全员在岗职工的标准充足预算的，但是在2024年7月进行了机构改革，相关经费调整至森防站，因此较年初预算减少。</w:t>
      </w:r>
      <w:r>
        <w:rPr>
          <w:rFonts w:ascii="方正仿宋_GBK" w:hAnsi="方正仿宋_GBK" w:eastAsia="方正仿宋_GBK" w:cs="方正仿宋_GBK"/>
          <w:sz w:val="32"/>
          <w:szCs w:val="32"/>
          <w:shd w:val="clear" w:color="auto" w:fill="FFFFFF"/>
        </w:rPr>
        <w:t>此外，年初财政拨款结转和结余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p>
    <w:p>
      <w:pPr>
        <w:pStyle w:val="9"/>
        <w:shd w:val="clear" w:color="auto" w:fill="FFFFFF"/>
        <w:spacing w:before="0" w:beforeAutospacing="0" w:after="0" w:afterAutospacing="0" w:line="596" w:lineRule="exact"/>
        <w:ind w:firstLine="643" w:firstLineChars="200"/>
        <w:jc w:val="both"/>
        <w:rPr>
          <w:rFonts w:ascii="方正仿宋_GBK" w:hAnsi="方正仿宋_GBK" w:eastAsia="方正仿宋_GBK" w:cs="方正仿宋_GBK"/>
          <w:color w:val="FF0000"/>
          <w:sz w:val="32"/>
          <w:szCs w:val="32"/>
          <w:shd w:val="clear" w:color="auto" w:fill="FFFFFF"/>
        </w:rPr>
      </w:pPr>
      <w:r>
        <w:rPr>
          <w:rStyle w:val="13"/>
          <w:rFonts w:hint="default" w:ascii="Times New Roman" w:hAnsi="Times New Roman" w:eastAsia="方正仿宋_GBK"/>
          <w:sz w:val="32"/>
          <w:szCs w:val="32"/>
          <w:shd w:val="clear" w:color="auto" w:fill="FFFFFF"/>
        </w:rPr>
        <w:t>2</w:t>
      </w:r>
      <w:r>
        <w:rPr>
          <w:rStyle w:val="13"/>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年度一般公共预算财政拨款支出</w:t>
      </w:r>
      <w:r>
        <w:rPr>
          <w:rFonts w:hint="default" w:ascii="Times New Roman" w:hAnsi="Times New Roman" w:eastAsia="方正仿宋_GBK"/>
          <w:sz w:val="32"/>
          <w:szCs w:val="32"/>
          <w:shd w:val="clear" w:color="auto" w:fill="FFFFFF"/>
        </w:rPr>
        <w:t>257.15</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与2023年度相比，减少96.79万元，下降27.4%</w:t>
      </w:r>
      <w:r>
        <w:rPr>
          <w:rFonts w:ascii="方正仿宋_GBK" w:hAnsi="方正仿宋_GBK" w:eastAsia="方正仿宋_GBK" w:cs="方正仿宋_GBK"/>
          <w:sz w:val="32"/>
          <w:szCs w:val="32"/>
          <w:shd w:val="clear" w:color="auto" w:fill="FFFFFF"/>
        </w:rPr>
        <w:t>。主要</w:t>
      </w:r>
      <w:r>
        <w:rPr>
          <w:rFonts w:hint="eastAsia" w:ascii="方正仿宋_GBK" w:hAnsi="方正仿宋_GBK" w:eastAsia="方正仿宋_GBK" w:cs="方正仿宋_GBK"/>
          <w:sz w:val="32"/>
          <w:szCs w:val="32"/>
          <w:shd w:val="clear" w:color="auto" w:fill="FFFFFF"/>
          <w:lang w:eastAsia="zh-CN"/>
        </w:rPr>
        <w:t>原因是在</w:t>
      </w:r>
      <w:r>
        <w:rPr>
          <w:rFonts w:hint="eastAsia" w:ascii="方正仿宋_GBK" w:hAnsi="方正仿宋_GBK" w:eastAsia="方正仿宋_GBK" w:cs="方正仿宋_GBK"/>
          <w:sz w:val="32"/>
          <w:szCs w:val="32"/>
          <w:shd w:val="clear" w:color="auto" w:fill="FFFFFF"/>
          <w:lang w:val="en-US" w:eastAsia="zh-CN"/>
        </w:rPr>
        <w:t>2024年7月时机构改革，林业行政执法支队编制撤销，相关人员的编制转入丰都县森林病虫害防治站，相应的经费也调整到森防站。因此对于2023年减少。</w:t>
      </w:r>
      <w:r>
        <w:rPr>
          <w:rFonts w:hint="default" w:ascii="Times New Roman" w:hAnsi="Times New Roman" w:eastAsia="方正仿宋_GBK"/>
          <w:sz w:val="32"/>
          <w:szCs w:val="32"/>
          <w:shd w:val="clear" w:color="auto" w:fill="FFFFFF"/>
        </w:rPr>
        <w:t>较年初预算数减少60.25万元，下降19.0%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在</w:t>
      </w:r>
      <w:r>
        <w:rPr>
          <w:rFonts w:hint="eastAsia" w:ascii="方正仿宋_GBK" w:hAnsi="方正仿宋_GBK" w:eastAsia="方正仿宋_GBK" w:cs="方正仿宋_GBK"/>
          <w:sz w:val="32"/>
          <w:szCs w:val="32"/>
          <w:shd w:val="clear" w:color="auto" w:fill="FFFFFF"/>
          <w:lang w:val="en-US" w:eastAsia="zh-CN"/>
        </w:rPr>
        <w:t>2024年年初预算时是按照全员在岗职工的标准充足预算的，但是在2024年7月进行了机构改革，相关经费调整至森防站，因此较年初预算减少。</w:t>
      </w:r>
    </w:p>
    <w:p>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ascii="方正仿宋_GBK" w:hAnsi="方正仿宋_GBK" w:eastAsia="方正仿宋_GBK" w:cs="方正仿宋_GBK"/>
          <w:sz w:val="32"/>
          <w:szCs w:val="32"/>
          <w:highlight w:val="none"/>
          <w:shd w:val="clear" w:color="auto" w:fill="FFFFFF"/>
        </w:rPr>
      </w:pPr>
      <w:r>
        <w:rPr>
          <w:rFonts w:ascii="方正仿宋_GBK" w:hAnsi="方正仿宋_GBK" w:eastAsia="方正仿宋_GBK" w:cs="方正仿宋_GBK"/>
          <w:sz w:val="32"/>
          <w:szCs w:val="32"/>
          <w:highlight w:val="none"/>
          <w:shd w:val="clear" w:color="auto" w:fill="FFFFFF"/>
        </w:rPr>
        <w:t>一般公共预算财政拨款支出主要</w:t>
      </w:r>
      <w:r>
        <w:rPr>
          <w:rFonts w:hint="eastAsia" w:ascii="方正仿宋_GBK" w:hAnsi="方正仿宋_GBK" w:eastAsia="方正仿宋_GBK" w:cs="方正仿宋_GBK"/>
          <w:sz w:val="32"/>
          <w:szCs w:val="32"/>
          <w:highlight w:val="none"/>
          <w:shd w:val="clear" w:color="auto" w:fill="FFFFFF"/>
          <w:lang w:eastAsia="zh-CN"/>
        </w:rPr>
        <w:t>用途如下</w:t>
      </w:r>
      <w:r>
        <w:rPr>
          <w:rFonts w:ascii="方正仿宋_GBK" w:hAnsi="方正仿宋_GBK" w:eastAsia="方正仿宋_GBK" w:cs="方正仿宋_GBK"/>
          <w:sz w:val="32"/>
          <w:szCs w:val="32"/>
          <w:highlight w:val="none"/>
          <w:shd w:val="clear" w:color="auto" w:fill="FFFFFF"/>
        </w:rPr>
        <w:t>：</w:t>
      </w:r>
    </w:p>
    <w:p>
      <w:pPr>
        <w:pStyle w:val="9"/>
        <w:shd w:val="clear" w:color="auto" w:fill="FFFFFF"/>
        <w:spacing w:before="0" w:beforeAutospacing="0" w:after="0" w:afterAutospacing="0" w:line="596" w:lineRule="exact"/>
        <w:ind w:firstLine="640" w:firstLineChars="200"/>
        <w:jc w:val="both"/>
        <w:rPr>
          <w:rFonts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sz w:val="32"/>
          <w:szCs w:val="32"/>
          <w:shd w:val="clear" w:color="auto" w:fill="FFFFFF"/>
          <w:lang w:val="en-US" w:eastAsia="zh-CN"/>
        </w:rPr>
        <w:t>1</w:t>
      </w:r>
      <w:r>
        <w:rPr>
          <w:rFonts w:ascii="方正仿宋_GBK" w:hAnsi="方正仿宋_GBK" w:eastAsia="方正仿宋_GBK" w:cs="方正仿宋_GBK"/>
          <w:sz w:val="32"/>
          <w:szCs w:val="32"/>
          <w:shd w:val="clear" w:color="auto" w:fill="FFFFFF"/>
        </w:rPr>
        <w:t>）社会保障</w:t>
      </w:r>
      <w:r>
        <w:rPr>
          <w:rFonts w:hint="eastAsia" w:ascii="方正仿宋_GBK" w:hAnsi="方正仿宋_GBK" w:eastAsia="方正仿宋_GBK" w:cs="方正仿宋_GBK"/>
          <w:sz w:val="32"/>
          <w:szCs w:val="32"/>
          <w:shd w:val="clear" w:color="auto" w:fill="FFFFFF"/>
          <w:lang w:eastAsia="zh-CN"/>
        </w:rPr>
        <w:t>和</w:t>
      </w:r>
      <w:r>
        <w:rPr>
          <w:rFonts w:ascii="方正仿宋_GBK" w:hAnsi="方正仿宋_GBK" w:eastAsia="方正仿宋_GBK" w:cs="方正仿宋_GBK"/>
          <w:sz w:val="32"/>
          <w:szCs w:val="32"/>
          <w:shd w:val="clear" w:color="auto" w:fill="FFFFFF"/>
        </w:rPr>
        <w:t>就业支出</w:t>
      </w:r>
      <w:r>
        <w:rPr>
          <w:rFonts w:hint="default" w:ascii="Times New Roman" w:hAnsi="Times New Roman" w:eastAsia="方正仿宋_GBK"/>
          <w:sz w:val="32"/>
          <w:szCs w:val="32"/>
          <w:shd w:val="clear" w:color="auto" w:fill="FFFFFF"/>
        </w:rPr>
        <w:t>37.84</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14.7%</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较年初预算数减少1.06万元，下降2.7%</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在</w:t>
      </w:r>
      <w:r>
        <w:rPr>
          <w:rFonts w:hint="eastAsia" w:ascii="方正仿宋_GBK" w:hAnsi="方正仿宋_GBK" w:eastAsia="方正仿宋_GBK" w:cs="方正仿宋_GBK"/>
          <w:sz w:val="32"/>
          <w:szCs w:val="32"/>
          <w:shd w:val="clear" w:color="auto" w:fill="FFFFFF"/>
          <w:lang w:val="en-US" w:eastAsia="zh-CN"/>
        </w:rPr>
        <w:t>2024年年初预算时是按照全员在岗职工的标准充足预算的，但是在2024年7月进行了机构改革，人员编制全部转入，相关经费调整至森防站，因此较年初预算减少。</w:t>
      </w:r>
    </w:p>
    <w:p>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）卫生健康支出</w:t>
      </w:r>
      <w:r>
        <w:rPr>
          <w:rFonts w:hint="default" w:ascii="Times New Roman" w:hAnsi="Times New Roman" w:eastAsia="方正仿宋_GBK"/>
          <w:sz w:val="32"/>
          <w:szCs w:val="32"/>
          <w:shd w:val="clear" w:color="auto" w:fill="FFFFFF"/>
        </w:rPr>
        <w:t>18.48</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7.2%</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较年初预算数减少0.45万元，下降2.4%</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在</w:t>
      </w:r>
      <w:r>
        <w:rPr>
          <w:rFonts w:hint="eastAsia" w:ascii="方正仿宋_GBK" w:hAnsi="方正仿宋_GBK" w:eastAsia="方正仿宋_GBK" w:cs="方正仿宋_GBK"/>
          <w:sz w:val="32"/>
          <w:szCs w:val="32"/>
          <w:shd w:val="clear" w:color="auto" w:fill="FFFFFF"/>
          <w:lang w:val="en-US" w:eastAsia="zh-CN"/>
        </w:rPr>
        <w:t>2024年年初预算时是按照全员在岗职工的标准充足预算的，但是在2024年7月进行了机构改革，人员编制全部转入，相关经费调整至森防站，因此较年初预算减少。</w:t>
      </w:r>
    </w:p>
    <w:p>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）农林水支出</w:t>
      </w:r>
      <w:r>
        <w:rPr>
          <w:rFonts w:hint="default" w:ascii="Times New Roman" w:hAnsi="Times New Roman" w:eastAsia="方正仿宋_GBK"/>
          <w:sz w:val="32"/>
          <w:szCs w:val="32"/>
          <w:shd w:val="clear" w:color="auto" w:fill="FFFFFF"/>
        </w:rPr>
        <w:t>179.59</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69.8%</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较年初预算数减少58.22万元，下降24.5%</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在</w:t>
      </w:r>
      <w:r>
        <w:rPr>
          <w:rFonts w:hint="eastAsia" w:ascii="方正仿宋_GBK" w:hAnsi="方正仿宋_GBK" w:eastAsia="方正仿宋_GBK" w:cs="方正仿宋_GBK"/>
          <w:sz w:val="32"/>
          <w:szCs w:val="32"/>
          <w:shd w:val="clear" w:color="auto" w:fill="FFFFFF"/>
          <w:lang w:val="en-US" w:eastAsia="zh-CN"/>
        </w:rPr>
        <w:t>2024年年初预算时是按照全员在岗职工的标准充足预算的，但是在2024年7月进行了机构改革，人员编制全部转入，相关经费调整至森防站，因此较年初预算减少。</w:t>
      </w:r>
    </w:p>
    <w:p>
      <w:pPr>
        <w:spacing w:line="596" w:lineRule="exact"/>
        <w:ind w:firstLine="640" w:firstLineChars="200"/>
        <w:jc w:val="both"/>
        <w:rPr>
          <w:rFonts w:hint="default"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Times New Roman" w:hAnsi="Times New Roman" w:eastAsia="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w:t>
      </w:r>
      <w:r>
        <w:rPr>
          <w:rFonts w:hint="default" w:ascii="Times New Roman" w:hAnsi="Times New Roman" w:eastAsia="方正仿宋_GBK"/>
          <w:sz w:val="32"/>
          <w:szCs w:val="32"/>
          <w:shd w:val="clear" w:color="auto" w:fill="FFFFFF"/>
        </w:rPr>
        <w:t>21.23</w:t>
      </w:r>
      <w:r>
        <w:rPr>
          <w:rFonts w:ascii="方正仿宋_GBK" w:hAnsi="方正仿宋_GBK" w:eastAsia="方正仿宋_GBK" w:cs="方正仿宋_GBK"/>
          <w:sz w:val="32"/>
          <w:szCs w:val="32"/>
          <w:shd w:val="clear" w:color="auto" w:fill="FFFFFF"/>
        </w:rPr>
        <w:t>万元，占</w:t>
      </w:r>
      <w:r>
        <w:rPr>
          <w:rFonts w:hint="default" w:ascii="Times New Roman" w:hAnsi="Times New Roman" w:eastAsia="方正仿宋_GBK"/>
          <w:sz w:val="32"/>
          <w:szCs w:val="32"/>
          <w:shd w:val="clear" w:color="auto" w:fill="FFFFFF"/>
        </w:rPr>
        <w:t>8.3%</w:t>
      </w:r>
      <w:r>
        <w:rPr>
          <w:rFonts w:ascii="方正仿宋_GBK" w:hAnsi="方正仿宋_GBK" w:eastAsia="方正仿宋_GBK" w:cs="方正仿宋_GBK"/>
          <w:sz w:val="32"/>
          <w:szCs w:val="32"/>
          <w:shd w:val="clear" w:color="auto" w:fill="FFFFFF"/>
        </w:rPr>
        <w:t>，</w:t>
      </w:r>
      <w:r>
        <w:rPr>
          <w:rFonts w:hint="default" w:ascii="Times New Roman" w:hAnsi="Times New Roman" w:eastAsia="方正仿宋_GBK"/>
          <w:sz w:val="32"/>
          <w:szCs w:val="32"/>
          <w:shd w:val="clear" w:color="auto" w:fill="FFFFFF"/>
        </w:rPr>
        <w:t>较年初预算数减少0.53万元，下降2.4%</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在</w:t>
      </w:r>
      <w:r>
        <w:rPr>
          <w:rFonts w:hint="eastAsia" w:ascii="方正仿宋_GBK" w:hAnsi="方正仿宋_GBK" w:eastAsia="方正仿宋_GBK" w:cs="方正仿宋_GBK"/>
          <w:sz w:val="32"/>
          <w:szCs w:val="32"/>
          <w:shd w:val="clear" w:color="auto" w:fill="FFFFFF"/>
          <w:lang w:val="en-US" w:eastAsia="zh-CN"/>
        </w:rPr>
        <w:t>2024年年初预算时是按照全员在岗职工的标准充足预算的，但是在2024年7月进行了机构改革，人员编制全部转入，相关经费调整至森防站，因此较年初预算减少。</w:t>
      </w:r>
    </w:p>
    <w:p>
      <w:pPr>
        <w:pStyle w:val="9"/>
        <w:snapToGrid w:val="0"/>
        <w:spacing w:before="0" w:beforeAutospacing="0" w:after="0" w:afterAutospacing="0" w:line="596" w:lineRule="exact"/>
        <w:ind w:firstLine="643" w:firstLineChars="200"/>
        <w:jc w:val="both"/>
        <w:rPr>
          <w:rFonts w:hint="eastAsia" w:ascii="方正仿宋_GBK" w:hAnsi="方正仿宋_GBK" w:eastAsia="方正仿宋_GBK" w:cs="方正仿宋_GBK"/>
          <w:color w:val="FF0000"/>
          <w:sz w:val="32"/>
          <w:szCs w:val="32"/>
          <w:shd w:val="clear" w:color="auto" w:fill="FFFFFF"/>
          <w:lang w:eastAsia="zh-CN"/>
        </w:rPr>
      </w:pPr>
      <w:r>
        <w:rPr>
          <w:rStyle w:val="13"/>
          <w:rFonts w:hint="default" w:ascii="Times New Roman" w:hAnsi="Times New Roman" w:eastAsia="方正仿宋_GBK"/>
          <w:sz w:val="32"/>
          <w:szCs w:val="32"/>
          <w:shd w:val="clear" w:color="auto" w:fill="FFFFFF"/>
        </w:rPr>
        <w:t>3</w:t>
      </w:r>
      <w:r>
        <w:rPr>
          <w:rStyle w:val="13"/>
          <w:rFonts w:ascii="方正仿宋_GBK" w:hAnsi="方正仿宋_GBK" w:eastAsia="方正仿宋_GBK" w:cs="方正仿宋_GBK"/>
          <w:sz w:val="32"/>
          <w:szCs w:val="32"/>
          <w:shd w:val="clear" w:color="auto" w:fill="FFFFFF"/>
        </w:rPr>
        <w:t>.结转结余情况。</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年度年末一般公共预算财政拨款结转和结余</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与2023年度相比，无增减</w:t>
      </w:r>
      <w:r>
        <w:rPr>
          <w:rFonts w:hint="eastAsia" w:ascii="方正仿宋_GBK" w:hAnsi="方正仿宋_GBK" w:eastAsia="方正仿宋_GBK" w:cs="方正仿宋_GBK"/>
          <w:sz w:val="32"/>
          <w:szCs w:val="32"/>
          <w:shd w:val="clear" w:color="auto" w:fill="FFFFFF"/>
          <w:lang w:eastAsia="zh-CN"/>
        </w:rPr>
        <w:t>。</w:t>
      </w:r>
    </w:p>
    <w:p>
      <w:pPr>
        <w:pStyle w:val="14"/>
        <w:keepNext w:val="0"/>
        <w:keepLines w:val="0"/>
        <w:pageBreakBefore w:val="0"/>
        <w:widowControl/>
        <w:kinsoku/>
        <w:wordWrap/>
        <w:overflowPunct/>
        <w:topLinePunct w:val="0"/>
        <w:autoSpaceDE w:val="0"/>
        <w:autoSpaceDN/>
        <w:bidi w:val="0"/>
        <w:adjustRightInd/>
        <w:snapToGrid/>
        <w:spacing w:line="596" w:lineRule="exact"/>
        <w:ind w:firstLine="640" w:firstLineChars="200"/>
        <w:textAlignment w:val="auto"/>
        <w:rPr>
          <w:rStyle w:val="13"/>
          <w:rFonts w:hint="eastAsia" w:ascii="方正楷体_GBK" w:hAnsi="方正楷体_GBK" w:eastAsia="方正楷体_GBK" w:cs="方正楷体_GBK"/>
          <w:b w:val="0"/>
          <w:bCs/>
          <w:sz w:val="32"/>
          <w:szCs w:val="32"/>
          <w:shd w:val="clear" w:color="auto" w:fill="FFFFFF"/>
          <w:lang w:val="en-US" w:eastAsia="zh-CN" w:bidi="ar-SA"/>
        </w:rPr>
      </w:pPr>
      <w:r>
        <w:rPr>
          <w:rStyle w:val="13"/>
          <w:rFonts w:hint="eastAsia" w:ascii="方正楷体_GBK" w:hAnsi="方正楷体_GBK" w:eastAsia="方正楷体_GBK" w:cs="方正楷体_GBK"/>
          <w:b w:val="0"/>
          <w:bCs/>
          <w:sz w:val="32"/>
          <w:szCs w:val="32"/>
          <w:shd w:val="clear" w:color="auto" w:fill="FFFFFF"/>
          <w:lang w:val="en-US" w:eastAsia="zh-CN" w:bidi="ar-SA"/>
        </w:rPr>
        <w:t>（四）一般公共预算财政拨款基本支出决算情况说明</w:t>
      </w:r>
    </w:p>
    <w:p>
      <w:pPr>
        <w:pStyle w:val="9"/>
        <w:snapToGrid w:val="0"/>
        <w:spacing w:before="0" w:beforeAutospacing="0" w:after="0" w:afterAutospacing="0" w:line="596" w:lineRule="exact"/>
        <w:ind w:firstLine="640" w:firstLineChars="200"/>
        <w:jc w:val="both"/>
        <w:rPr>
          <w:rFonts w:ascii="方正仿宋_GBK" w:hAnsi="方正仿宋_GBK" w:eastAsia="方正仿宋_GBK" w:cs="方正仿宋_GBK"/>
          <w:sz w:val="32"/>
          <w:szCs w:val="32"/>
          <w:shd w:val="clear" w:color="auto" w:fill="FFFFFF"/>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年度一般公共财政拨款基本支出</w:t>
      </w:r>
      <w:r>
        <w:rPr>
          <w:rFonts w:hint="default" w:ascii="Times New Roman" w:hAnsi="Times New Roman" w:eastAsia="方正仿宋_GBK"/>
          <w:sz w:val="32"/>
          <w:szCs w:val="32"/>
          <w:shd w:val="clear" w:color="auto" w:fill="FFFFFF"/>
        </w:rPr>
        <w:t>257.15</w:t>
      </w:r>
      <w:r>
        <w:rPr>
          <w:rFonts w:ascii="方正仿宋_GBK" w:hAnsi="方正仿宋_GBK" w:eastAsia="方正仿宋_GBK" w:cs="方正仿宋_GBK"/>
          <w:sz w:val="32"/>
          <w:szCs w:val="32"/>
          <w:shd w:val="clear" w:color="auto" w:fill="FFFFFF"/>
        </w:rPr>
        <w:t>万元。</w:t>
      </w:r>
    </w:p>
    <w:p>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0" w:firstLineChars="0"/>
        <w:jc w:val="both"/>
        <w:textAlignment w:val="auto"/>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其中：</w:t>
      </w:r>
    </w:p>
    <w:p>
      <w:pPr>
        <w:pStyle w:val="9"/>
        <w:snapToGrid w:val="0"/>
        <w:spacing w:before="0" w:beforeAutospacing="0" w:after="0" w:afterAutospacing="0" w:line="596" w:lineRule="exact"/>
        <w:ind w:firstLine="640" w:firstLineChars="200"/>
        <w:jc w:val="both"/>
        <w:rPr>
          <w:rFonts w:hint="eastAsia" w:ascii="方正仿宋_GBK" w:hAnsi="方正仿宋_GBK" w:eastAsia="方正仿宋_GBK" w:cs="方正仿宋_GBK"/>
          <w:color w:val="FF0000"/>
          <w:sz w:val="32"/>
          <w:szCs w:val="32"/>
          <w:shd w:val="clear" w:color="auto" w:fill="FFFFFF"/>
          <w:lang w:eastAsia="zh-CN"/>
        </w:rPr>
      </w:pPr>
      <w:r>
        <w:rPr>
          <w:rFonts w:ascii="方正仿宋_GBK" w:hAnsi="方正仿宋_GBK" w:eastAsia="方正仿宋_GBK" w:cs="方正仿宋_GBK"/>
          <w:sz w:val="32"/>
          <w:szCs w:val="32"/>
          <w:shd w:val="clear" w:color="auto" w:fill="FFFFFF"/>
        </w:rPr>
        <w:t>人员经费</w:t>
      </w:r>
      <w:r>
        <w:rPr>
          <w:rFonts w:hint="default" w:ascii="Times New Roman" w:hAnsi="Times New Roman" w:eastAsia="方正仿宋_GBK"/>
          <w:sz w:val="32"/>
          <w:szCs w:val="32"/>
          <w:shd w:val="clear" w:color="auto" w:fill="FFFFFF"/>
        </w:rPr>
        <w:t>231.21</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与2023年度相比，减少55.87万元，下降19.5%</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在</w:t>
      </w:r>
      <w:r>
        <w:rPr>
          <w:rFonts w:hint="eastAsia" w:ascii="方正仿宋_GBK" w:hAnsi="方正仿宋_GBK" w:eastAsia="方正仿宋_GBK" w:cs="方正仿宋_GBK"/>
          <w:sz w:val="32"/>
          <w:szCs w:val="32"/>
          <w:shd w:val="clear" w:color="auto" w:fill="FFFFFF"/>
          <w:lang w:val="en-US" w:eastAsia="zh-CN"/>
        </w:rPr>
        <w:t>2024年7月时机构改革，林业行政执法支队编制撤销，相关人员的编制转入丰都县森林病虫害防治站，相应的经费也调整到森防站。因此对于2023年减少。</w:t>
      </w:r>
      <w:r>
        <w:rPr>
          <w:rFonts w:ascii="方正仿宋_GBK" w:hAnsi="方正仿宋_GBK" w:eastAsia="方正仿宋_GBK" w:cs="方正仿宋_GBK"/>
          <w:sz w:val="32"/>
          <w:szCs w:val="32"/>
          <w:shd w:val="clear" w:color="auto" w:fill="FFFFFF"/>
        </w:rPr>
        <w:t>人员经费用途</w:t>
      </w:r>
      <w:r>
        <w:rPr>
          <w:rFonts w:ascii="方正仿宋_GBK" w:hAnsi="方正仿宋_GBK" w:eastAsia="方正仿宋_GBK" w:cs="方正仿宋_GBK"/>
          <w:sz w:val="32"/>
          <w:szCs w:val="32"/>
        </w:rPr>
        <w:t>主要包括在职人员的工资以及五险等费用支出</w:t>
      </w:r>
      <w:r>
        <w:rPr>
          <w:rFonts w:hint="eastAsia" w:ascii="方正仿宋_GBK" w:hAnsi="方正仿宋_GBK" w:eastAsia="方正仿宋_GBK" w:cs="方正仿宋_GBK"/>
          <w:sz w:val="32"/>
          <w:szCs w:val="32"/>
          <w:lang w:eastAsia="zh-CN"/>
        </w:rPr>
        <w:t>。</w:t>
      </w:r>
    </w:p>
    <w:p>
      <w:pPr>
        <w:pStyle w:val="9"/>
        <w:snapToGrid w:val="0"/>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公用经费</w:t>
      </w:r>
      <w:r>
        <w:rPr>
          <w:rFonts w:hint="default" w:ascii="Times New Roman" w:hAnsi="Times New Roman" w:eastAsia="方正仿宋_GBK"/>
          <w:sz w:val="32"/>
          <w:szCs w:val="32"/>
          <w:shd w:val="clear" w:color="auto" w:fill="FFFFFF"/>
        </w:rPr>
        <w:t>25.94</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与2023年度相比，减少30.92万元，下降54.4%</w:t>
      </w: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eastAsia="zh-CN"/>
        </w:rPr>
        <w:t>主要原因是在</w:t>
      </w:r>
      <w:r>
        <w:rPr>
          <w:rFonts w:hint="eastAsia" w:ascii="方正仿宋_GBK" w:hAnsi="方正仿宋_GBK" w:eastAsia="方正仿宋_GBK" w:cs="方正仿宋_GBK"/>
          <w:sz w:val="32"/>
          <w:szCs w:val="32"/>
          <w:shd w:val="clear" w:color="auto" w:fill="FFFFFF"/>
          <w:lang w:val="en-US" w:eastAsia="zh-CN"/>
        </w:rPr>
        <w:t>2024年7月时机构改革，林业行政执法支队编制撤销，相关人员的编制转入丰都县森林病虫害防治站，相应的经费也调整到森防站。因此对于2023年减少。</w:t>
      </w:r>
      <w:r>
        <w:rPr>
          <w:rFonts w:ascii="方正仿宋_GBK" w:hAnsi="方正仿宋_GBK" w:eastAsia="方正仿宋_GBK" w:cs="方正仿宋_GBK"/>
          <w:sz w:val="32"/>
          <w:szCs w:val="32"/>
          <w:shd w:val="clear" w:color="auto" w:fill="FFFFFF"/>
        </w:rPr>
        <w:t>公用经费用途主要包括办公用品采购，公务出差等</w:t>
      </w:r>
      <w:r>
        <w:rPr>
          <w:rFonts w:hint="eastAsia" w:ascii="方正仿宋_GBK" w:hAnsi="方正仿宋_GBK" w:eastAsia="方正仿宋_GBK" w:cs="方正仿宋_GBK"/>
          <w:sz w:val="32"/>
          <w:szCs w:val="32"/>
          <w:shd w:val="clear" w:color="auto" w:fill="FFFFFF"/>
          <w:lang w:eastAsia="zh-CN"/>
        </w:rPr>
        <w:t>。</w:t>
      </w:r>
    </w:p>
    <w:p>
      <w:pPr>
        <w:pStyle w:val="14"/>
        <w:keepNext w:val="0"/>
        <w:keepLines w:val="0"/>
        <w:pageBreakBefore w:val="0"/>
        <w:widowControl/>
        <w:kinsoku/>
        <w:wordWrap/>
        <w:overflowPunct/>
        <w:topLinePunct w:val="0"/>
        <w:autoSpaceDE w:val="0"/>
        <w:autoSpaceDN/>
        <w:bidi w:val="0"/>
        <w:adjustRightInd/>
        <w:snapToGrid/>
        <w:spacing w:line="596" w:lineRule="exact"/>
        <w:ind w:firstLine="640" w:firstLineChars="200"/>
        <w:textAlignment w:val="auto"/>
        <w:rPr>
          <w:rStyle w:val="13"/>
          <w:rFonts w:hint="eastAsia" w:ascii="方正楷体_GBK" w:hAnsi="方正楷体_GBK" w:eastAsia="方正楷体_GBK" w:cs="方正楷体_GBK"/>
          <w:b w:val="0"/>
          <w:bCs/>
          <w:sz w:val="32"/>
          <w:szCs w:val="32"/>
          <w:shd w:val="clear" w:color="auto" w:fill="FFFFFF"/>
          <w:lang w:val="en-US" w:eastAsia="zh-CN" w:bidi="ar-SA"/>
        </w:rPr>
      </w:pPr>
      <w:r>
        <w:rPr>
          <w:rStyle w:val="13"/>
          <w:rFonts w:hint="eastAsia" w:ascii="方正楷体_GBK" w:hAnsi="方正楷体_GBK" w:eastAsia="方正楷体_GBK" w:cs="方正楷体_GBK"/>
          <w:b w:val="0"/>
          <w:bCs/>
          <w:sz w:val="32"/>
          <w:szCs w:val="32"/>
          <w:shd w:val="clear" w:color="auto" w:fill="FFFFFF"/>
          <w:lang w:val="en-US" w:eastAsia="zh-CN" w:bidi="ar-SA"/>
        </w:rPr>
        <w:t>（五）政府性基金预算收支决算情况说明</w:t>
      </w:r>
    </w:p>
    <w:p>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w:t>
      </w:r>
      <w:r>
        <w:rPr>
          <w:rFonts w:hint="eastAsia" w:ascii="方正仿宋_GBK" w:hAnsi="方正仿宋_GBK" w:eastAsia="方正仿宋_GBK" w:cs="方正仿宋_GBK"/>
          <w:sz w:val="32"/>
          <w:szCs w:val="32"/>
          <w:shd w:val="clear" w:color="auto" w:fill="FFFFFF"/>
          <w:lang w:eastAsia="zh-CN"/>
        </w:rPr>
        <w:t>单位</w:t>
      </w:r>
      <w:r>
        <w:rPr>
          <w:rFonts w:hint="default" w:ascii="方正仿宋_GBK" w:hAnsi="方正仿宋_GBK" w:eastAsia="方正仿宋_GBK" w:cs="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年度无政府性基金预算财政拨款收支。</w:t>
      </w:r>
    </w:p>
    <w:p>
      <w:pPr>
        <w:pStyle w:val="14"/>
        <w:keepNext w:val="0"/>
        <w:keepLines w:val="0"/>
        <w:pageBreakBefore w:val="0"/>
        <w:widowControl/>
        <w:kinsoku/>
        <w:wordWrap/>
        <w:overflowPunct/>
        <w:topLinePunct w:val="0"/>
        <w:autoSpaceDE w:val="0"/>
        <w:autoSpaceDN/>
        <w:bidi w:val="0"/>
        <w:adjustRightInd/>
        <w:snapToGrid/>
        <w:spacing w:line="596" w:lineRule="exact"/>
        <w:ind w:firstLine="640" w:firstLineChars="200"/>
        <w:textAlignment w:val="auto"/>
        <w:rPr>
          <w:rStyle w:val="13"/>
          <w:rFonts w:hint="eastAsia" w:ascii="方正楷体_GBK" w:hAnsi="方正楷体_GBK" w:eastAsia="方正楷体_GBK" w:cs="方正楷体_GBK"/>
          <w:b w:val="0"/>
          <w:bCs/>
          <w:sz w:val="32"/>
          <w:szCs w:val="32"/>
          <w:shd w:val="clear" w:color="auto" w:fill="FFFFFF"/>
          <w:lang w:val="en-US" w:eastAsia="zh-CN" w:bidi="ar-SA"/>
        </w:rPr>
      </w:pPr>
      <w:r>
        <w:rPr>
          <w:rStyle w:val="13"/>
          <w:rFonts w:hint="eastAsia" w:ascii="方正楷体_GBK" w:hAnsi="方正楷体_GBK" w:eastAsia="方正楷体_GBK" w:cs="方正楷体_GBK"/>
          <w:b w:val="0"/>
          <w:bCs/>
          <w:sz w:val="32"/>
          <w:szCs w:val="32"/>
          <w:shd w:val="clear" w:color="auto" w:fill="FFFFFF"/>
          <w:lang w:val="en-US" w:eastAsia="zh-CN" w:bidi="ar-SA"/>
        </w:rPr>
        <w:t>（六）国有资本经营预算财政拨款支出决算情况说明</w:t>
      </w:r>
    </w:p>
    <w:p>
      <w:pPr>
        <w:pStyle w:val="9"/>
        <w:snapToGrid w:val="0"/>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shd w:val="clear" w:color="auto" w:fill="FFFFFF"/>
          <w:lang w:eastAsia="zh-CN"/>
        </w:rPr>
      </w:pPr>
      <w:r>
        <w:rPr>
          <w:rFonts w:hint="default" w:ascii="方正仿宋_GBK" w:hAnsi="方正仿宋_GBK" w:eastAsia="方正仿宋_GBK" w:cs="方正仿宋_GBK"/>
          <w:sz w:val="32"/>
          <w:szCs w:val="32"/>
          <w:shd w:val="clear" w:color="auto" w:fill="FFFFFF"/>
        </w:rPr>
        <w:t>本</w:t>
      </w:r>
      <w:r>
        <w:rPr>
          <w:rFonts w:hint="eastAsia" w:ascii="方正仿宋_GBK" w:hAnsi="方正仿宋_GBK" w:eastAsia="方正仿宋_GBK" w:cs="方正仿宋_GBK"/>
          <w:sz w:val="32"/>
          <w:szCs w:val="32"/>
          <w:shd w:val="clear" w:color="auto" w:fill="FFFFFF"/>
          <w:lang w:eastAsia="zh-CN"/>
        </w:rPr>
        <w:t>单位</w:t>
      </w:r>
      <w:r>
        <w:rPr>
          <w:rFonts w:hint="default" w:ascii="方正仿宋_GBK" w:hAnsi="方正仿宋_GBK" w:eastAsia="方正仿宋_GBK" w:cs="方正仿宋_GBK"/>
          <w:sz w:val="32"/>
          <w:szCs w:val="32"/>
          <w:shd w:val="clear" w:color="auto" w:fill="FFFFFF"/>
        </w:rPr>
        <w:t>2024年度无国有资本经营预算财政拨款支出。</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13"/>
          <w:rFonts w:hint="default" w:ascii="方正黑体_GBK" w:hAnsi="方正黑体_GBK" w:eastAsia="方正黑体_GBK" w:cs="方正黑体_GBK"/>
          <w:b w:val="0"/>
          <w:bCs/>
          <w:sz w:val="32"/>
          <w:szCs w:val="32"/>
          <w:shd w:val="clear" w:color="auto" w:fill="FFFFFF"/>
        </w:rPr>
      </w:pPr>
      <w:r>
        <w:rPr>
          <w:rStyle w:val="13"/>
          <w:rFonts w:hint="eastAsia" w:ascii="方正黑体_GBK" w:hAnsi="方正黑体_GBK" w:eastAsia="方正黑体_GBK" w:cs="方正黑体_GBK"/>
          <w:b w:val="0"/>
          <w:bCs/>
          <w:sz w:val="32"/>
          <w:szCs w:val="32"/>
          <w:shd w:val="clear" w:color="auto" w:fill="FFFFFF"/>
        </w:rPr>
        <w:t>三、</w:t>
      </w:r>
      <w:r>
        <w:rPr>
          <w:rStyle w:val="13"/>
          <w:rFonts w:hint="eastAsia" w:ascii="方正黑体_GBK" w:hAnsi="方正黑体_GBK" w:eastAsia="方正黑体_GBK" w:cs="方正黑体_GBK"/>
          <w:b w:val="0"/>
          <w:bCs/>
          <w:sz w:val="32"/>
          <w:szCs w:val="32"/>
          <w:shd w:val="clear" w:color="auto" w:fill="FFFFFF"/>
          <w:lang w:eastAsia="zh-CN"/>
        </w:rPr>
        <w:t>财政拨款</w:t>
      </w:r>
      <w:r>
        <w:rPr>
          <w:rStyle w:val="13"/>
          <w:rFonts w:hint="eastAsia" w:ascii="方正黑体_GBK" w:hAnsi="方正黑体_GBK" w:eastAsia="方正黑体_GBK" w:cs="方正黑体_GBK"/>
          <w:b w:val="0"/>
          <w:bCs/>
          <w:sz w:val="32"/>
          <w:szCs w:val="32"/>
          <w:shd w:val="clear" w:color="auto" w:fill="FFFFFF"/>
        </w:rPr>
        <w:t>“三公”经费情况说明</w:t>
      </w:r>
    </w:p>
    <w:p>
      <w:pPr>
        <w:pStyle w:val="14"/>
        <w:keepNext w:val="0"/>
        <w:keepLines w:val="0"/>
        <w:pageBreakBefore w:val="0"/>
        <w:widowControl/>
        <w:kinsoku/>
        <w:wordWrap/>
        <w:overflowPunct/>
        <w:topLinePunct w:val="0"/>
        <w:autoSpaceDE w:val="0"/>
        <w:autoSpaceDN/>
        <w:bidi w:val="0"/>
        <w:adjustRightInd/>
        <w:snapToGrid/>
        <w:spacing w:line="596" w:lineRule="exact"/>
        <w:ind w:firstLine="640" w:firstLineChars="200"/>
        <w:textAlignment w:val="auto"/>
        <w:rPr>
          <w:rStyle w:val="13"/>
          <w:rFonts w:hint="eastAsia" w:ascii="方正楷体_GBK" w:hAnsi="方正楷体_GBK" w:eastAsia="方正楷体_GBK" w:cs="方正楷体_GBK"/>
          <w:b w:val="0"/>
          <w:bCs/>
          <w:sz w:val="32"/>
          <w:szCs w:val="32"/>
          <w:shd w:val="clear" w:color="auto" w:fill="FFFFFF"/>
          <w:lang w:val="en-US" w:eastAsia="zh-CN" w:bidi="ar-SA"/>
        </w:rPr>
      </w:pPr>
      <w:r>
        <w:rPr>
          <w:rStyle w:val="13"/>
          <w:rFonts w:hint="eastAsia" w:ascii="方正楷体_GBK" w:hAnsi="方正楷体_GBK" w:eastAsia="方正楷体_GBK" w:cs="方正楷体_GBK"/>
          <w:b w:val="0"/>
          <w:bCs/>
          <w:sz w:val="32"/>
          <w:szCs w:val="32"/>
          <w:shd w:val="clear" w:color="auto" w:fill="FFFFFF"/>
          <w:lang w:val="en-US" w:eastAsia="zh-CN" w:bidi="ar-SA"/>
        </w:rPr>
        <w:t>（一）“三公”经费支出总体情况说明</w:t>
      </w:r>
    </w:p>
    <w:p>
      <w:pPr>
        <w:spacing w:line="596" w:lineRule="exact"/>
        <w:ind w:firstLine="640" w:firstLineChars="200"/>
        <w:jc w:val="both"/>
        <w:rPr>
          <w:rFonts w:hint="eastAsia" w:ascii="方正仿宋_GBK" w:hAnsi="方正仿宋_GBK" w:eastAsia="方正仿宋_GBK" w:cs="方正仿宋_GBK"/>
          <w:sz w:val="32"/>
          <w:szCs w:val="32"/>
          <w:lang w:val="en-US" w:eastAsia="zh-CN"/>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年度“三公”经费支出共计</w:t>
      </w:r>
      <w:r>
        <w:rPr>
          <w:rFonts w:hint="default" w:ascii="Times New Roman" w:hAnsi="Times New Roman" w:eastAsia="方正仿宋_GBK"/>
          <w:sz w:val="32"/>
          <w:szCs w:val="32"/>
          <w:shd w:val="clear" w:color="auto" w:fill="FFFFFF"/>
        </w:rPr>
        <w:t>4.49</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较年初预算数减少6.51万元，下降59.2%</w:t>
      </w:r>
      <w:r>
        <w:rPr>
          <w:rFonts w:ascii="方正仿宋_GBK" w:hAnsi="方正仿宋_GBK" w:eastAsia="方正仿宋_GBK" w:cs="方正仿宋_GBK"/>
          <w:sz w:val="32"/>
          <w:szCs w:val="32"/>
          <w:shd w:val="clear" w:color="auto" w:fill="FFFFFF"/>
        </w:rPr>
        <w:t>，主要</w:t>
      </w:r>
      <w:r>
        <w:rPr>
          <w:rFonts w:hint="eastAsia" w:ascii="方正仿宋_GBK" w:hAnsi="方正仿宋_GBK" w:eastAsia="方正仿宋_GBK" w:cs="方正仿宋_GBK"/>
          <w:sz w:val="32"/>
          <w:szCs w:val="32"/>
          <w:shd w:val="clear" w:color="auto" w:fill="FFFFFF"/>
          <w:lang w:eastAsia="zh-CN"/>
        </w:rPr>
        <w:t>原因是在</w:t>
      </w:r>
      <w:r>
        <w:rPr>
          <w:rFonts w:hint="eastAsia" w:ascii="方正仿宋_GBK" w:hAnsi="方正仿宋_GBK" w:eastAsia="方正仿宋_GBK" w:cs="方正仿宋_GBK"/>
          <w:sz w:val="32"/>
          <w:szCs w:val="32"/>
          <w:shd w:val="clear" w:color="auto" w:fill="FFFFFF"/>
          <w:lang w:val="en-US" w:eastAsia="zh-CN"/>
        </w:rPr>
        <w:t>2024年年初预算时是按照全员在岗职工的标准充足预算的，但是在2024年7月进行了机构改革，人员编制全部转入，相关经费调整至森防站，因此较年初预算减少。</w:t>
      </w:r>
      <w:r>
        <w:rPr>
          <w:rFonts w:hint="default" w:ascii="Times New Roman" w:hAnsi="Times New Roman" w:eastAsia="方正仿宋_GBK"/>
          <w:sz w:val="32"/>
          <w:szCs w:val="32"/>
          <w:shd w:val="clear" w:color="auto" w:fill="FFFFFF"/>
        </w:rPr>
        <w:t>较上年支出数增加1.99万元，增长79.6%</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在</w:t>
      </w:r>
      <w:r>
        <w:rPr>
          <w:rFonts w:hint="eastAsia" w:ascii="方正仿宋_GBK" w:hAnsi="方正仿宋_GBK" w:eastAsia="方正仿宋_GBK" w:cs="方正仿宋_GBK"/>
          <w:sz w:val="32"/>
          <w:szCs w:val="32"/>
          <w:shd w:val="clear" w:color="auto" w:fill="FFFFFF"/>
          <w:lang w:val="en-US" w:eastAsia="zh-CN"/>
        </w:rPr>
        <w:t>2023年以前执法支队三公经费在林业局本级核算，2023年由于刚开始独立核算，还有部分在林业局本级核算。因此较2023年有所增加。</w:t>
      </w:r>
    </w:p>
    <w:p>
      <w:pPr>
        <w:pStyle w:val="14"/>
        <w:keepNext w:val="0"/>
        <w:keepLines w:val="0"/>
        <w:pageBreakBefore w:val="0"/>
        <w:widowControl/>
        <w:kinsoku/>
        <w:wordWrap/>
        <w:overflowPunct/>
        <w:topLinePunct w:val="0"/>
        <w:autoSpaceDE w:val="0"/>
        <w:autoSpaceDN/>
        <w:bidi w:val="0"/>
        <w:adjustRightInd/>
        <w:snapToGrid/>
        <w:spacing w:line="596" w:lineRule="exact"/>
        <w:ind w:firstLine="640" w:firstLineChars="200"/>
        <w:textAlignment w:val="auto"/>
        <w:rPr>
          <w:rStyle w:val="13"/>
          <w:rFonts w:hint="eastAsia" w:ascii="方正楷体_GBK" w:hAnsi="方正楷体_GBK" w:eastAsia="方正楷体_GBK" w:cs="方正楷体_GBK"/>
          <w:b w:val="0"/>
          <w:bCs/>
          <w:sz w:val="32"/>
          <w:szCs w:val="32"/>
          <w:shd w:val="clear" w:color="auto" w:fill="FFFFFF"/>
          <w:lang w:val="en-US" w:eastAsia="zh-CN" w:bidi="ar-SA"/>
        </w:rPr>
      </w:pPr>
      <w:r>
        <w:rPr>
          <w:rStyle w:val="13"/>
          <w:rFonts w:hint="eastAsia" w:ascii="方正楷体_GBK" w:hAnsi="方正楷体_GBK" w:eastAsia="方正楷体_GBK" w:cs="方正楷体_GBK"/>
          <w:b w:val="0"/>
          <w:bCs/>
          <w:sz w:val="32"/>
          <w:szCs w:val="32"/>
          <w:shd w:val="clear" w:color="auto" w:fill="FFFFFF"/>
          <w:lang w:val="en-US" w:eastAsia="zh-CN" w:bidi="ar-SA"/>
        </w:rPr>
        <w:t>（二）“三公”经费分项支出情况</w:t>
      </w:r>
    </w:p>
    <w:p>
      <w:pPr>
        <w:pStyle w:val="9"/>
        <w:snapToGrid w:val="0"/>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lang w:val="en-US" w:eastAsia="zh-CN"/>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因公出国（境）费用</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万元，公务</w:t>
      </w:r>
      <w:r>
        <w:rPr>
          <w:rFonts w:hint="eastAsia" w:ascii="方正仿宋_GBK" w:hAnsi="方正仿宋_GBK" w:eastAsia="方正仿宋_GBK" w:cs="方正仿宋_GBK"/>
          <w:sz w:val="32"/>
          <w:szCs w:val="32"/>
          <w:shd w:val="clear" w:color="auto" w:fill="FFFFFF"/>
          <w:lang w:eastAsia="zh-CN"/>
        </w:rPr>
        <w:t>用</w:t>
      </w:r>
      <w:r>
        <w:rPr>
          <w:rFonts w:ascii="方正仿宋_GBK" w:hAnsi="方正仿宋_GBK" w:eastAsia="方正仿宋_GBK" w:cs="方正仿宋_GBK"/>
          <w:sz w:val="32"/>
          <w:szCs w:val="32"/>
          <w:shd w:val="clear" w:color="auto" w:fill="FFFFFF"/>
        </w:rPr>
        <w:t>车购置费</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万元，费用支出</w:t>
      </w:r>
      <w:r>
        <w:rPr>
          <w:rFonts w:hint="default" w:ascii="Times New Roman" w:hAnsi="Times New Roman" w:eastAsia="方正仿宋_GBK"/>
          <w:sz w:val="32"/>
          <w:szCs w:val="32"/>
          <w:shd w:val="clear" w:color="auto" w:fill="FFFFFF"/>
        </w:rPr>
        <w:t>较年初预算数无增减</w:t>
      </w:r>
      <w:r>
        <w:rPr>
          <w:rFonts w:hint="eastAsia" w:ascii="Times New Roman" w:hAnsi="Times New Roman" w:eastAsia="方正仿宋_GBK"/>
          <w:sz w:val="32"/>
          <w:szCs w:val="32"/>
          <w:shd w:val="clear" w:color="auto" w:fill="FFFFFF"/>
          <w:lang w:eastAsia="zh-CN"/>
        </w:rPr>
        <w:t>。</w:t>
      </w:r>
      <w:r>
        <w:rPr>
          <w:rFonts w:hint="default" w:ascii="Times New Roman" w:hAnsi="Times New Roman" w:eastAsia="方正仿宋_GBK"/>
          <w:sz w:val="32"/>
          <w:szCs w:val="32"/>
          <w:shd w:val="clear" w:color="auto" w:fill="FFFFFF"/>
        </w:rPr>
        <w:t>较上年支出数无增减</w:t>
      </w:r>
      <w:r>
        <w:rPr>
          <w:rFonts w:hint="eastAsia" w:ascii="Times New Roman" w:hAnsi="Times New Roman" w:eastAsia="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公务</w:t>
      </w:r>
      <w:r>
        <w:rPr>
          <w:rFonts w:hint="eastAsia" w:ascii="方正仿宋_GBK" w:hAnsi="方正仿宋_GBK" w:eastAsia="方正仿宋_GBK" w:cs="方正仿宋_GBK"/>
          <w:sz w:val="32"/>
          <w:szCs w:val="32"/>
          <w:shd w:val="clear" w:color="auto" w:fill="FFFFFF"/>
          <w:lang w:eastAsia="zh-CN"/>
        </w:rPr>
        <w:t>用</w:t>
      </w:r>
      <w:r>
        <w:rPr>
          <w:rFonts w:ascii="方正仿宋_GBK" w:hAnsi="方正仿宋_GBK" w:eastAsia="方正仿宋_GBK" w:cs="方正仿宋_GBK"/>
          <w:sz w:val="32"/>
          <w:szCs w:val="32"/>
          <w:shd w:val="clear" w:color="auto" w:fill="FFFFFF"/>
        </w:rPr>
        <w:t>车运行维护费</w:t>
      </w:r>
      <w:r>
        <w:rPr>
          <w:rFonts w:hint="default" w:ascii="Times New Roman" w:hAnsi="Times New Roman" w:eastAsia="方正仿宋_GBK"/>
          <w:sz w:val="32"/>
          <w:szCs w:val="32"/>
          <w:shd w:val="clear" w:color="auto" w:fill="FFFFFF"/>
        </w:rPr>
        <w:t>4.20</w:t>
      </w:r>
      <w:r>
        <w:rPr>
          <w:rFonts w:ascii="方正仿宋_GBK" w:hAnsi="方正仿宋_GBK" w:eastAsia="方正仿宋_GBK" w:cs="方正仿宋_GBK"/>
          <w:sz w:val="32"/>
          <w:szCs w:val="32"/>
          <w:shd w:val="clear" w:color="auto" w:fill="FFFFFF"/>
        </w:rPr>
        <w:t>万元，主要用于</w:t>
      </w:r>
      <w:r>
        <w:rPr>
          <w:rFonts w:hint="eastAsia" w:ascii="Times New Roman" w:hAnsi="Times New Roman" w:eastAsia="方正仿宋_GBK"/>
          <w:sz w:val="32"/>
          <w:szCs w:val="32"/>
          <w:shd w:val="clear" w:color="auto" w:fill="FFFFFF"/>
          <w:lang w:eastAsia="zh-CN"/>
        </w:rPr>
        <w:t>公务用车的燃油费、保险费、高速公路通行费等。</w:t>
      </w:r>
      <w:r>
        <w:rPr>
          <w:rFonts w:ascii="方正仿宋_GBK" w:hAnsi="方正仿宋_GBK" w:eastAsia="方正仿宋_GBK" w:cs="方正仿宋_GBK"/>
          <w:sz w:val="32"/>
          <w:szCs w:val="32"/>
          <w:shd w:val="clear" w:color="auto" w:fill="FFFFFF"/>
        </w:rPr>
        <w:t>费用支出</w:t>
      </w:r>
      <w:r>
        <w:rPr>
          <w:rFonts w:hint="default" w:ascii="Times New Roman" w:hAnsi="Times New Roman" w:eastAsia="方正仿宋_GBK"/>
          <w:sz w:val="32"/>
          <w:szCs w:val="32"/>
          <w:shd w:val="clear" w:color="auto" w:fill="FFFFFF"/>
        </w:rPr>
        <w:t>较年初预算数减少3.80万元，下降47.5%</w:t>
      </w:r>
      <w:r>
        <w:rPr>
          <w:rFonts w:ascii="方正仿宋_GBK" w:hAnsi="方正仿宋_GBK" w:eastAsia="方正仿宋_GBK" w:cs="方正仿宋_GBK"/>
          <w:sz w:val="32"/>
          <w:szCs w:val="32"/>
          <w:shd w:val="clear" w:color="auto" w:fill="FFFFFF"/>
        </w:rPr>
        <w:t>，主要原因</w:t>
      </w:r>
      <w:r>
        <w:rPr>
          <w:rFonts w:hint="eastAsia" w:ascii="方正仿宋_GBK" w:hAnsi="方正仿宋_GBK" w:eastAsia="方正仿宋_GBK" w:cs="方正仿宋_GBK"/>
          <w:sz w:val="32"/>
          <w:szCs w:val="32"/>
          <w:shd w:val="clear" w:color="auto" w:fill="FFFFFF"/>
          <w:lang w:eastAsia="zh-CN"/>
        </w:rPr>
        <w:t>是年初预算时将森防站在编的公务车充足预算，但是</w:t>
      </w:r>
      <w:r>
        <w:rPr>
          <w:rFonts w:hint="eastAsia" w:ascii="方正仿宋_GBK" w:hAnsi="方正仿宋_GBK" w:eastAsia="方正仿宋_GBK" w:cs="方正仿宋_GBK"/>
          <w:sz w:val="32"/>
          <w:szCs w:val="32"/>
          <w:shd w:val="clear" w:color="auto" w:fill="FFFFFF"/>
          <w:lang w:val="en-US" w:eastAsia="zh-CN"/>
        </w:rPr>
        <w:t>2024年7月机构调整后本单位的车辆编制以及运行经费也转入森防站，因此较年初减少。</w:t>
      </w:r>
      <w:r>
        <w:rPr>
          <w:rFonts w:hint="default" w:ascii="Times New Roman" w:hAnsi="Times New Roman" w:eastAsia="方正仿宋_GBK"/>
          <w:sz w:val="32"/>
          <w:szCs w:val="32"/>
          <w:shd w:val="clear" w:color="auto" w:fill="FFFFFF"/>
        </w:rPr>
        <w:t>较上年支出数增加4.20万元，增长100.0%</w:t>
      </w:r>
      <w:r>
        <w:rPr>
          <w:rFonts w:ascii="方正仿宋_GBK" w:hAnsi="方正仿宋_GBK" w:eastAsia="方正仿宋_GBK" w:cs="方正仿宋_GBK"/>
          <w:sz w:val="32"/>
          <w:szCs w:val="32"/>
          <w:shd w:val="clear" w:color="auto" w:fill="FFFFFF"/>
        </w:rPr>
        <w:t>，主要</w:t>
      </w:r>
      <w:r>
        <w:rPr>
          <w:rFonts w:hint="eastAsia" w:ascii="方正仿宋_GBK" w:hAnsi="方正仿宋_GBK" w:eastAsia="方正仿宋_GBK" w:cs="方正仿宋_GBK"/>
          <w:sz w:val="32"/>
          <w:szCs w:val="32"/>
          <w:shd w:val="clear" w:color="auto" w:fill="FFFFFF"/>
          <w:lang w:eastAsia="zh-CN"/>
        </w:rPr>
        <w:t>原因是</w:t>
      </w:r>
      <w:r>
        <w:rPr>
          <w:rFonts w:hint="eastAsia" w:ascii="方正仿宋_GBK" w:hAnsi="方正仿宋_GBK" w:eastAsia="方正仿宋_GBK" w:cs="方正仿宋_GBK"/>
          <w:sz w:val="32"/>
          <w:szCs w:val="32"/>
          <w:shd w:val="clear" w:color="auto" w:fill="FFFFFF"/>
          <w:lang w:val="en-US" w:eastAsia="zh-CN"/>
        </w:rPr>
        <w:t>2023年本单位刚开始独立核算，车辆费运行维护经费还是在林业局本级列支，因此2024年较去年增加。</w:t>
      </w:r>
    </w:p>
    <w:p>
      <w:pPr>
        <w:pStyle w:val="9"/>
        <w:snapToGrid w:val="0"/>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公务接待费</w:t>
      </w:r>
      <w:r>
        <w:rPr>
          <w:rFonts w:hint="default" w:ascii="Times New Roman" w:hAnsi="Times New Roman" w:eastAsia="方正仿宋_GBK"/>
          <w:sz w:val="32"/>
          <w:szCs w:val="32"/>
          <w:shd w:val="clear" w:color="auto" w:fill="FFFFFF"/>
        </w:rPr>
        <w:t>0.29</w:t>
      </w:r>
      <w:r>
        <w:rPr>
          <w:rFonts w:ascii="方正仿宋_GBK" w:hAnsi="方正仿宋_GBK" w:eastAsia="方正仿宋_GBK" w:cs="方正仿宋_GBK"/>
          <w:sz w:val="32"/>
          <w:szCs w:val="32"/>
          <w:shd w:val="clear" w:color="auto" w:fill="FFFFFF"/>
        </w:rPr>
        <w:t>万元，主要用于</w:t>
      </w:r>
      <w:r>
        <w:rPr>
          <w:rFonts w:hint="eastAsia" w:ascii="方正仿宋_GBK" w:hAnsi="方正仿宋_GBK" w:eastAsia="方正仿宋_GBK" w:cs="方正仿宋_GBK"/>
          <w:sz w:val="32"/>
          <w:szCs w:val="32"/>
          <w:shd w:val="clear" w:color="auto" w:fill="FFFFFF"/>
          <w:lang w:eastAsia="zh-CN"/>
        </w:rPr>
        <w:t>接待</w:t>
      </w:r>
      <w:r>
        <w:rPr>
          <w:rFonts w:ascii="方正仿宋_GBK" w:hAnsi="方正仿宋_GBK" w:eastAsia="方正仿宋_GBK" w:cs="方正仿宋_GBK"/>
          <w:sz w:val="32"/>
          <w:szCs w:val="32"/>
          <w:shd w:val="clear" w:color="auto" w:fill="FFFFFF"/>
        </w:rPr>
        <w:t>相关业务部门的工作检查，费用支出</w:t>
      </w:r>
      <w:r>
        <w:rPr>
          <w:rFonts w:hint="default" w:ascii="Times New Roman" w:hAnsi="Times New Roman" w:eastAsia="方正仿宋_GBK"/>
          <w:sz w:val="32"/>
          <w:szCs w:val="32"/>
          <w:shd w:val="clear" w:color="auto" w:fill="FFFFFF"/>
        </w:rPr>
        <w:t>较年初预算数减少2.71万元，下降90.3%</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年初预算时充足预算，但是</w:t>
      </w:r>
      <w:r>
        <w:rPr>
          <w:rFonts w:hint="eastAsia" w:ascii="方正仿宋_GBK" w:hAnsi="方正仿宋_GBK" w:eastAsia="方正仿宋_GBK" w:cs="方正仿宋_GBK"/>
          <w:sz w:val="32"/>
          <w:szCs w:val="32"/>
          <w:shd w:val="clear" w:color="auto" w:fill="FFFFFF"/>
          <w:lang w:val="en-US" w:eastAsia="zh-CN"/>
        </w:rPr>
        <w:t>2024年7月机构调整后本单位的经费转入森防站，因此较年初减少。</w:t>
      </w:r>
      <w:r>
        <w:rPr>
          <w:rFonts w:hint="default" w:ascii="Times New Roman" w:hAnsi="Times New Roman" w:eastAsia="方正仿宋_GBK"/>
          <w:sz w:val="32"/>
          <w:szCs w:val="32"/>
          <w:shd w:val="clear" w:color="auto" w:fill="FFFFFF"/>
        </w:rPr>
        <w:t>较上年支出数减少2.21万元，下降88.4%</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本单位今年的工作检查较上年减少，同时厉行节约减少了不必要的接待支出。</w:t>
      </w:r>
    </w:p>
    <w:p>
      <w:pPr>
        <w:pStyle w:val="14"/>
        <w:keepNext w:val="0"/>
        <w:keepLines w:val="0"/>
        <w:pageBreakBefore w:val="0"/>
        <w:widowControl/>
        <w:kinsoku/>
        <w:wordWrap/>
        <w:overflowPunct/>
        <w:topLinePunct w:val="0"/>
        <w:autoSpaceDE w:val="0"/>
        <w:autoSpaceDN/>
        <w:bidi w:val="0"/>
        <w:adjustRightInd/>
        <w:snapToGrid/>
        <w:spacing w:line="596" w:lineRule="exact"/>
        <w:ind w:firstLine="640" w:firstLineChars="200"/>
        <w:textAlignment w:val="auto"/>
        <w:rPr>
          <w:rStyle w:val="13"/>
          <w:rFonts w:hint="eastAsia" w:ascii="方正楷体_GBK" w:hAnsi="方正楷体_GBK" w:eastAsia="方正楷体_GBK" w:cs="方正楷体_GBK"/>
          <w:b w:val="0"/>
          <w:bCs/>
          <w:sz w:val="32"/>
          <w:szCs w:val="32"/>
          <w:shd w:val="clear" w:color="auto" w:fill="FFFFFF"/>
          <w:lang w:val="en-US" w:eastAsia="zh-CN" w:bidi="ar-SA"/>
        </w:rPr>
      </w:pPr>
      <w:r>
        <w:rPr>
          <w:rStyle w:val="13"/>
          <w:rFonts w:hint="eastAsia" w:ascii="方正楷体_GBK" w:hAnsi="方正楷体_GBK" w:eastAsia="方正楷体_GBK" w:cs="方正楷体_GBK"/>
          <w:b w:val="0"/>
          <w:bCs/>
          <w:sz w:val="32"/>
          <w:szCs w:val="32"/>
          <w:shd w:val="clear" w:color="auto" w:fill="FFFFFF"/>
          <w:lang w:val="en-US" w:eastAsia="zh-CN" w:bidi="ar-SA"/>
        </w:rPr>
        <w:t>（三）“三公”经费实物量情况</w:t>
      </w:r>
    </w:p>
    <w:p>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因公出国（境）共计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个团组，</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人；公务用车购置</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辆，公务车保有量为</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辆；国内公务接待</w:t>
      </w:r>
      <w:r>
        <w:rPr>
          <w:rFonts w:hint="default" w:ascii="Times New Roman" w:hAnsi="Times New Roman" w:eastAsia="方正仿宋_GBK"/>
          <w:sz w:val="32"/>
          <w:szCs w:val="32"/>
          <w:shd w:val="clear" w:color="auto" w:fill="FFFFFF"/>
        </w:rPr>
        <w:t>7</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36</w:t>
      </w:r>
      <w:r>
        <w:rPr>
          <w:rFonts w:ascii="方正仿宋_GBK" w:hAnsi="方正仿宋_GBK" w:eastAsia="方正仿宋_GBK" w:cs="方正仿宋_GBK"/>
          <w:sz w:val="32"/>
          <w:szCs w:val="32"/>
          <w:shd w:val="clear" w:color="auto" w:fill="FFFFFF"/>
        </w:rPr>
        <w:t>人，其中：国内外事接待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人；国（境）外公务接待</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批次，</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人。</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人均接待费</w:t>
      </w:r>
      <w:r>
        <w:rPr>
          <w:rFonts w:hint="default" w:ascii="Times New Roman" w:hAnsi="Times New Roman" w:eastAsia="方正仿宋_GBK"/>
          <w:sz w:val="32"/>
          <w:szCs w:val="32"/>
          <w:shd w:val="clear" w:color="auto" w:fill="FFFFFF"/>
        </w:rPr>
        <w:t>79.97</w:t>
      </w:r>
      <w:r>
        <w:rPr>
          <w:rFonts w:ascii="方正仿宋_GBK" w:hAnsi="方正仿宋_GBK" w:eastAsia="方正仿宋_GBK" w:cs="方正仿宋_GBK"/>
          <w:sz w:val="32"/>
          <w:szCs w:val="32"/>
          <w:shd w:val="clear" w:color="auto" w:fill="FFFFFF"/>
        </w:rPr>
        <w:t>元，车均购置费</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万元，车均维护费</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万元。</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13"/>
          <w:rFonts w:hint="eastAsia" w:ascii="方正黑体_GBK" w:hAnsi="方正黑体_GBK" w:eastAsia="方正黑体_GBK" w:cs="方正黑体_GBK"/>
          <w:b w:val="0"/>
          <w:bCs/>
          <w:sz w:val="32"/>
          <w:szCs w:val="32"/>
          <w:shd w:val="clear" w:color="auto" w:fill="FFFFFF"/>
        </w:rPr>
      </w:pPr>
      <w:r>
        <w:rPr>
          <w:rStyle w:val="13"/>
          <w:rFonts w:hint="eastAsia" w:ascii="方正黑体_GBK" w:hAnsi="方正黑体_GBK" w:eastAsia="方正黑体_GBK" w:cs="方正黑体_GBK"/>
          <w:b w:val="0"/>
          <w:bCs/>
          <w:sz w:val="32"/>
          <w:szCs w:val="32"/>
          <w:shd w:val="clear" w:color="auto" w:fill="FFFFFF"/>
          <w:lang w:eastAsia="zh-CN"/>
        </w:rPr>
        <w:t>四、</w:t>
      </w:r>
      <w:r>
        <w:rPr>
          <w:rStyle w:val="13"/>
          <w:rFonts w:hint="eastAsia" w:ascii="方正黑体_GBK" w:hAnsi="方正黑体_GBK" w:eastAsia="方正黑体_GBK" w:cs="方正黑体_GBK"/>
          <w:b w:val="0"/>
          <w:bCs/>
          <w:sz w:val="32"/>
          <w:szCs w:val="32"/>
          <w:shd w:val="clear" w:color="auto" w:fill="FFFFFF"/>
        </w:rPr>
        <w:t>其他需要说明的事项</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jc w:val="both"/>
        <w:textAlignment w:val="auto"/>
        <w:rPr>
          <w:rStyle w:val="13"/>
          <w:rFonts w:hint="default" w:ascii="方正楷体_GBK" w:hAnsi="方正楷体_GBK" w:eastAsia="方正楷体_GBK" w:cs="方正楷体_GBK"/>
          <w:b w:val="0"/>
          <w:bCs/>
          <w:sz w:val="32"/>
          <w:szCs w:val="32"/>
          <w:shd w:val="clear" w:color="auto" w:fill="FFFFFF"/>
          <w:lang w:val="en-US" w:eastAsia="zh-CN" w:bidi="ar-SA"/>
        </w:rPr>
      </w:pPr>
      <w:r>
        <w:rPr>
          <w:rStyle w:val="13"/>
          <w:rFonts w:hint="eastAsia" w:ascii="方正楷体_GBK" w:hAnsi="方正楷体_GBK" w:eastAsia="方正楷体_GBK" w:cs="方正楷体_GBK"/>
          <w:b w:val="0"/>
          <w:bCs/>
          <w:sz w:val="32"/>
          <w:szCs w:val="32"/>
          <w:shd w:val="clear" w:color="auto" w:fill="FFFFFF"/>
          <w:lang w:val="en-US" w:eastAsia="zh-CN" w:bidi="ar-SA"/>
        </w:rPr>
        <w:t>（一）财政拨款会议费、培训费和差旅费情况说明</w:t>
      </w:r>
    </w:p>
    <w:p>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auto"/>
          <w:sz w:val="32"/>
          <w:szCs w:val="32"/>
          <w:highlight w:val="yellow"/>
        </w:rPr>
      </w:pPr>
      <w:r>
        <w:rPr>
          <w:rFonts w:ascii="方正仿宋_GBK" w:hAnsi="方正仿宋_GBK" w:eastAsia="方正仿宋_GBK" w:cs="方正仿宋_GBK"/>
          <w:sz w:val="32"/>
          <w:szCs w:val="32"/>
          <w:shd w:val="clear" w:color="auto" w:fill="FFFFFF"/>
        </w:rPr>
        <w:t>本年度会议费支出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w:t>
      </w:r>
      <w:r>
        <w:rPr>
          <w:rFonts w:hint="eastAsia" w:ascii="Times New Roman" w:hAnsi="Times New Roman" w:eastAsia="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本年度培训费支出</w:t>
      </w:r>
      <w:r>
        <w:rPr>
          <w:rFonts w:hint="default" w:ascii="Times New Roman" w:hAnsi="Times New Roman" w:eastAsia="方正仿宋_GBK"/>
          <w:sz w:val="32"/>
          <w:szCs w:val="32"/>
          <w:shd w:val="clear" w:color="auto" w:fill="FFFFFF"/>
        </w:rPr>
        <w:t>0.00</w:t>
      </w:r>
      <w:r>
        <w:rPr>
          <w:rFonts w:ascii="方正仿宋_GBK" w:hAnsi="方正仿宋_GBK" w:eastAsia="方正仿宋_GBK" w:cs="方正仿宋_GBK"/>
          <w:sz w:val="32"/>
          <w:szCs w:val="32"/>
          <w:shd w:val="clear" w:color="auto" w:fill="FFFFFF"/>
        </w:rPr>
        <w:t>万元，</w:t>
      </w:r>
      <w:r>
        <w:rPr>
          <w:rFonts w:hint="default" w:ascii="Times New Roman" w:hAnsi="Times New Roman" w:eastAsia="方正仿宋_GBK"/>
          <w:sz w:val="32"/>
          <w:szCs w:val="32"/>
          <w:shd w:val="clear" w:color="auto" w:fill="FFFFFF"/>
        </w:rPr>
        <w:t>与2023年度相比，减少0.15万元，下降100.0%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2023年本单位有召开相关的工作会议，但是2024年无会议召开。</w:t>
      </w:r>
      <w:r>
        <w:rPr>
          <w:rFonts w:ascii="方正仿宋_GBK" w:hAnsi="方正仿宋_GBK" w:eastAsia="方正仿宋_GBK" w:cs="方正仿宋_GBK"/>
          <w:sz w:val="32"/>
          <w:szCs w:val="32"/>
          <w:shd w:val="clear" w:color="auto" w:fill="FFFFFF"/>
        </w:rPr>
        <w:t>本年度差旅费支出</w:t>
      </w:r>
      <w:r>
        <w:rPr>
          <w:rFonts w:hint="default" w:ascii="Times New Roman" w:hAnsi="Times New Roman" w:eastAsia="方正仿宋_GBK"/>
          <w:sz w:val="32"/>
          <w:szCs w:val="32"/>
          <w:shd w:val="clear" w:color="auto" w:fill="FFFFFF"/>
        </w:rPr>
        <w:t>0.46</w:t>
      </w:r>
      <w:r>
        <w:rPr>
          <w:rFonts w:ascii="方正仿宋_GBK" w:hAnsi="方正仿宋_GBK" w:eastAsia="方正仿宋_GBK" w:cs="方正仿宋_GBK"/>
          <w:sz w:val="32"/>
          <w:szCs w:val="32"/>
        </w:rPr>
        <w:t>万元，</w:t>
      </w:r>
      <w:r>
        <w:rPr>
          <w:rFonts w:hint="default" w:ascii="Times New Roman" w:hAnsi="Times New Roman" w:eastAsia="方正仿宋_GBK"/>
          <w:sz w:val="32"/>
          <w:szCs w:val="32"/>
          <w:shd w:val="clear" w:color="auto" w:fill="FFFFFF"/>
        </w:rPr>
        <w:t>与2023年度相比，减少4.64万元，下降91.0%</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eastAsia="zh-CN"/>
        </w:rPr>
        <w:t>在</w:t>
      </w:r>
      <w:r>
        <w:rPr>
          <w:rFonts w:hint="eastAsia" w:ascii="方正仿宋_GBK" w:hAnsi="方正仿宋_GBK" w:eastAsia="方正仿宋_GBK" w:cs="方正仿宋_GBK"/>
          <w:sz w:val="32"/>
          <w:szCs w:val="32"/>
          <w:shd w:val="clear" w:color="auto" w:fill="FFFFFF"/>
          <w:lang w:val="en-US" w:eastAsia="zh-CN"/>
        </w:rPr>
        <w:t>2024年7月以后的差旅支出在森防站支出，因此对于2023年全年的差旅支出来说有所下降。</w:t>
      </w:r>
    </w:p>
    <w:p>
      <w:pPr>
        <w:pStyle w:val="14"/>
        <w:keepNext w:val="0"/>
        <w:keepLines w:val="0"/>
        <w:pageBreakBefore w:val="0"/>
        <w:widowControl/>
        <w:kinsoku/>
        <w:wordWrap/>
        <w:overflowPunct/>
        <w:topLinePunct w:val="0"/>
        <w:autoSpaceDE w:val="0"/>
        <w:autoSpaceDN/>
        <w:bidi w:val="0"/>
        <w:adjustRightInd/>
        <w:snapToGrid/>
        <w:spacing w:line="596" w:lineRule="exact"/>
        <w:ind w:firstLine="640" w:firstLineChars="200"/>
        <w:textAlignment w:val="auto"/>
        <w:rPr>
          <w:rStyle w:val="13"/>
          <w:rFonts w:hint="eastAsia" w:ascii="方正楷体_GBK" w:hAnsi="方正楷体_GBK" w:eastAsia="方正楷体_GBK" w:cs="方正楷体_GBK"/>
          <w:b w:val="0"/>
          <w:bCs/>
          <w:sz w:val="32"/>
          <w:szCs w:val="32"/>
          <w:shd w:val="clear" w:color="auto" w:fill="FFFFFF"/>
          <w:lang w:val="en-US" w:eastAsia="zh-CN" w:bidi="ar-SA"/>
        </w:rPr>
      </w:pPr>
      <w:r>
        <w:rPr>
          <w:rStyle w:val="13"/>
          <w:rFonts w:hint="eastAsia" w:ascii="方正楷体_GBK" w:hAnsi="方正楷体_GBK" w:eastAsia="方正楷体_GBK" w:cs="方正楷体_GBK"/>
          <w:b w:val="0"/>
          <w:bCs/>
          <w:sz w:val="32"/>
          <w:szCs w:val="32"/>
          <w:shd w:val="clear" w:color="auto" w:fill="FFFFFF"/>
          <w:lang w:val="en-US" w:eastAsia="zh-CN" w:bidi="ar-SA"/>
        </w:rPr>
        <w:t>（二）机关运行经费情况说明</w:t>
      </w:r>
    </w:p>
    <w:p>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auto"/>
          <w:sz w:val="32"/>
          <w:szCs w:val="32"/>
          <w:highlight w:val="yellow"/>
        </w:rPr>
      </w:pP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机关运行经费支出</w:t>
      </w:r>
      <w:r>
        <w:rPr>
          <w:rFonts w:hint="default" w:ascii="Times New Roman" w:hAnsi="Times New Roman" w:eastAsia="方正仿宋_GBK"/>
          <w:sz w:val="32"/>
          <w:szCs w:val="32"/>
          <w:shd w:val="clear" w:color="auto" w:fill="FFFFFF"/>
        </w:rPr>
        <w:t>25.94</w:t>
      </w:r>
      <w:r>
        <w:rPr>
          <w:rFonts w:ascii="方正仿宋_GBK" w:hAnsi="方正仿宋_GBK" w:eastAsia="方正仿宋_GBK" w:cs="方正仿宋_GBK"/>
          <w:sz w:val="32"/>
          <w:szCs w:val="32"/>
          <w:shd w:val="clear" w:color="auto" w:fill="FFFFFF"/>
        </w:rPr>
        <w:t>万元，机关运行经费主要用于</w:t>
      </w:r>
      <w:r>
        <w:rPr>
          <w:rFonts w:ascii="Times New Roman" w:hAnsi="Times New Roman" w:eastAsia="方正仿宋_GBK"/>
          <w:snapToGrid w:val="0"/>
          <w:sz w:val="32"/>
          <w:szCs w:val="32"/>
        </w:rPr>
        <w:t>开支办公费、公务车运行维护费、信息网络费、劳务费、差旅费等</w:t>
      </w:r>
      <w:r>
        <w:rPr>
          <w:rFonts w:hint="eastAsia" w:ascii="Times New Roman" w:hAnsi="Times New Roman" w:eastAsia="方正仿宋_GBK"/>
          <w:snapToGrid w:val="0"/>
          <w:sz w:val="32"/>
          <w:szCs w:val="32"/>
          <w:lang w:eastAsia="zh-CN"/>
        </w:rPr>
        <w:t>。</w:t>
      </w:r>
      <w:r>
        <w:rPr>
          <w:rFonts w:ascii="方正仿宋_GBK" w:hAnsi="方正仿宋_GBK" w:eastAsia="方正仿宋_GBK" w:cs="方正仿宋_GBK"/>
          <w:sz w:val="32"/>
          <w:szCs w:val="32"/>
          <w:shd w:val="clear" w:color="auto" w:fill="FFFFFF"/>
        </w:rPr>
        <w:t>机关运行经费</w:t>
      </w:r>
      <w:r>
        <w:rPr>
          <w:rFonts w:hint="default" w:ascii="Times New Roman" w:hAnsi="Times New Roman" w:eastAsia="方正仿宋_GBK"/>
          <w:sz w:val="32"/>
          <w:szCs w:val="32"/>
          <w:shd w:val="clear" w:color="auto" w:fill="FFFFFF"/>
        </w:rPr>
        <w:t>较上年支出数减少30.92万元，下降54.4%</w:t>
      </w:r>
      <w:r>
        <w:rPr>
          <w:rFonts w:ascii="方正仿宋_GBK" w:hAnsi="方正仿宋_GBK" w:eastAsia="方正仿宋_GBK" w:cs="方正仿宋_GBK"/>
          <w:sz w:val="32"/>
          <w:szCs w:val="32"/>
          <w:shd w:val="clear" w:color="auto" w:fill="FFFFFF"/>
        </w:rPr>
        <w:t>，主要原因是</w:t>
      </w:r>
      <w:r>
        <w:rPr>
          <w:rFonts w:hint="eastAsia" w:ascii="方正仿宋_GBK" w:hAnsi="方正仿宋_GBK" w:eastAsia="方正仿宋_GBK" w:cs="方正仿宋_GBK"/>
          <w:sz w:val="32"/>
          <w:szCs w:val="32"/>
          <w:shd w:val="clear" w:color="auto" w:fill="FFFFFF"/>
          <w:lang w:val="en-US" w:eastAsia="zh-CN"/>
        </w:rPr>
        <w:t>2024年7月机构改革后的经费开支在森防站，因此相较于2023年全年来说下降较多。</w:t>
      </w:r>
    </w:p>
    <w:p>
      <w:pPr>
        <w:pStyle w:val="14"/>
        <w:keepNext w:val="0"/>
        <w:keepLines w:val="0"/>
        <w:pageBreakBefore w:val="0"/>
        <w:widowControl/>
        <w:kinsoku/>
        <w:wordWrap/>
        <w:overflowPunct/>
        <w:topLinePunct w:val="0"/>
        <w:autoSpaceDE w:val="0"/>
        <w:autoSpaceDN/>
        <w:bidi w:val="0"/>
        <w:adjustRightInd/>
        <w:snapToGrid/>
        <w:spacing w:line="596" w:lineRule="exact"/>
        <w:ind w:firstLine="640" w:firstLineChars="200"/>
        <w:textAlignment w:val="auto"/>
        <w:rPr>
          <w:rStyle w:val="13"/>
          <w:rFonts w:hint="eastAsia" w:ascii="方正楷体_GBK" w:hAnsi="方正楷体_GBK" w:eastAsia="方正楷体_GBK" w:cs="方正楷体_GBK"/>
          <w:b w:val="0"/>
          <w:bCs/>
          <w:sz w:val="32"/>
          <w:szCs w:val="32"/>
          <w:shd w:val="clear" w:color="auto" w:fill="FFFFFF"/>
          <w:lang w:val="en-US" w:eastAsia="zh-CN" w:bidi="ar-SA"/>
        </w:rPr>
      </w:pPr>
      <w:r>
        <w:rPr>
          <w:rStyle w:val="13"/>
          <w:rFonts w:hint="eastAsia" w:ascii="方正楷体_GBK" w:hAnsi="方正楷体_GBK" w:eastAsia="方正楷体_GBK" w:cs="方正楷体_GBK"/>
          <w:b w:val="0"/>
          <w:bCs/>
          <w:sz w:val="32"/>
          <w:szCs w:val="32"/>
          <w:shd w:val="clear" w:color="auto" w:fill="FFFFFF"/>
          <w:lang w:val="en-US" w:eastAsia="zh-CN" w:bidi="ar-SA"/>
        </w:rPr>
        <w:t>（三）国有资产占用情况说明</w:t>
      </w:r>
    </w:p>
    <w:p>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截至</w:t>
      </w:r>
      <w:r>
        <w:rPr>
          <w:rFonts w:hint="default" w:ascii="Times New Roman" w:hAnsi="Times New Roman" w:eastAsia="方正仿宋_GBK"/>
          <w:sz w:val="32"/>
          <w:szCs w:val="32"/>
          <w:shd w:val="clear" w:color="auto" w:fill="FFFFFF"/>
        </w:rPr>
        <w:t>2024</w:t>
      </w:r>
      <w:r>
        <w:rPr>
          <w:rFonts w:ascii="方正仿宋_GBK" w:hAnsi="方正仿宋_GBK" w:eastAsia="方正仿宋_GBK" w:cs="方正仿宋_GBK"/>
          <w:sz w:val="32"/>
          <w:szCs w:val="32"/>
          <w:shd w:val="clear" w:color="auto" w:fill="FFFFFF"/>
        </w:rPr>
        <w:t>年</w:t>
      </w:r>
      <w:r>
        <w:rPr>
          <w:rFonts w:hint="default" w:ascii="Times New Roman" w:hAnsi="Times New Roman" w:eastAsia="方正仿宋_GBK"/>
          <w:sz w:val="32"/>
          <w:szCs w:val="32"/>
          <w:shd w:val="clear" w:color="auto" w:fill="FFFFFF"/>
        </w:rPr>
        <w:t>12</w:t>
      </w:r>
      <w:r>
        <w:rPr>
          <w:rFonts w:ascii="方正仿宋_GBK" w:hAnsi="方正仿宋_GBK" w:eastAsia="方正仿宋_GBK" w:cs="方正仿宋_GBK"/>
          <w:sz w:val="32"/>
          <w:szCs w:val="32"/>
          <w:shd w:val="clear" w:color="auto" w:fill="FFFFFF"/>
        </w:rPr>
        <w:t>月</w:t>
      </w:r>
      <w:r>
        <w:rPr>
          <w:rFonts w:hint="default" w:ascii="Times New Roman" w:hAnsi="Times New Roman" w:eastAsia="方正仿宋_GBK"/>
          <w:sz w:val="32"/>
          <w:szCs w:val="32"/>
          <w:shd w:val="clear" w:color="auto" w:fill="FFFFFF"/>
        </w:rPr>
        <w:t>31</w:t>
      </w:r>
      <w:r>
        <w:rPr>
          <w:rFonts w:ascii="方正仿宋_GBK" w:hAnsi="方正仿宋_GBK" w:eastAsia="方正仿宋_GBK" w:cs="方正仿宋_GBK"/>
          <w:sz w:val="32"/>
          <w:szCs w:val="32"/>
          <w:shd w:val="clear" w:color="auto" w:fill="FFFFFF"/>
        </w:rPr>
        <w:t>日，本</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共有车辆</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辆，其中，副部（省）级及以上领导用车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辆、主要负责人用车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辆、机要通信用车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辆、应急保障用车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辆、执法执勤用车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辆，特种专业技术用车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辆，离退休干部用车</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辆。单价</w:t>
      </w:r>
      <w:r>
        <w:rPr>
          <w:rFonts w:hint="default" w:ascii="Times New Roman" w:hAnsi="Times New Roman" w:eastAsia="方正仿宋_GBK"/>
          <w:sz w:val="32"/>
          <w:szCs w:val="32"/>
          <w:shd w:val="clear" w:color="auto" w:fill="FFFFFF"/>
        </w:rPr>
        <w:t>100</w:t>
      </w:r>
      <w:r>
        <w:rPr>
          <w:rFonts w:ascii="方正仿宋_GBK" w:hAnsi="方正仿宋_GBK" w:eastAsia="方正仿宋_GBK" w:cs="方正仿宋_GBK"/>
          <w:sz w:val="32"/>
          <w:szCs w:val="32"/>
          <w:shd w:val="clear" w:color="auto" w:fill="FFFFFF"/>
        </w:rPr>
        <w:t>万元（含）以上专用设备</w:t>
      </w:r>
      <w:r>
        <w:rPr>
          <w:rFonts w:hint="default" w:ascii="Times New Roman" w:hAnsi="Times New Roman" w:eastAsia="方正仿宋_GBK"/>
          <w:sz w:val="32"/>
          <w:szCs w:val="32"/>
          <w:shd w:val="clear" w:color="auto" w:fill="FFFFFF"/>
        </w:rPr>
        <w:t>0</w:t>
      </w:r>
      <w:r>
        <w:rPr>
          <w:rFonts w:ascii="方正仿宋_GBK" w:hAnsi="方正仿宋_GBK" w:eastAsia="方正仿宋_GBK" w:cs="方正仿宋_GBK"/>
          <w:sz w:val="32"/>
          <w:szCs w:val="32"/>
          <w:shd w:val="clear" w:color="auto" w:fill="FFFFFF"/>
        </w:rPr>
        <w:t>台（套）。</w:t>
      </w:r>
    </w:p>
    <w:p>
      <w:pPr>
        <w:pStyle w:val="14"/>
        <w:keepNext w:val="0"/>
        <w:keepLines w:val="0"/>
        <w:pageBreakBefore w:val="0"/>
        <w:widowControl/>
        <w:kinsoku/>
        <w:wordWrap/>
        <w:overflowPunct/>
        <w:topLinePunct w:val="0"/>
        <w:autoSpaceDE w:val="0"/>
        <w:autoSpaceDN/>
        <w:bidi w:val="0"/>
        <w:adjustRightInd/>
        <w:snapToGrid/>
        <w:spacing w:line="596" w:lineRule="exact"/>
        <w:ind w:firstLine="640" w:firstLineChars="200"/>
        <w:textAlignment w:val="auto"/>
        <w:rPr>
          <w:rStyle w:val="13"/>
          <w:rFonts w:hint="eastAsia" w:ascii="方正楷体_GBK" w:hAnsi="方正楷体_GBK" w:eastAsia="方正楷体_GBK" w:cs="方正楷体_GBK"/>
          <w:b w:val="0"/>
          <w:bCs/>
          <w:sz w:val="32"/>
          <w:szCs w:val="32"/>
          <w:shd w:val="clear" w:color="auto" w:fill="FFFFFF"/>
          <w:lang w:val="en-US" w:eastAsia="zh-CN" w:bidi="ar-SA"/>
        </w:rPr>
      </w:pPr>
      <w:r>
        <w:rPr>
          <w:rStyle w:val="13"/>
          <w:rFonts w:hint="eastAsia" w:ascii="方正楷体_GBK" w:hAnsi="方正楷体_GBK" w:eastAsia="方正楷体_GBK" w:cs="方正楷体_GBK"/>
          <w:b w:val="0"/>
          <w:bCs/>
          <w:sz w:val="32"/>
          <w:szCs w:val="32"/>
          <w:shd w:val="clear" w:color="auto" w:fill="FFFFFF"/>
          <w:lang w:val="en-US" w:eastAsia="zh-CN" w:bidi="ar-SA"/>
        </w:rPr>
        <w:t>（四）政府采购支出情况说明</w:t>
      </w:r>
    </w:p>
    <w:p>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2024年度我</w:t>
      </w:r>
      <w:r>
        <w:rPr>
          <w:rFonts w:hint="eastAsia" w:ascii="方正仿宋_GBK" w:hAnsi="方正仿宋_GBK" w:eastAsia="方正仿宋_GBK" w:cs="方正仿宋_GBK"/>
          <w:sz w:val="32"/>
          <w:szCs w:val="32"/>
          <w:shd w:val="clear" w:color="auto" w:fill="FFFFFF"/>
          <w:lang w:eastAsia="zh-CN"/>
        </w:rPr>
        <w:t>单位</w:t>
      </w:r>
      <w:r>
        <w:rPr>
          <w:rFonts w:ascii="方正仿宋_GBK" w:hAnsi="方正仿宋_GBK" w:eastAsia="方正仿宋_GBK" w:cs="方正仿宋_GBK"/>
          <w:sz w:val="32"/>
          <w:szCs w:val="32"/>
          <w:shd w:val="clear" w:color="auto" w:fill="FFFFFF"/>
        </w:rPr>
        <w:t>未发生政府采购事项，无相关经费支出。</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13"/>
          <w:rFonts w:hint="eastAsia" w:ascii="方正黑体_GBK" w:hAnsi="方正黑体_GBK" w:eastAsia="方正黑体_GBK" w:cs="方正黑体_GBK"/>
          <w:b w:val="0"/>
          <w:bCs/>
          <w:sz w:val="32"/>
          <w:szCs w:val="32"/>
          <w:shd w:val="clear" w:color="auto" w:fill="FFFFFF"/>
          <w:lang w:val="en-US" w:eastAsia="zh-CN"/>
        </w:rPr>
      </w:pPr>
      <w:r>
        <w:rPr>
          <w:rStyle w:val="13"/>
          <w:rFonts w:hint="eastAsia" w:ascii="方正黑体_GBK" w:hAnsi="方正黑体_GBK" w:eastAsia="方正黑体_GBK" w:cs="方正黑体_GBK"/>
          <w:b w:val="0"/>
          <w:bCs/>
          <w:sz w:val="32"/>
          <w:szCs w:val="32"/>
          <w:shd w:val="clear" w:color="auto" w:fill="FFFFFF"/>
          <w:lang w:val="en-US" w:eastAsia="zh-CN"/>
        </w:rPr>
        <w:t>五、2024年度预算绩效管理情况说明</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Style w:val="13"/>
          <w:rFonts w:hint="eastAsia" w:ascii="方正楷体_GBK" w:hAnsi="方正楷体_GBK" w:eastAsia="方正楷体_GBK" w:cs="方正楷体_GBK"/>
          <w:b w:val="0"/>
          <w:bCs/>
          <w:sz w:val="32"/>
          <w:szCs w:val="32"/>
          <w:shd w:val="clear" w:color="auto" w:fill="FFFFFF"/>
          <w:lang w:val="en-US" w:eastAsia="zh-CN" w:bidi="ar-SA"/>
        </w:rPr>
      </w:pPr>
      <w:r>
        <w:rPr>
          <w:rStyle w:val="13"/>
          <w:rFonts w:hint="eastAsia" w:ascii="方正楷体_GBK" w:hAnsi="方正楷体_GBK" w:eastAsia="方正楷体_GBK" w:cs="方正楷体_GBK"/>
          <w:b w:val="0"/>
          <w:bCs/>
          <w:sz w:val="32"/>
          <w:szCs w:val="32"/>
          <w:shd w:val="clear" w:color="auto" w:fill="FFFFFF"/>
          <w:lang w:val="en-US" w:eastAsia="zh-CN" w:bidi="ar-SA"/>
        </w:rPr>
        <w:t>（一）单位自评情况</w:t>
      </w:r>
    </w:p>
    <w:p>
      <w:pPr>
        <w:pStyle w:val="9"/>
        <w:snapToGrid w:val="0"/>
        <w:spacing w:before="0" w:beforeAutospacing="0" w:after="0" w:afterAutospacing="0" w:line="596" w:lineRule="exact"/>
        <w:ind w:firstLine="640" w:firstLineChars="200"/>
        <w:jc w:val="both"/>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20</w:t>
      </w:r>
      <w:r>
        <w:rPr>
          <w:rFonts w:hint="eastAsia" w:ascii="方正仿宋_GBK" w:hAnsi="方正仿宋_GBK" w:eastAsia="方正仿宋_GBK" w:cs="方正仿宋_GBK"/>
          <w:sz w:val="32"/>
          <w:szCs w:val="32"/>
          <w:shd w:val="clear" w:color="auto" w:fill="FFFFFF"/>
          <w:lang w:val="en-US" w:eastAsia="zh-CN"/>
        </w:rPr>
        <w:t>24</w:t>
      </w:r>
      <w:r>
        <w:rPr>
          <w:rFonts w:ascii="方正仿宋_GBK" w:hAnsi="方正仿宋_GBK" w:eastAsia="方正仿宋_GBK" w:cs="方正仿宋_GBK"/>
          <w:sz w:val="32"/>
          <w:szCs w:val="32"/>
          <w:shd w:val="clear" w:color="auto" w:fill="FFFFFF"/>
        </w:rPr>
        <w:t>年度本单位无项目资金，未开展预算绩效自评。</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Style w:val="13"/>
          <w:rFonts w:hint="eastAsia" w:ascii="方正楷体_GBK" w:hAnsi="方正楷体_GBK" w:eastAsia="方正楷体_GBK" w:cs="方正楷体_GBK"/>
          <w:b w:val="0"/>
          <w:bCs/>
          <w:sz w:val="32"/>
          <w:szCs w:val="32"/>
          <w:shd w:val="clear" w:color="auto" w:fill="FFFFFF"/>
          <w:lang w:val="en-US" w:eastAsia="zh-CN" w:bidi="ar-SA"/>
        </w:rPr>
      </w:pPr>
      <w:r>
        <w:rPr>
          <w:rStyle w:val="13"/>
          <w:rFonts w:hint="eastAsia" w:ascii="方正楷体_GBK" w:hAnsi="方正楷体_GBK" w:eastAsia="方正楷体_GBK" w:cs="方正楷体_GBK"/>
          <w:b w:val="0"/>
          <w:bCs/>
          <w:sz w:val="32"/>
          <w:szCs w:val="32"/>
          <w:shd w:val="clear" w:color="auto" w:fill="FFFFFF"/>
          <w:lang w:val="en-US" w:eastAsia="zh-CN" w:bidi="ar-SA"/>
        </w:rPr>
        <w:t>（二）部门绩效评价情况</w:t>
      </w:r>
    </w:p>
    <w:p>
      <w:pPr>
        <w:pStyle w:val="14"/>
        <w:autoSpaceDE w:val="0"/>
        <w:ind w:left="480" w:leftChars="200" w:firstLine="64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lang w:val="en-US" w:eastAsia="zh-CN" w:bidi="ar-SA"/>
        </w:rPr>
        <w:t>2024年度本单位无项目资金，未组织开展单位绩效评价。</w:t>
      </w:r>
    </w:p>
    <w:p>
      <w:pPr>
        <w:pStyle w:val="19"/>
        <w:keepNext w:val="0"/>
        <w:keepLines w:val="0"/>
        <w:pageBreakBefore w:val="0"/>
        <w:widowControl/>
        <w:kinsoku/>
        <w:wordWrap/>
        <w:overflowPunct/>
        <w:topLinePunct w:val="0"/>
        <w:autoSpaceDE w:val="0"/>
        <w:autoSpaceDN/>
        <w:bidi w:val="0"/>
        <w:adjustRightInd/>
        <w:snapToGrid/>
        <w:spacing w:after="0" w:afterAutospacing="0" w:line="596" w:lineRule="exact"/>
        <w:ind w:left="0" w:firstLine="640" w:firstLineChars="200"/>
        <w:textAlignment w:val="auto"/>
        <w:rPr>
          <w:rStyle w:val="13"/>
          <w:rFonts w:hint="eastAsia" w:ascii="方正楷体_GBK" w:hAnsi="方正楷体_GBK" w:eastAsia="方正楷体_GBK" w:cs="方正楷体_GBK"/>
          <w:b w:val="0"/>
          <w:bCs/>
          <w:kern w:val="0"/>
          <w:sz w:val="32"/>
          <w:szCs w:val="32"/>
          <w:shd w:val="clear" w:color="auto" w:fill="FFFFFF"/>
          <w:lang w:val="en-US" w:eastAsia="zh-CN" w:bidi="ar-SA"/>
        </w:rPr>
      </w:pPr>
      <w:r>
        <w:rPr>
          <w:rStyle w:val="13"/>
          <w:rFonts w:hint="eastAsia" w:ascii="方正楷体_GBK" w:hAnsi="方正楷体_GBK" w:eastAsia="方正楷体_GBK" w:cs="方正楷体_GBK"/>
          <w:b w:val="0"/>
          <w:bCs/>
          <w:kern w:val="0"/>
          <w:sz w:val="32"/>
          <w:szCs w:val="32"/>
          <w:shd w:val="clear" w:color="auto" w:fill="FFFFFF"/>
          <w:lang w:val="en-US" w:eastAsia="zh-CN" w:bidi="ar-SA"/>
        </w:rPr>
        <w:t>（三）财政绩效评价情况</w:t>
      </w:r>
    </w:p>
    <w:p>
      <w:pPr>
        <w:pStyle w:val="14"/>
        <w:autoSpaceDE w:val="0"/>
        <w:ind w:firstLine="960" w:firstLineChars="300"/>
        <w:rPr>
          <w:rFonts w:ascii="楷体" w:hAnsi="楷体" w:eastAsia="楷体" w:cs="楷体"/>
          <w:b/>
          <w:bCs/>
          <w:sz w:val="32"/>
          <w:szCs w:val="32"/>
          <w:shd w:val="clear" w:color="auto" w:fill="FFFFFF"/>
        </w:rPr>
      </w:pPr>
      <w:r>
        <w:rPr>
          <w:rFonts w:hint="eastAsia" w:ascii="方正仿宋_GBK" w:hAnsi="方正仿宋_GBK" w:eastAsia="方正仿宋_GBK" w:cs="方正仿宋_GBK"/>
          <w:sz w:val="32"/>
          <w:szCs w:val="32"/>
          <w:shd w:val="clear" w:color="auto" w:fill="FFFFFF"/>
        </w:rPr>
        <w:t>县财政局未委托第三方对我单位开展绩效评价。</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13"/>
          <w:rFonts w:hint="eastAsia" w:ascii="方正黑体_GBK" w:hAnsi="方正黑体_GBK" w:eastAsia="方正黑体_GBK" w:cs="方正黑体_GBK"/>
          <w:b w:val="0"/>
          <w:bCs/>
          <w:sz w:val="32"/>
          <w:szCs w:val="32"/>
          <w:shd w:val="clear" w:color="auto" w:fill="FFFFFF"/>
          <w:lang w:eastAsia="zh-CN"/>
        </w:rPr>
      </w:pPr>
      <w:r>
        <w:rPr>
          <w:rStyle w:val="13"/>
          <w:rFonts w:hint="eastAsia" w:ascii="方正黑体_GBK" w:hAnsi="方正黑体_GBK" w:eastAsia="方正黑体_GBK" w:cs="方正黑体_GBK"/>
          <w:b w:val="0"/>
          <w:bCs/>
          <w:sz w:val="32"/>
          <w:szCs w:val="32"/>
          <w:shd w:val="clear" w:color="auto" w:fill="FFFFFF"/>
          <w:lang w:val="en-US" w:eastAsia="zh-CN"/>
        </w:rPr>
        <w:t>六、专业名词解释</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（一）财政拨款收入：</w:t>
      </w:r>
      <w:r>
        <w:rPr>
          <w:rFonts w:hint="eastAsia" w:ascii="方正仿宋_GBK" w:hAnsi="方正仿宋_GBK" w:eastAsia="方正仿宋_GBK" w:cs="方正仿宋_GBK"/>
          <w:kern w:val="0"/>
          <w:sz w:val="32"/>
          <w:szCs w:val="32"/>
          <w:shd w:val="clear" w:fill="FFFFFF"/>
        </w:rPr>
        <w:t>指本年度从本级财政部门取得的财政拨款，包括一般公共预算财政拨款和政府性基金预算财政拨款。</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（二）事业收入：</w:t>
      </w:r>
      <w:r>
        <w:rPr>
          <w:rFonts w:hint="eastAsia" w:ascii="方正仿宋_GBK" w:hAnsi="方正仿宋_GBK" w:eastAsia="方正仿宋_GBK" w:cs="方正仿宋_GBK"/>
          <w:kern w:val="0"/>
          <w:sz w:val="32"/>
          <w:szCs w:val="32"/>
          <w:shd w:val="clear" w:fill="FFFFFF"/>
        </w:rPr>
        <w:t>指事业单位开展专业业务活动及其辅助活动取得的现金流入；事业单位收到的财政专户实际核拨的教育收费等资金在此反映。</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（三）经营收入：</w:t>
      </w:r>
      <w:r>
        <w:rPr>
          <w:rFonts w:hint="eastAsia" w:ascii="方正仿宋_GBK" w:hAnsi="方正仿宋_GBK" w:eastAsia="方正仿宋_GBK" w:cs="方正仿宋_GBK"/>
          <w:kern w:val="0"/>
          <w:sz w:val="32"/>
          <w:szCs w:val="32"/>
          <w:shd w:val="clear" w:fill="FFFFFF"/>
        </w:rPr>
        <w:t>指事业单位在专业业务活动及其辅助活动之外开展非独立核算经营活动取得的现金流入。</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（四）其他收入：</w:t>
      </w:r>
      <w:r>
        <w:rPr>
          <w:rFonts w:hint="eastAsia" w:ascii="方正仿宋_GBK" w:hAnsi="方正仿宋_GBK" w:eastAsia="方正仿宋_GBK" w:cs="方正仿宋_GBK"/>
          <w:kern w:val="0"/>
          <w:sz w:val="32"/>
          <w:szCs w:val="32"/>
          <w:shd w:val="clear"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（五）使用非财政拨款结余（含专用结余）：</w:t>
      </w:r>
      <w:r>
        <w:rPr>
          <w:rFonts w:hint="eastAsia" w:ascii="方正仿宋_GBK" w:hAnsi="方正仿宋_GBK" w:eastAsia="方正仿宋_GBK" w:cs="方正仿宋_GBK"/>
          <w:kern w:val="0"/>
          <w:sz w:val="32"/>
          <w:szCs w:val="32"/>
          <w:shd w:val="clear" w:fill="FFFFFF"/>
        </w:rPr>
        <w:t>指单位在当年的“财政拨款收入”、“事业收入”、“经营收入”、“其他收入”等不足以安排当年支出的情况下，使用以前年度积累的非财政拨款结余弥补本年度收支缺口的资金。</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（六）年初结转和结余：</w:t>
      </w:r>
      <w:r>
        <w:rPr>
          <w:rFonts w:hint="eastAsia" w:ascii="方正仿宋_GBK" w:hAnsi="方正仿宋_GBK" w:eastAsia="方正仿宋_GBK" w:cs="方正仿宋_GBK"/>
          <w:kern w:val="0"/>
          <w:sz w:val="32"/>
          <w:szCs w:val="32"/>
          <w:shd w:val="clear" w:fill="FFFFFF"/>
        </w:rPr>
        <w:t>指单位上年结转本年使用的基本支出结转、项目支出结转和结余、经营结余。</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（七）结余分配：</w:t>
      </w:r>
      <w:r>
        <w:rPr>
          <w:rFonts w:hint="eastAsia" w:ascii="方正仿宋_GBK" w:hAnsi="方正仿宋_GBK" w:eastAsia="方正仿宋_GBK" w:cs="方正仿宋_GBK"/>
          <w:kern w:val="0"/>
          <w:sz w:val="32"/>
          <w:szCs w:val="32"/>
          <w:shd w:val="clear" w:fill="FFFFFF"/>
        </w:rPr>
        <w:t>指单位按照国家有关规定，缴纳所得税、提取专用基金、转入非财政拨款结余等当年结余的分配情况。</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（八）年末结转和结余：</w:t>
      </w:r>
      <w:r>
        <w:rPr>
          <w:rFonts w:hint="eastAsia" w:ascii="方正仿宋_GBK" w:hAnsi="方正仿宋_GBK" w:eastAsia="方正仿宋_GBK" w:cs="方正仿宋_GBK"/>
          <w:kern w:val="0"/>
          <w:sz w:val="32"/>
          <w:szCs w:val="32"/>
          <w:shd w:val="clear" w:fill="FFFFFF"/>
        </w:rPr>
        <w:t>指单位结转下年的基本支出结转、项目支出结转和结余、经营结余。</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（九）基本支出：</w:t>
      </w:r>
      <w:r>
        <w:rPr>
          <w:rFonts w:hint="eastAsia" w:ascii="方正仿宋_GBK" w:hAnsi="方正仿宋_GBK" w:eastAsia="方正仿宋_GBK" w:cs="方正仿宋_GBK"/>
          <w:kern w:val="0"/>
          <w:sz w:val="32"/>
          <w:szCs w:val="32"/>
          <w:shd w:val="clear"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（十）项目支出：</w:t>
      </w:r>
      <w:r>
        <w:rPr>
          <w:rFonts w:hint="eastAsia" w:ascii="方正仿宋_GBK" w:hAnsi="方正仿宋_GBK" w:eastAsia="方正仿宋_GBK" w:cs="方正仿宋_GBK"/>
          <w:kern w:val="0"/>
          <w:sz w:val="32"/>
          <w:szCs w:val="32"/>
          <w:shd w:val="clear" w:fill="FFFFFF"/>
        </w:rPr>
        <w:t>指在基本支出之外为完成特定行政任务和事业发展目标所发生的支出。</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（十一）经营支出：</w:t>
      </w:r>
      <w:r>
        <w:rPr>
          <w:rFonts w:hint="eastAsia" w:ascii="方正仿宋_GBK" w:hAnsi="方正仿宋_GBK" w:eastAsia="方正仿宋_GBK" w:cs="方正仿宋_GBK"/>
          <w:kern w:val="0"/>
          <w:sz w:val="32"/>
          <w:szCs w:val="32"/>
          <w:shd w:val="clear" w:fill="FFFFFF"/>
        </w:rPr>
        <w:t>指事业单位在专业业务活动及其辅助活动之外开展非独立核算经营活动发生的支出。</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（十二）“三公”经费：</w:t>
      </w:r>
      <w:r>
        <w:rPr>
          <w:rFonts w:hint="eastAsia" w:ascii="方正仿宋_GBK" w:hAnsi="方正仿宋_GBK" w:eastAsia="方正仿宋_GBK" w:cs="方正仿宋_GBK"/>
          <w:kern w:val="0"/>
          <w:sz w:val="32"/>
          <w:szCs w:val="32"/>
          <w:shd w:val="clear"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（十三）机关运行经费：</w:t>
      </w:r>
      <w:r>
        <w:rPr>
          <w:rFonts w:hint="eastAsia" w:ascii="方正仿宋_GBK" w:hAnsi="方正仿宋_GBK" w:eastAsia="方正仿宋_GBK" w:cs="方正仿宋_GBK"/>
          <w:kern w:val="0"/>
          <w:sz w:val="32"/>
          <w:szCs w:val="32"/>
          <w:shd w:val="clear"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（十四）工资福利支出（支出经济分类科目类级）：</w:t>
      </w:r>
      <w:r>
        <w:rPr>
          <w:rFonts w:hint="eastAsia" w:ascii="方正仿宋_GBK" w:hAnsi="方正仿宋_GBK" w:eastAsia="方正仿宋_GBK" w:cs="方正仿宋_GBK"/>
          <w:kern w:val="0"/>
          <w:sz w:val="32"/>
          <w:szCs w:val="32"/>
          <w:shd w:val="clear" w:fill="FFFFFF"/>
        </w:rPr>
        <w:t>反映单位开支的在职职工和编制外长期聘用人员的各类劳动报酬，以及为上述人员缴纳的各项社会保险费等。</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（十五）商品和服务支出（支出经济分类科目类级）：</w:t>
      </w:r>
      <w:r>
        <w:rPr>
          <w:rFonts w:hint="eastAsia" w:ascii="方正仿宋_GBK" w:hAnsi="方正仿宋_GBK" w:eastAsia="方正仿宋_GBK" w:cs="方正仿宋_GBK"/>
          <w:kern w:val="0"/>
          <w:sz w:val="32"/>
          <w:szCs w:val="32"/>
          <w:shd w:val="clear" w:fill="FFFFFF"/>
        </w:rPr>
        <w:t>反映单位购买商品和服务的支出（不包括用于购置固定资产的支出、战略性和应急储备支出）。</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（十六）对个人和家庭的补助（支出经济分类科目类级）：</w:t>
      </w:r>
      <w:r>
        <w:rPr>
          <w:rFonts w:hint="eastAsia" w:ascii="方正仿宋_GBK" w:hAnsi="方正仿宋_GBK" w:eastAsia="方正仿宋_GBK" w:cs="方正仿宋_GBK"/>
          <w:kern w:val="0"/>
          <w:sz w:val="32"/>
          <w:szCs w:val="32"/>
          <w:shd w:val="clear" w:fill="FFFFFF"/>
        </w:rPr>
        <w:t>反映用于对个人和家庭的补助支出。</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（十七）其他资本性支出（支出经济分类科目类级）：</w:t>
      </w:r>
      <w:r>
        <w:rPr>
          <w:rFonts w:hint="eastAsia" w:ascii="方正仿宋_GBK" w:hAnsi="方正仿宋_GBK" w:eastAsia="方正仿宋_GBK" w:cs="方正仿宋_GBK"/>
          <w:kern w:val="0"/>
          <w:sz w:val="32"/>
          <w:szCs w:val="32"/>
          <w:shd w:val="clear" w:fill="FFFFFF"/>
        </w:rPr>
        <w:t>反映非各级发展与改革部门集中安排的用于购置固定资产、战略性和应急性储备、土地和无形资产，以及构建基础设施、大型修缮和财政支持企业更新改造所发生的支出。</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13"/>
          <w:rFonts w:hint="eastAsia" w:ascii="方正黑体_GBK" w:hAnsi="方正黑体_GBK" w:eastAsia="方正黑体_GBK" w:cs="方正黑体_GBK"/>
          <w:b w:val="0"/>
          <w:bCs/>
          <w:sz w:val="32"/>
          <w:szCs w:val="32"/>
          <w:shd w:val="clear" w:color="auto" w:fill="FFFFFF"/>
          <w:lang w:val="en-US" w:eastAsia="zh-CN"/>
        </w:rPr>
      </w:pPr>
      <w:r>
        <w:rPr>
          <w:rStyle w:val="13"/>
          <w:rFonts w:hint="eastAsia" w:ascii="方正黑体_GBK" w:hAnsi="方正黑体_GBK" w:eastAsia="方正黑体_GBK" w:cs="方正黑体_GBK"/>
          <w:b w:val="0"/>
          <w:bCs/>
          <w:sz w:val="32"/>
          <w:szCs w:val="32"/>
          <w:shd w:val="clear" w:color="auto" w:fill="FFFFFF"/>
          <w:lang w:val="en-US" w:eastAsia="zh-CN"/>
        </w:rPr>
        <w:t>七、决算公开联系方式及信息反馈渠道</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shd w:val="clear" w:fill="FFFFFF"/>
        </w:rPr>
        <w:t>本单位决算公开信息反馈和联系方式：</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textAlignment w:val="auto"/>
        <w:rPr>
          <w:rFonts w:hint="default" w:ascii="方正仿宋_GBK" w:hAnsi="方正仿宋_GBK" w:eastAsia="方正仿宋_GBK" w:cs="方正仿宋_GBK"/>
          <w:kern w:val="0"/>
          <w:sz w:val="32"/>
          <w:szCs w:val="32"/>
          <w:shd w:val="clear" w:fill="FFFFFF"/>
          <w:lang w:val="en-US" w:eastAsia="zh-CN"/>
        </w:rPr>
      </w:pPr>
      <w:r>
        <w:rPr>
          <w:rFonts w:hint="eastAsia" w:ascii="方正仿宋_GBK" w:hAnsi="方正仿宋_GBK" w:eastAsia="方正仿宋_GBK" w:cs="方正仿宋_GBK"/>
          <w:kern w:val="0"/>
          <w:sz w:val="32"/>
          <w:szCs w:val="32"/>
          <w:shd w:val="clear" w:fill="FFFFFF"/>
          <w:lang w:eastAsia="zh-CN"/>
        </w:rPr>
        <w:t>陆鑫</w:t>
      </w:r>
      <w:r>
        <w:rPr>
          <w:rFonts w:hint="eastAsia" w:ascii="方正仿宋_GBK" w:hAnsi="方正仿宋_GBK" w:eastAsia="方正仿宋_GBK" w:cs="方正仿宋_GBK"/>
          <w:kern w:val="0"/>
          <w:sz w:val="32"/>
          <w:szCs w:val="32"/>
          <w:shd w:val="clear" w:fill="FFFFFF"/>
        </w:rPr>
        <w:t xml:space="preserve">   023-</w:t>
      </w:r>
      <w:r>
        <w:rPr>
          <w:rFonts w:hint="eastAsia" w:ascii="方正仿宋_GBK" w:hAnsi="方正仿宋_GBK" w:eastAsia="方正仿宋_GBK" w:cs="方正仿宋_GBK"/>
          <w:kern w:val="0"/>
          <w:sz w:val="32"/>
          <w:szCs w:val="32"/>
          <w:shd w:val="clear" w:fill="FFFFFF"/>
          <w:lang w:val="en-US" w:eastAsia="zh-CN"/>
        </w:rPr>
        <w:t>70606433</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textAlignment w:val="auto"/>
        <w:rPr>
          <w:rFonts w:hint="eastAsia" w:ascii="方正仿宋_GBK" w:hAnsi="方正仿宋_GBK" w:eastAsia="方正仿宋_GBK" w:cs="方正仿宋_GBK"/>
          <w:kern w:val="0"/>
          <w:sz w:val="32"/>
          <w:szCs w:val="32"/>
          <w:shd w:val="clear" w:fill="FFFFFF"/>
        </w:rPr>
        <w:sectPr>
          <w:footerReference r:id="rId3" w:type="default"/>
          <w:pgSz w:w="11915" w:h="16840"/>
          <w:pgMar w:top="1440" w:right="1800" w:bottom="1440" w:left="1800" w:header="851" w:footer="992" w:gutter="0"/>
          <w:pgNumType w:fmt="numberInDash"/>
          <w:cols w:space="720" w:num="1"/>
          <w:docGrid w:type="lines" w:linePitch="312" w:charSpace="0"/>
        </w:sectPr>
      </w:pPr>
    </w:p>
    <w:tbl>
      <w:tblPr>
        <w:tblStyle w:val="10"/>
        <w:tblpPr w:leftFromText="180" w:rightFromText="180" w:vertAnchor="text" w:horzAnchor="page" w:tblpX="1058" w:tblpY="22"/>
        <w:tblOverlap w:val="never"/>
        <w:tblW w:w="14737" w:type="dxa"/>
        <w:tblInd w:w="0" w:type="dxa"/>
        <w:tblLayout w:type="fixed"/>
        <w:tblCellMar>
          <w:top w:w="0" w:type="dxa"/>
          <w:left w:w="0" w:type="dxa"/>
          <w:bottom w:w="0" w:type="dxa"/>
          <w:right w:w="0" w:type="dxa"/>
        </w:tblCellMar>
      </w:tblPr>
      <w:tblGrid>
        <w:gridCol w:w="4294"/>
        <w:gridCol w:w="3558"/>
        <w:gridCol w:w="4044"/>
        <w:gridCol w:w="2841"/>
      </w:tblGrid>
      <w:tr>
        <w:tblPrEx>
          <w:tblCellMar>
            <w:top w:w="0" w:type="dxa"/>
            <w:left w:w="0" w:type="dxa"/>
            <w:bottom w:w="0" w:type="dxa"/>
            <w:right w:w="0" w:type="dxa"/>
          </w:tblCellMar>
        </w:tblPrEx>
        <w:trPr>
          <w:trHeight w:val="232" w:hRule="atLeast"/>
        </w:trPr>
        <w:tc>
          <w:tcPr>
            <w:tcW w:w="14737" w:type="dxa"/>
            <w:gridSpan w:val="4"/>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42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3558" w:type="dxa"/>
            <w:tcBorders>
              <w:top w:val="nil"/>
              <w:left w:val="nil"/>
              <w:bottom w:val="nil"/>
              <w:right w:val="nil"/>
            </w:tcBorders>
            <w:shd w:val="clear" w:color="auto" w:fill="auto"/>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404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0"/>
                <w:szCs w:val="20"/>
              </w:rPr>
            </w:pPr>
          </w:p>
        </w:tc>
        <w:tc>
          <w:tcPr>
            <w:tcW w:w="284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01</w:t>
            </w:r>
            <w:r>
              <w:rPr>
                <w:rFonts w:cs="宋体"/>
                <w:color w:val="000000"/>
                <w:sz w:val="20"/>
                <w:szCs w:val="20"/>
              </w:rPr>
              <w:t>表</w:t>
            </w:r>
          </w:p>
        </w:tc>
      </w:tr>
      <w:tr>
        <w:tblPrEx>
          <w:tblCellMar>
            <w:top w:w="0" w:type="dxa"/>
            <w:left w:w="0" w:type="dxa"/>
            <w:bottom w:w="0" w:type="dxa"/>
            <w:right w:w="0" w:type="dxa"/>
          </w:tblCellMar>
        </w:tblPrEx>
        <w:trPr>
          <w:trHeight w:val="232" w:hRule="atLeast"/>
        </w:trPr>
        <w:tc>
          <w:tcPr>
            <w:tcW w:w="7852" w:type="dxa"/>
            <w:gridSpan w:val="2"/>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Arial" w:hAnsi="Arial" w:cs="Arial"/>
                <w:color w:val="000000"/>
                <w:sz w:val="22"/>
                <w:szCs w:val="22"/>
              </w:rPr>
            </w:pPr>
            <w:r>
              <w:rPr>
                <w:rFonts w:cs="宋体"/>
                <w:sz w:val="20"/>
                <w:szCs w:val="20"/>
              </w:rPr>
              <w:t>单位：</w:t>
            </w:r>
            <w:r>
              <w:rPr>
                <w:sz w:val="20"/>
                <w:u w:color="auto"/>
              </w:rPr>
              <w:t>丰都县林业行政执法支队</w:t>
            </w:r>
          </w:p>
        </w:tc>
        <w:tc>
          <w:tcPr>
            <w:tcW w:w="404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ascii="Arial" w:hAnsi="Arial" w:cs="Arial"/>
                <w:color w:val="000000"/>
                <w:sz w:val="22"/>
                <w:szCs w:val="22"/>
              </w:rPr>
            </w:pPr>
          </w:p>
        </w:tc>
        <w:tc>
          <w:tcPr>
            <w:tcW w:w="284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785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6885" w:type="dxa"/>
            <w:gridSpan w:val="2"/>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257.15</w:t>
            </w: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3558" w:type="dxa"/>
            <w:tcBorders>
              <w:top w:val="nil"/>
              <w:left w:val="nil"/>
              <w:bottom w:val="nil"/>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37.84</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18.48</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179.59</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90"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21.23</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rPr>
                <w:rFonts w:hint="default" w:cs="宋体"/>
                <w:b/>
                <w:bCs/>
                <w:color w:val="000000"/>
                <w:sz w:val="20"/>
                <w:szCs w:val="20"/>
              </w:rPr>
            </w:pP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257.15</w:t>
            </w: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257.15</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使用非财政拨款结余（含专用结余）</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2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3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2841"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53" w:hRule="atLeast"/>
        </w:trPr>
        <w:tc>
          <w:tcPr>
            <w:tcW w:w="42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35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257.15</w:t>
            </w:r>
            <w:r>
              <w:rPr>
                <w:rFonts w:ascii="Times New Roman" w:hAnsi="Times New Roman"/>
                <w:color w:val="000000"/>
                <w:sz w:val="20"/>
                <w:u w:color="auto"/>
              </w:rPr>
              <w:t xml:space="preserve"> </w:t>
            </w:r>
          </w:p>
        </w:tc>
        <w:tc>
          <w:tcPr>
            <w:tcW w:w="4044" w:type="dxa"/>
            <w:tcBorders>
              <w:top w:val="nil"/>
              <w:left w:val="nil"/>
              <w:bottom w:val="single" w:color="000000" w:sz="4" w:space="0"/>
              <w:right w:val="single" w:color="auto" w:sz="4" w:space="0"/>
            </w:tcBorders>
            <w:shd w:val="clear" w:color="auto" w:fill="auto"/>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284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257.15</w:t>
            </w:r>
            <w:r>
              <w:rPr>
                <w:rFonts w:ascii="Times New Roman" w:hAnsi="Times New Roman"/>
                <w:color w:val="000000"/>
                <w:sz w:val="20"/>
                <w:u w:color="auto"/>
              </w:rPr>
              <w:t xml:space="preserve"> </w:t>
            </w:r>
          </w:p>
        </w:tc>
      </w:tr>
    </w:tbl>
    <w:p>
      <w:pPr>
        <w:rPr>
          <w:rFonts w:hint="default" w:cs="宋体"/>
          <w:sz w:val="21"/>
          <w:szCs w:val="21"/>
        </w:rPr>
      </w:pPr>
    </w:p>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10"/>
        <w:tblW w:w="15503" w:type="dxa"/>
        <w:tblInd w:w="0" w:type="dxa"/>
        <w:tblLayout w:type="fixed"/>
        <w:tblCellMar>
          <w:top w:w="0" w:type="dxa"/>
          <w:left w:w="0" w:type="dxa"/>
          <w:bottom w:w="0" w:type="dxa"/>
          <w:right w:w="0" w:type="dxa"/>
        </w:tblCellMar>
      </w:tblPr>
      <w:tblGrid>
        <w:gridCol w:w="1430"/>
        <w:gridCol w:w="2919"/>
        <w:gridCol w:w="1582"/>
        <w:gridCol w:w="1451"/>
        <w:gridCol w:w="1256"/>
        <w:gridCol w:w="1438"/>
        <w:gridCol w:w="1459"/>
        <w:gridCol w:w="1296"/>
        <w:gridCol w:w="1350"/>
        <w:gridCol w:w="1322"/>
      </w:tblGrid>
      <w:tr>
        <w:tblPrEx>
          <w:tblCellMar>
            <w:top w:w="0" w:type="dxa"/>
            <w:left w:w="0" w:type="dxa"/>
            <w:bottom w:w="0" w:type="dxa"/>
            <w:right w:w="0" w:type="dxa"/>
          </w:tblCellMar>
        </w:tblPrEx>
        <w:trPr>
          <w:trHeight w:val="641" w:hRule="atLeast"/>
        </w:trPr>
        <w:tc>
          <w:tcPr>
            <w:tcW w:w="15503" w:type="dxa"/>
            <w:gridSpan w:val="10"/>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5931" w:type="dxa"/>
            <w:gridSpan w:val="3"/>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sz w:val="20"/>
                <w:u w:color="auto"/>
              </w:rPr>
              <w:t>丰都县林业行政执法支队</w:t>
            </w:r>
          </w:p>
        </w:tc>
        <w:tc>
          <w:tcPr>
            <w:tcW w:w="145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5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38"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5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9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50"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22"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02</w:t>
            </w:r>
            <w:r>
              <w:rPr>
                <w:rFonts w:cs="宋体"/>
                <w:color w:val="000000"/>
                <w:sz w:val="20"/>
                <w:szCs w:val="20"/>
              </w:rPr>
              <w:t>表</w:t>
            </w:r>
          </w:p>
        </w:tc>
      </w:tr>
      <w:tr>
        <w:tblPrEx>
          <w:tblCellMar>
            <w:top w:w="0" w:type="dxa"/>
            <w:left w:w="0" w:type="dxa"/>
            <w:bottom w:w="0" w:type="dxa"/>
            <w:right w:w="0" w:type="dxa"/>
          </w:tblCellMar>
        </w:tblPrEx>
        <w:trPr>
          <w:trHeight w:val="328" w:hRule="atLeast"/>
        </w:trPr>
        <w:tc>
          <w:tcPr>
            <w:tcW w:w="5931"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5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5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38"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459"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296"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50"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322"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4349" w:type="dxa"/>
            <w:gridSpan w:val="2"/>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58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14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125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289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129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135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132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1430"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2919" w:type="dxa"/>
            <w:vMerge w:val="restart"/>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145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143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19"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143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19"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1430"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2919"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8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5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3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45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29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5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34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58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257.15</w:t>
            </w:r>
            <w:r>
              <w:rPr>
                <w:rFonts w:ascii="Times New Roman" w:hAnsi="Times New Roman"/>
                <w:b/>
                <w:color w:val="000000"/>
                <w:sz w:val="20"/>
                <w:u w:color="auto"/>
              </w:rPr>
              <w:t xml:space="preserve"> </w:t>
            </w:r>
          </w:p>
        </w:tc>
        <w:tc>
          <w:tcPr>
            <w:tcW w:w="14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257.15</w:t>
            </w:r>
            <w:r>
              <w:rPr>
                <w:rFonts w:ascii="Times New Roman" w:hAnsi="Times New Roman"/>
                <w:b/>
                <w:color w:val="000000"/>
                <w:sz w:val="20"/>
                <w:u w:color="auto"/>
              </w:rPr>
              <w:t xml:space="preserve"> </w:t>
            </w:r>
          </w:p>
        </w:tc>
        <w:tc>
          <w:tcPr>
            <w:tcW w:w="12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43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45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2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35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3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37.84</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37.84</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37.84</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37.84</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25.23</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25.23</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12.61</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12.61</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18.48</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18.48</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18.48</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18.48</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13.42</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13.42</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5.06</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5.06</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179.59</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179.59</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21302</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林业和草原</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179.59</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179.59</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2130201</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179.59</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179.59</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21.23</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21.23</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21.23</w:t>
            </w:r>
            <w:r>
              <w:rPr>
                <w:rFonts w:ascii="Times New Roman" w:hAnsi="Times New Roman"/>
                <w:b/>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21.23</w:t>
            </w:r>
            <w:r>
              <w:rPr>
                <w:rFonts w:ascii="Times New Roman" w:hAnsi="Times New Roman"/>
                <w:b/>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143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291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5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21.23</w:t>
            </w:r>
            <w:r>
              <w:rPr>
                <w:rFonts w:ascii="Times New Roman" w:hAnsi="Times New Roman"/>
                <w:color w:val="000000"/>
                <w:sz w:val="20"/>
                <w:u w:color="auto"/>
              </w:rPr>
              <w:t xml:space="preserve"> </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21.23</w:t>
            </w:r>
            <w:r>
              <w:rPr>
                <w:rFonts w:ascii="Times New Roman" w:hAnsi="Times New Roman"/>
                <w:color w:val="000000"/>
                <w:sz w:val="20"/>
                <w:u w:color="auto"/>
              </w:rPr>
              <w:t xml:space="preserve"> </w:t>
            </w:r>
          </w:p>
        </w:tc>
        <w:tc>
          <w:tcPr>
            <w:tcW w:w="12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4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2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3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10"/>
        <w:tblW w:w="15322" w:type="dxa"/>
        <w:tblInd w:w="0" w:type="dxa"/>
        <w:tblLayout w:type="fixed"/>
        <w:tblCellMar>
          <w:top w:w="0" w:type="dxa"/>
          <w:left w:w="0" w:type="dxa"/>
          <w:bottom w:w="0" w:type="dxa"/>
          <w:right w:w="0" w:type="dxa"/>
        </w:tblCellMar>
      </w:tblPr>
      <w:tblGrid>
        <w:gridCol w:w="1292"/>
        <w:gridCol w:w="3602"/>
        <w:gridCol w:w="1841"/>
        <w:gridCol w:w="1765"/>
        <w:gridCol w:w="1624"/>
        <w:gridCol w:w="1557"/>
        <w:gridCol w:w="1692"/>
        <w:gridCol w:w="1949"/>
      </w:tblGrid>
      <w:tr>
        <w:tblPrEx>
          <w:tblCellMar>
            <w:top w:w="0" w:type="dxa"/>
            <w:left w:w="0" w:type="dxa"/>
            <w:bottom w:w="0" w:type="dxa"/>
            <w:right w:w="0" w:type="dxa"/>
          </w:tblCellMar>
        </w:tblPrEx>
        <w:trPr>
          <w:trHeight w:val="654" w:hRule="atLeast"/>
        </w:trPr>
        <w:tc>
          <w:tcPr>
            <w:tcW w:w="15322"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6735" w:type="dxa"/>
            <w:gridSpan w:val="3"/>
            <w:vMerge w:val="restart"/>
            <w:tcBorders>
              <w:top w:val="nil"/>
              <w:left w:val="nil"/>
              <w:right w:val="nil"/>
            </w:tcBorders>
            <w:shd w:val="clear" w:color="auto" w:fill="auto"/>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 xml:space="preserve">丰都县林业行政执法支队 </w:t>
            </w:r>
          </w:p>
        </w:tc>
        <w:tc>
          <w:tcPr>
            <w:tcW w:w="176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24"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55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9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94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03</w:t>
            </w:r>
            <w:r>
              <w:rPr>
                <w:rFonts w:cs="宋体"/>
                <w:color w:val="000000"/>
                <w:sz w:val="20"/>
                <w:szCs w:val="20"/>
              </w:rPr>
              <w:t>表</w:t>
            </w:r>
          </w:p>
        </w:tc>
      </w:tr>
      <w:tr>
        <w:tblPrEx>
          <w:tblCellMar>
            <w:top w:w="0" w:type="dxa"/>
            <w:left w:w="0" w:type="dxa"/>
            <w:bottom w:w="0" w:type="dxa"/>
            <w:right w:w="0" w:type="dxa"/>
          </w:tblCellMar>
        </w:tblPrEx>
        <w:trPr>
          <w:trHeight w:val="342" w:hRule="atLeast"/>
        </w:trPr>
        <w:tc>
          <w:tcPr>
            <w:tcW w:w="6735"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24"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55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692"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94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489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84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17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62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5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1692"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194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129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602" w:type="dxa"/>
            <w:vMerge w:val="restart"/>
            <w:tcBorders>
              <w:top w:val="nil"/>
              <w:left w:val="nil"/>
              <w:bottom w:val="single" w:color="000000" w:sz="4" w:space="0"/>
              <w:right w:val="nil"/>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2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02"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2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02"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2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02" w:type="dxa"/>
            <w:vMerge w:val="continue"/>
            <w:tcBorders>
              <w:top w:val="nil"/>
              <w:left w:val="nil"/>
              <w:bottom w:val="single" w:color="000000" w:sz="4" w:space="0"/>
              <w:right w:val="nil"/>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2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5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692"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94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489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8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257.15</w:t>
            </w:r>
            <w:r>
              <w:rPr>
                <w:rFonts w:ascii="Times New Roman" w:hAnsi="Times New Roman"/>
                <w:b/>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257.15</w:t>
            </w:r>
            <w:r>
              <w:rPr>
                <w:rFonts w:ascii="Times New Roman" w:hAnsi="Times New Roman"/>
                <w:b/>
                <w:color w:val="000000"/>
                <w:sz w:val="20"/>
                <w:u w:color="auto"/>
              </w:rPr>
              <w:t xml:space="preserve"> </w:t>
            </w:r>
          </w:p>
        </w:tc>
        <w:tc>
          <w:tcPr>
            <w:tcW w:w="162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5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6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94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37.84</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37.84</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37.84</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37.84</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25.23</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25.23</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12.61</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12.61</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18.48</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18.48</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18.48</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18.48</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13.42</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13.42</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5.06</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5.06</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179.59</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179.59</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21302</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林业和草原</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179.59</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179.59</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2130201</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179.59</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179.59</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21.23</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21.23</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21.23</w:t>
            </w:r>
            <w:r>
              <w:rPr>
                <w:rFonts w:ascii="Times New Roman" w:hAnsi="Times New Roman"/>
                <w:b/>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21.23</w:t>
            </w:r>
            <w:r>
              <w:rPr>
                <w:rFonts w:ascii="Times New Roman" w:hAnsi="Times New Roman"/>
                <w:b/>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129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360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8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21.23</w:t>
            </w:r>
            <w:r>
              <w:rPr>
                <w:rFonts w:ascii="Times New Roman" w:hAnsi="Times New Roman"/>
                <w:color w:val="000000"/>
                <w:sz w:val="20"/>
                <w:u w:color="auto"/>
              </w:rPr>
              <w:t xml:space="preserve"> </w:t>
            </w:r>
          </w:p>
        </w:tc>
        <w:tc>
          <w:tcPr>
            <w:tcW w:w="1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21.23</w:t>
            </w:r>
            <w:r>
              <w:rPr>
                <w:rFonts w:ascii="Times New Roman" w:hAnsi="Times New Roman"/>
                <w:color w:val="000000"/>
                <w:sz w:val="20"/>
                <w:u w:color="auto"/>
              </w:rPr>
              <w:t xml:space="preserve"> </w:t>
            </w:r>
          </w:p>
        </w:tc>
        <w:tc>
          <w:tcPr>
            <w:tcW w:w="16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5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6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94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10"/>
        <w:tblW w:w="14678" w:type="dxa"/>
        <w:tblInd w:w="0" w:type="dxa"/>
        <w:tblLayout w:type="fixed"/>
        <w:tblCellMar>
          <w:top w:w="0" w:type="dxa"/>
          <w:left w:w="0" w:type="dxa"/>
          <w:bottom w:w="0" w:type="dxa"/>
          <w:right w:w="0" w:type="dxa"/>
        </w:tblCellMar>
      </w:tblPr>
      <w:tblGrid>
        <w:gridCol w:w="2967"/>
        <w:gridCol w:w="1521"/>
        <w:gridCol w:w="3179"/>
        <w:gridCol w:w="1694"/>
        <w:gridCol w:w="1694"/>
        <w:gridCol w:w="1694"/>
        <w:gridCol w:w="1929"/>
      </w:tblGrid>
      <w:tr>
        <w:tblPrEx>
          <w:tblCellMar>
            <w:top w:w="0" w:type="dxa"/>
            <w:left w:w="0" w:type="dxa"/>
            <w:bottom w:w="0" w:type="dxa"/>
            <w:right w:w="0" w:type="dxa"/>
          </w:tblCellMar>
        </w:tblPrEx>
        <w:trPr>
          <w:trHeight w:val="90" w:hRule="atLeast"/>
        </w:trPr>
        <w:tc>
          <w:tcPr>
            <w:tcW w:w="14678" w:type="dxa"/>
            <w:gridSpan w:val="7"/>
            <w:tcBorders>
              <w:top w:val="nil"/>
              <w:left w:val="nil"/>
              <w:bottom w:val="nil"/>
              <w:right w:val="nil"/>
            </w:tcBorders>
            <w:shd w:val="clear" w:color="auto" w:fill="auto"/>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7667" w:type="dxa"/>
            <w:gridSpan w:val="3"/>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丰都县林业行政执法支队</w:t>
            </w: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04</w:t>
            </w:r>
            <w:r>
              <w:rPr>
                <w:rFonts w:cs="宋体"/>
                <w:color w:val="000000"/>
                <w:sz w:val="20"/>
                <w:szCs w:val="20"/>
              </w:rPr>
              <w:t>表</w:t>
            </w:r>
          </w:p>
        </w:tc>
      </w:tr>
      <w:tr>
        <w:tblPrEx>
          <w:tblCellMar>
            <w:top w:w="0" w:type="dxa"/>
            <w:left w:w="0" w:type="dxa"/>
            <w:bottom w:w="0" w:type="dxa"/>
            <w:right w:w="0" w:type="dxa"/>
          </w:tblCellMar>
        </w:tblPrEx>
        <w:trPr>
          <w:trHeight w:val="90" w:hRule="atLeast"/>
        </w:trPr>
        <w:tc>
          <w:tcPr>
            <w:tcW w:w="7667" w:type="dxa"/>
            <w:gridSpan w:val="3"/>
            <w:vMerge w:val="continue"/>
            <w:tcBorders>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nil"/>
              <w:left w:val="nil"/>
              <w:bottom w:val="nil"/>
              <w:right w:val="nil"/>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92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448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1019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296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15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317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7011" w:type="dxa"/>
            <w:gridSpan w:val="4"/>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296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5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317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257.15</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37.84</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37.84</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18.48</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18.48</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179.59</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179.59</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21.23</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21.23</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b/>
                <w:bCs/>
                <w:color w:val="000000"/>
                <w:sz w:val="18"/>
                <w:szCs w:val="18"/>
              </w:rPr>
            </w:pP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257.15</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257.15</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257.15</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cs="宋体"/>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spacing w:line="200" w:lineRule="exac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5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257.15</w:t>
            </w:r>
            <w:r>
              <w:rPr>
                <w:rFonts w:ascii="Times New Roman" w:hAnsi="Times New Roman"/>
                <w:color w:val="000000"/>
                <w:sz w:val="18"/>
                <w:u w:color="auto"/>
              </w:rPr>
              <w:t xml:space="preserve"> </w:t>
            </w:r>
          </w:p>
        </w:tc>
        <w:tc>
          <w:tcPr>
            <w:tcW w:w="31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257.15</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257.15</w:t>
            </w:r>
            <w:r>
              <w:rPr>
                <w:rFonts w:ascii="Times New Roman" w:hAnsi="Times New Roman"/>
                <w:color w:val="000000"/>
                <w:sz w:val="18"/>
                <w:u w:color="auto"/>
              </w:rPr>
              <w:t xml:space="preserve"> </w:t>
            </w:r>
          </w:p>
        </w:tc>
        <w:tc>
          <w:tcPr>
            <w:tcW w:w="16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15322" w:type="dxa"/>
        <w:tblInd w:w="0" w:type="dxa"/>
        <w:tblLayout w:type="fixed"/>
        <w:tblCellMar>
          <w:top w:w="0" w:type="dxa"/>
          <w:left w:w="0" w:type="dxa"/>
          <w:bottom w:w="0" w:type="dxa"/>
          <w:right w:w="0" w:type="dxa"/>
        </w:tblCellMar>
      </w:tblPr>
      <w:tblGrid>
        <w:gridCol w:w="1305"/>
        <w:gridCol w:w="4073"/>
        <w:gridCol w:w="3306"/>
        <w:gridCol w:w="3297"/>
        <w:gridCol w:w="3341"/>
      </w:tblGrid>
      <w:tr>
        <w:tblPrEx>
          <w:tblCellMar>
            <w:top w:w="0" w:type="dxa"/>
            <w:left w:w="0" w:type="dxa"/>
            <w:bottom w:w="0" w:type="dxa"/>
            <w:right w:w="0" w:type="dxa"/>
          </w:tblCellMar>
        </w:tblPrEx>
        <w:trPr>
          <w:trHeight w:val="510" w:hRule="atLeast"/>
        </w:trPr>
        <w:tc>
          <w:tcPr>
            <w:tcW w:w="15322" w:type="dxa"/>
            <w:gridSpan w:val="5"/>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8684" w:type="dxa"/>
            <w:gridSpan w:val="3"/>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丰都县林业行政执法支队</w:t>
            </w:r>
          </w:p>
        </w:tc>
        <w:tc>
          <w:tcPr>
            <w:tcW w:w="329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4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05</w:t>
            </w:r>
            <w:r>
              <w:rPr>
                <w:rFonts w:cs="宋体"/>
                <w:color w:val="000000"/>
                <w:sz w:val="20"/>
                <w:szCs w:val="20"/>
              </w:rPr>
              <w:t>表</w:t>
            </w:r>
          </w:p>
        </w:tc>
      </w:tr>
      <w:tr>
        <w:tblPrEx>
          <w:tblCellMar>
            <w:top w:w="0" w:type="dxa"/>
            <w:left w:w="0" w:type="dxa"/>
            <w:bottom w:w="0" w:type="dxa"/>
            <w:right w:w="0" w:type="dxa"/>
          </w:tblCellMar>
        </w:tblPrEx>
        <w:trPr>
          <w:trHeight w:val="285" w:hRule="atLeast"/>
        </w:trPr>
        <w:tc>
          <w:tcPr>
            <w:tcW w:w="8684"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297"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34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537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9944"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1305"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407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330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297"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34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13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4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1305"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7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0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297"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34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5378"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257.15</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257.15</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37.84</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37.84</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37.84</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37.84</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25.23</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25.23</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12.61</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12.61</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18.48</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18.48</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18.48</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18.48</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行政单位医疗</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13.42</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13.42</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5.06</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5.06</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179.59</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179.59</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21302</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林业和草原</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179.59</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179.59</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行政运行</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179.59</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179.59</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21.23</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21.23</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21.23</w:t>
            </w:r>
            <w:r>
              <w:rPr>
                <w:rFonts w:ascii="Times New Roman" w:hAnsi="Times New Roman"/>
                <w:b/>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21.23</w:t>
            </w:r>
            <w:r>
              <w:rPr>
                <w:rFonts w:ascii="Times New Roman" w:hAnsi="Times New Roman"/>
                <w:b/>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130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4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330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21.23</w:t>
            </w:r>
            <w:r>
              <w:rPr>
                <w:rFonts w:ascii="Times New Roman" w:hAnsi="Times New Roman"/>
                <w:color w:val="000000"/>
                <w:sz w:val="20"/>
                <w:u w:color="auto"/>
              </w:rPr>
              <w:t xml:space="preserve"> </w:t>
            </w:r>
          </w:p>
        </w:tc>
        <w:tc>
          <w:tcPr>
            <w:tcW w:w="329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21.23</w:t>
            </w:r>
            <w:r>
              <w:rPr>
                <w:rFonts w:ascii="Times New Roman" w:hAnsi="Times New Roman"/>
                <w:color w:val="000000"/>
                <w:sz w:val="20"/>
                <w:u w:color="auto"/>
              </w:rPr>
              <w:t xml:space="preserve"> </w:t>
            </w:r>
          </w:p>
        </w:tc>
        <w:tc>
          <w:tcPr>
            <w:tcW w:w="33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10"/>
        <w:tblW w:w="15304" w:type="dxa"/>
        <w:tblInd w:w="0" w:type="dxa"/>
        <w:tblLayout w:type="fixed"/>
        <w:tblCellMar>
          <w:top w:w="0" w:type="dxa"/>
          <w:left w:w="0" w:type="dxa"/>
          <w:bottom w:w="0" w:type="dxa"/>
          <w:right w:w="0" w:type="dxa"/>
        </w:tblCellMar>
      </w:tblPr>
      <w:tblGrid>
        <w:gridCol w:w="803"/>
        <w:gridCol w:w="2809"/>
        <w:gridCol w:w="1541"/>
        <w:gridCol w:w="873"/>
        <w:gridCol w:w="2032"/>
        <w:gridCol w:w="1418"/>
        <w:gridCol w:w="873"/>
        <w:gridCol w:w="3463"/>
        <w:gridCol w:w="1492"/>
      </w:tblGrid>
      <w:tr>
        <w:tblPrEx>
          <w:tblCellMar>
            <w:top w:w="0" w:type="dxa"/>
            <w:left w:w="0" w:type="dxa"/>
            <w:bottom w:w="0" w:type="dxa"/>
            <w:right w:w="0" w:type="dxa"/>
          </w:tblCellMar>
        </w:tblPrEx>
        <w:trPr>
          <w:trHeight w:val="90" w:hRule="atLeast"/>
        </w:trPr>
        <w:tc>
          <w:tcPr>
            <w:tcW w:w="15304" w:type="dxa"/>
            <w:gridSpan w:val="9"/>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334" w:hRule="atLeast"/>
        </w:trPr>
        <w:tc>
          <w:tcPr>
            <w:tcW w:w="8058" w:type="dxa"/>
            <w:gridSpan w:val="5"/>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丰都县林业行政执法支队</w:t>
            </w:r>
          </w:p>
        </w:tc>
        <w:tc>
          <w:tcPr>
            <w:tcW w:w="1418"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87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346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492"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06</w:t>
            </w:r>
            <w:r>
              <w:rPr>
                <w:rFonts w:cs="宋体"/>
                <w:color w:val="000000"/>
                <w:sz w:val="20"/>
                <w:szCs w:val="20"/>
              </w:rPr>
              <w:t>表</w:t>
            </w:r>
          </w:p>
        </w:tc>
      </w:tr>
      <w:tr>
        <w:tblPrEx>
          <w:tblCellMar>
            <w:top w:w="0" w:type="dxa"/>
            <w:left w:w="0" w:type="dxa"/>
            <w:bottom w:w="0" w:type="dxa"/>
            <w:right w:w="0" w:type="dxa"/>
          </w:tblCellMar>
        </w:tblPrEx>
        <w:trPr>
          <w:trHeight w:val="520" w:hRule="atLeast"/>
        </w:trPr>
        <w:tc>
          <w:tcPr>
            <w:tcW w:w="8058" w:type="dxa"/>
            <w:gridSpan w:val="5"/>
            <w:vMerge w:val="continue"/>
            <w:tcBorders>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418"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87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3463"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492"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515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w:t>
            </w:r>
          </w:p>
        </w:tc>
        <w:tc>
          <w:tcPr>
            <w:tcW w:w="10151" w:type="dxa"/>
            <w:gridSpan w:val="6"/>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80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809"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eastAsia="zh-CN"/>
              </w:rPr>
              <w:t>经济</w:t>
            </w:r>
            <w:r>
              <w:rPr>
                <w:rFonts w:cs="宋体"/>
                <w:b/>
                <w:color w:val="000000"/>
                <w:sz w:val="18"/>
                <w:szCs w:val="18"/>
              </w:rPr>
              <w:t>分类科目）</w:t>
            </w:r>
          </w:p>
        </w:tc>
        <w:tc>
          <w:tcPr>
            <w:tcW w:w="154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87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203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eastAsia="zh-CN"/>
              </w:rPr>
              <w:t>经济</w:t>
            </w:r>
            <w:r>
              <w:rPr>
                <w:rFonts w:cs="宋体"/>
                <w:b/>
                <w:color w:val="000000"/>
                <w:sz w:val="18"/>
                <w:szCs w:val="18"/>
              </w:rPr>
              <w:t>分类科目）</w:t>
            </w:r>
          </w:p>
        </w:tc>
        <w:tc>
          <w:tcPr>
            <w:tcW w:w="1418"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87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eastAsia="zh-CN"/>
              </w:rPr>
              <w:t>经济</w:t>
            </w:r>
            <w:r>
              <w:rPr>
                <w:rFonts w:cs="宋体"/>
                <w:b/>
                <w:color w:val="000000"/>
                <w:sz w:val="18"/>
                <w:szCs w:val="18"/>
              </w:rPr>
              <w:t>分类科目）</w:t>
            </w:r>
          </w:p>
        </w:tc>
        <w:tc>
          <w:tcPr>
            <w:tcW w:w="1492"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80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809"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154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87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03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1418"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87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1492"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301</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工资福利支出</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231.21</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302</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商品和服务支出</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25.94</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310</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资本性支出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30101</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基本工资</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74.25</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30201</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4.41</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31001</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房屋建筑物购建</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30102</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津贴补贴</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25.47</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30202</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印刷费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31002</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办公设备购置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30103</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53.93</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30203</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咨询费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31003</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专用设备购置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30106</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伙食补助费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30204</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手续费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31005</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基础设施建设</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30107</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绩效工资</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30205</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水费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0.07</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31006</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大型修缮</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30108</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25.23</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30206</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电费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1.79</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31007</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30109</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职业年金缴费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12.61</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30207</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邮电费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2.34</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31008</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物资储备</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30110</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13.42</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30208</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取暖费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31009</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土地补偿</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30111</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30209</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物业管理费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31010</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安置补助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30112</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其他社会保障缴费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2.82</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30211</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差旅费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0.46</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31011</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30113</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住房公积金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21.23</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30212</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因公出国（境）费用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31012</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拆迁补偿</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30114</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2.24</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30213</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维修（护）费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31013</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30199</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其他工资福利支出</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30214</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租赁费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31019</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其他交通工具购置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303</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对个人和家庭的补助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30215</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会议费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31021</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文物和陈列品购置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30301</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离休费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30216</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培训费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31022</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无形资产购置</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30302</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退休费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30217</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公务接待费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0.29</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31099</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其他资本性支出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30303</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退职（役）费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30218</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专用材料费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312</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对企业补助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30304</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抚恤金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30224</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被装购置费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31201</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资本金注入</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30305</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生活补助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30225</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专用燃料费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31203</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30306</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救济费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30226</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劳务费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31204</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费用补贴</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30307</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30227</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委托业务费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31205</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利息补贴</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30308</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助学金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30228</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工会经费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2.54</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31206</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30309</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奖励金</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30229</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福利费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0.97</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31299</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其他对企业补助</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30310</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个人农业生产补贴</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30231</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4.20</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399</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其他支出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30311</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代缴社会保险费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30239</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6.59</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39907</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国家赔偿费用支出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30399</w:t>
            </w: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30240</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税金及附加费用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39908</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30299</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2.29</w:t>
            </w: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39909</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经常性赠与</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307</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债务利息及费用支出</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39910</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资本性赠与</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30701</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国内债务付息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39999</w:t>
            </w: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其他支出</w:t>
            </w: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30702</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国外债务付息</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30703</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国内债务发行费用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155"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5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30704</w:t>
            </w:r>
          </w:p>
        </w:tc>
        <w:tc>
          <w:tcPr>
            <w:tcW w:w="2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国外债务发行费用</w:t>
            </w:r>
          </w:p>
        </w:tc>
        <w:tc>
          <w:tcPr>
            <w:tcW w:w="1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8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3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4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310" w:hRule="atLeast"/>
        </w:trPr>
        <w:tc>
          <w:tcPr>
            <w:tcW w:w="3612"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人员经费合计</w:t>
            </w:r>
          </w:p>
        </w:tc>
        <w:tc>
          <w:tcPr>
            <w:tcW w:w="15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231.21</w:t>
            </w:r>
            <w:r>
              <w:rPr>
                <w:rFonts w:ascii="Times New Roman" w:hAnsi="Times New Roman"/>
                <w:color w:val="000000"/>
                <w:sz w:val="18"/>
                <w:u w:color="auto"/>
              </w:rPr>
              <w:t xml:space="preserve"> </w:t>
            </w:r>
          </w:p>
        </w:tc>
        <w:tc>
          <w:tcPr>
            <w:tcW w:w="8659" w:type="dxa"/>
            <w:gridSpan w:val="5"/>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公用经费合计</w:t>
            </w:r>
          </w:p>
        </w:tc>
        <w:tc>
          <w:tcPr>
            <w:tcW w:w="14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25.94</w:t>
            </w:r>
            <w:r>
              <w:rPr>
                <w:rFonts w:ascii="Times New Roman" w:hAnsi="Times New Roman"/>
                <w:color w:val="000000"/>
                <w:sz w:val="18"/>
                <w:u w:color="auto"/>
              </w:rPr>
              <w:t xml:space="preserve"> </w:t>
            </w:r>
          </w:p>
        </w:tc>
      </w:tr>
    </w:tbl>
    <w:p>
      <w:pPr>
        <w:keepNext w:val="0"/>
        <w:keepLines w:val="0"/>
        <w:pageBreakBefore w:val="0"/>
        <w:widowControl/>
        <w:kinsoku/>
        <w:wordWrap/>
        <w:overflowPunct/>
        <w:topLinePunct w:val="0"/>
        <w:autoSpaceDE/>
        <w:autoSpaceDN/>
        <w:bidi w:val="0"/>
        <w:adjustRightInd/>
        <w:snapToGrid/>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15322" w:type="dxa"/>
        <w:tblInd w:w="0" w:type="dxa"/>
        <w:tblLayout w:type="fixed"/>
        <w:tblCellMar>
          <w:top w:w="0" w:type="dxa"/>
          <w:left w:w="0" w:type="dxa"/>
          <w:bottom w:w="0" w:type="dxa"/>
          <w:right w:w="0" w:type="dxa"/>
        </w:tblCellMar>
      </w:tblPr>
      <w:tblGrid>
        <w:gridCol w:w="1320"/>
        <w:gridCol w:w="3594"/>
        <w:gridCol w:w="1701"/>
        <w:gridCol w:w="1701"/>
        <w:gridCol w:w="1701"/>
        <w:gridCol w:w="1701"/>
        <w:gridCol w:w="1765"/>
        <w:gridCol w:w="1839"/>
      </w:tblGrid>
      <w:tr>
        <w:tblPrEx>
          <w:tblCellMar>
            <w:top w:w="0" w:type="dxa"/>
            <w:left w:w="0" w:type="dxa"/>
            <w:bottom w:w="0" w:type="dxa"/>
            <w:right w:w="0" w:type="dxa"/>
          </w:tblCellMar>
        </w:tblPrEx>
        <w:trPr>
          <w:trHeight w:val="644" w:hRule="atLeast"/>
        </w:trPr>
        <w:tc>
          <w:tcPr>
            <w:tcW w:w="15322"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6615" w:type="dxa"/>
            <w:gridSpan w:val="3"/>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丰都县林业行政执法支队</w:t>
            </w: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3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07</w:t>
            </w:r>
            <w:r>
              <w:rPr>
                <w:rFonts w:cs="宋体"/>
                <w:color w:val="000000"/>
                <w:sz w:val="20"/>
                <w:szCs w:val="20"/>
              </w:rPr>
              <w:t>表</w:t>
            </w:r>
          </w:p>
        </w:tc>
      </w:tr>
      <w:tr>
        <w:tblPrEx>
          <w:tblCellMar>
            <w:top w:w="0" w:type="dxa"/>
            <w:left w:w="0" w:type="dxa"/>
            <w:bottom w:w="0" w:type="dxa"/>
            <w:right w:w="0" w:type="dxa"/>
          </w:tblCellMar>
        </w:tblPrEx>
        <w:trPr>
          <w:trHeight w:val="329" w:hRule="atLeast"/>
        </w:trPr>
        <w:tc>
          <w:tcPr>
            <w:tcW w:w="6615"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01"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765" w:type="dxa"/>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1839"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491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170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17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5167" w:type="dxa"/>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183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13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59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765"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13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59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01"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765"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83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4914" w:type="dxa"/>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8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9" w:hRule="atLeast"/>
        </w:trPr>
        <w:tc>
          <w:tcPr>
            <w:tcW w:w="132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p>
        </w:tc>
        <w:tc>
          <w:tcPr>
            <w:tcW w:w="35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both"/>
              <w:textAlignment w:val="center"/>
              <w:rPr>
                <w:rFonts w:hint="default" w:cs="宋体"/>
                <w:color w:val="000000"/>
                <w:sz w:val="20"/>
                <w:szCs w:val="20"/>
              </w:rPr>
            </w:pP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0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76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8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10"/>
        <w:tblW w:w="15322" w:type="dxa"/>
        <w:tblInd w:w="0" w:type="dxa"/>
        <w:tblLayout w:type="fixed"/>
        <w:tblCellMar>
          <w:top w:w="0" w:type="dxa"/>
          <w:left w:w="0" w:type="dxa"/>
          <w:bottom w:w="0" w:type="dxa"/>
          <w:right w:w="0" w:type="dxa"/>
        </w:tblCellMar>
      </w:tblPr>
      <w:tblGrid>
        <w:gridCol w:w="1293"/>
        <w:gridCol w:w="3616"/>
        <w:gridCol w:w="3273"/>
        <w:gridCol w:w="190"/>
        <w:gridCol w:w="3463"/>
        <w:gridCol w:w="86"/>
        <w:gridCol w:w="3401"/>
      </w:tblGrid>
      <w:tr>
        <w:tblPrEx>
          <w:tblCellMar>
            <w:top w:w="0" w:type="dxa"/>
            <w:left w:w="0" w:type="dxa"/>
            <w:bottom w:w="0" w:type="dxa"/>
            <w:right w:w="0" w:type="dxa"/>
          </w:tblCellMar>
        </w:tblPrEx>
        <w:trPr>
          <w:trHeight w:val="650" w:hRule="atLeast"/>
        </w:trPr>
        <w:tc>
          <w:tcPr>
            <w:tcW w:w="15322" w:type="dxa"/>
            <w:gridSpan w:val="7"/>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8182" w:type="dxa"/>
            <w:gridSpan w:val="3"/>
            <w:vMerge w:val="restart"/>
            <w:tcBorders>
              <w:top w:val="nil"/>
              <w:left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丰都县林业行政执法支队</w:t>
            </w:r>
          </w:p>
        </w:tc>
        <w:tc>
          <w:tcPr>
            <w:tcW w:w="3739"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40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08</w:t>
            </w:r>
            <w:r>
              <w:rPr>
                <w:rFonts w:cs="宋体"/>
                <w:color w:val="000000"/>
                <w:sz w:val="20"/>
                <w:szCs w:val="20"/>
              </w:rPr>
              <w:t>表</w:t>
            </w:r>
          </w:p>
        </w:tc>
      </w:tr>
      <w:tr>
        <w:tblPrEx>
          <w:tblCellMar>
            <w:top w:w="0" w:type="dxa"/>
            <w:left w:w="0" w:type="dxa"/>
            <w:bottom w:w="0" w:type="dxa"/>
            <w:right w:w="0" w:type="dxa"/>
          </w:tblCellMar>
        </w:tblPrEx>
        <w:trPr>
          <w:trHeight w:val="332" w:hRule="atLeast"/>
        </w:trPr>
        <w:tc>
          <w:tcPr>
            <w:tcW w:w="8182" w:type="dxa"/>
            <w:gridSpan w:val="3"/>
            <w:vMerge w:val="continue"/>
            <w:tcBorders>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739" w:type="dxa"/>
            <w:gridSpan w:val="3"/>
            <w:tcBorders>
              <w:top w:val="nil"/>
              <w:left w:val="nil"/>
              <w:bottom w:val="nil"/>
              <w:right w:val="nil"/>
            </w:tcBorders>
            <w:shd w:val="clear" w:color="auto" w:fill="auto"/>
            <w:tcMar>
              <w:top w:w="15" w:type="dxa"/>
              <w:left w:w="15" w:type="dxa"/>
              <w:right w:w="15" w:type="dxa"/>
            </w:tcMar>
            <w:vAlign w:val="bottom"/>
          </w:tcPr>
          <w:p>
            <w:pPr>
              <w:rPr>
                <w:rFonts w:hint="default" w:cs="宋体"/>
                <w:color w:val="000000"/>
                <w:sz w:val="20"/>
                <w:szCs w:val="20"/>
              </w:rPr>
            </w:pPr>
          </w:p>
        </w:tc>
        <w:tc>
          <w:tcPr>
            <w:tcW w:w="3401" w:type="dxa"/>
            <w:tcBorders>
              <w:top w:val="nil"/>
              <w:left w:val="nil"/>
              <w:bottom w:val="nil"/>
              <w:right w:val="nil"/>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10413"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129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3616"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3463" w:type="dxa"/>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3487" w:type="dxa"/>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129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616"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63" w:type="dxa"/>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3487" w:type="dxa"/>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490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346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3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b/>
                <w:color w:val="000000"/>
                <w:sz w:val="20"/>
                <w:szCs w:val="20"/>
              </w:rPr>
            </w:pPr>
          </w:p>
        </w:tc>
        <w:tc>
          <w:tcPr>
            <w:tcW w:w="348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488" w:hRule="atLeast"/>
        </w:trPr>
        <w:tc>
          <w:tcPr>
            <w:tcW w:w="1293"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p>
        </w:tc>
        <w:tc>
          <w:tcPr>
            <w:tcW w:w="36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0"/>
                <w:szCs w:val="20"/>
              </w:rPr>
            </w:pPr>
          </w:p>
        </w:tc>
        <w:tc>
          <w:tcPr>
            <w:tcW w:w="3463"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34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Times New Roman" w:hAnsi="Times New Roman"/>
                <w:b/>
                <w:color w:val="000000"/>
                <w:sz w:val="20"/>
                <w:szCs w:val="20"/>
              </w:rPr>
            </w:pPr>
          </w:p>
        </w:tc>
        <w:tc>
          <w:tcPr>
            <w:tcW w:w="3487" w:type="dxa"/>
            <w:gridSpan w:val="2"/>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10"/>
        <w:tblW w:w="14131" w:type="dxa"/>
        <w:tblInd w:w="0" w:type="dxa"/>
        <w:tblLayout w:type="fixed"/>
        <w:tblCellMar>
          <w:top w:w="0" w:type="dxa"/>
          <w:left w:w="170" w:type="dxa"/>
          <w:bottom w:w="0" w:type="dxa"/>
          <w:right w:w="170" w:type="dxa"/>
        </w:tblCellMar>
      </w:tblPr>
      <w:tblGrid>
        <w:gridCol w:w="3179"/>
        <w:gridCol w:w="2416"/>
        <w:gridCol w:w="2375"/>
        <w:gridCol w:w="3674"/>
        <w:gridCol w:w="2487"/>
      </w:tblGrid>
      <w:tr>
        <w:tblPrEx>
          <w:tblCellMar>
            <w:top w:w="0" w:type="dxa"/>
            <w:left w:w="170" w:type="dxa"/>
            <w:bottom w:w="0" w:type="dxa"/>
            <w:right w:w="170" w:type="dxa"/>
          </w:tblCellMar>
        </w:tblPrEx>
        <w:trPr>
          <w:trHeight w:val="343" w:hRule="atLeast"/>
        </w:trPr>
        <w:tc>
          <w:tcPr>
            <w:tcW w:w="14131" w:type="dxa"/>
            <w:gridSpan w:val="5"/>
            <w:shd w:val="clear" w:color="auto" w:fill="auto"/>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CellMar>
            <w:top w:w="0" w:type="dxa"/>
            <w:left w:w="170" w:type="dxa"/>
            <w:bottom w:w="0" w:type="dxa"/>
            <w:right w:w="170" w:type="dxa"/>
          </w:tblCellMar>
        </w:tblPrEx>
        <w:trPr>
          <w:trHeight w:val="244" w:hRule="atLeast"/>
        </w:trPr>
        <w:tc>
          <w:tcPr>
            <w:tcW w:w="3179" w:type="dxa"/>
            <w:shd w:val="clear" w:color="auto" w:fill="auto"/>
            <w:tcMar>
              <w:top w:w="15" w:type="dxa"/>
              <w:left w:w="15" w:type="dxa"/>
              <w:right w:w="15" w:type="dxa"/>
            </w:tcMar>
            <w:vAlign w:val="bottom"/>
          </w:tcPr>
          <w:p>
            <w:pPr>
              <w:spacing w:line="280" w:lineRule="exact"/>
              <w:rPr>
                <w:rFonts w:hint="default" w:cs="宋体"/>
                <w:color w:val="000000"/>
                <w:kern w:val="2"/>
                <w:sz w:val="20"/>
                <w:szCs w:val="20"/>
              </w:rPr>
            </w:pPr>
          </w:p>
        </w:tc>
        <w:tc>
          <w:tcPr>
            <w:tcW w:w="2416" w:type="dxa"/>
            <w:shd w:val="clear" w:color="auto" w:fill="auto"/>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2375" w:type="dxa"/>
            <w:shd w:val="clear" w:color="auto" w:fill="auto"/>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674" w:type="dxa"/>
            <w:shd w:val="clear" w:color="auto" w:fill="auto"/>
            <w:tcMar>
              <w:top w:w="15" w:type="dxa"/>
              <w:left w:w="15" w:type="dxa"/>
              <w:right w:w="15" w:type="dxa"/>
            </w:tcMar>
            <w:vAlign w:val="bottom"/>
          </w:tcPr>
          <w:p>
            <w:pPr>
              <w:spacing w:line="280" w:lineRule="exact"/>
              <w:rPr>
                <w:rFonts w:hint="default" w:cs="宋体"/>
                <w:color w:val="000000"/>
                <w:kern w:val="2"/>
                <w:sz w:val="20"/>
                <w:szCs w:val="20"/>
              </w:rPr>
            </w:pPr>
          </w:p>
        </w:tc>
        <w:tc>
          <w:tcPr>
            <w:tcW w:w="2487" w:type="dxa"/>
            <w:shd w:val="clear" w:color="auto" w:fill="auto"/>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tblPrEx>
          <w:tblCellMar>
            <w:top w:w="0" w:type="dxa"/>
            <w:left w:w="170" w:type="dxa"/>
            <w:bottom w:w="0" w:type="dxa"/>
            <w:right w:w="170" w:type="dxa"/>
          </w:tblCellMar>
        </w:tblPrEx>
        <w:trPr>
          <w:trHeight w:val="244" w:hRule="atLeast"/>
        </w:trPr>
        <w:tc>
          <w:tcPr>
            <w:tcW w:w="5595" w:type="dxa"/>
            <w:gridSpan w:val="2"/>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000000"/>
                <w:kern w:val="2"/>
                <w:sz w:val="20"/>
                <w:szCs w:val="20"/>
              </w:rPr>
            </w:pPr>
            <w:r>
              <w:rPr>
                <w:rFonts w:hint="eastAsia" w:cs="宋体"/>
                <w:kern w:val="2"/>
                <w:sz w:val="20"/>
                <w:szCs w:val="20"/>
                <w:lang w:eastAsia="zh-CN"/>
              </w:rPr>
              <w:t>单位</w:t>
            </w:r>
            <w:r>
              <w:rPr>
                <w:rFonts w:cs="宋体"/>
                <w:color w:val="000000"/>
                <w:kern w:val="2"/>
                <w:sz w:val="20"/>
                <w:szCs w:val="20"/>
              </w:rPr>
              <w:t>：</w:t>
            </w:r>
            <w:r>
              <w:rPr>
                <w:color w:val="000000"/>
                <w:sz w:val="20"/>
                <w:u w:color="auto"/>
              </w:rPr>
              <w:t>丰都县林业行政执法支队</w:t>
            </w:r>
          </w:p>
        </w:tc>
        <w:tc>
          <w:tcPr>
            <w:tcW w:w="2375"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rPr>
                <w:rFonts w:hint="default" w:cs="宋体"/>
                <w:color w:val="000000"/>
                <w:kern w:val="2"/>
                <w:sz w:val="20"/>
                <w:szCs w:val="20"/>
              </w:rPr>
            </w:pPr>
          </w:p>
        </w:tc>
        <w:tc>
          <w:tcPr>
            <w:tcW w:w="3674"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rPr>
                <w:rFonts w:hint="default" w:cs="宋体"/>
                <w:color w:val="000000"/>
                <w:kern w:val="2"/>
                <w:sz w:val="20"/>
                <w:szCs w:val="20"/>
              </w:rPr>
            </w:pPr>
          </w:p>
        </w:tc>
        <w:tc>
          <w:tcPr>
            <w:tcW w:w="2487" w:type="dxa"/>
            <w:tcBorders>
              <w:top w:val="nil"/>
              <w:left w:val="nil"/>
              <w:bottom w:val="single" w:color="auto" w:sz="4" w:space="0"/>
              <w:right w:val="nil"/>
            </w:tcBorders>
            <w:shd w:val="clear" w:color="auto" w:fill="auto"/>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CellMar>
            <w:top w:w="0" w:type="dxa"/>
            <w:left w:w="170" w:type="dxa"/>
            <w:bottom w:w="0" w:type="dxa"/>
            <w:right w:w="170" w:type="dxa"/>
          </w:tblCellMar>
        </w:tblPrEx>
        <w:trPr>
          <w:trHeight w:val="28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CellMar>
            <w:top w:w="0" w:type="dxa"/>
            <w:left w:w="170" w:type="dxa"/>
            <w:bottom w:w="0" w:type="dxa"/>
            <w:right w:w="170" w:type="dxa"/>
          </w:tblCellMar>
        </w:tblPrEx>
        <w:trPr>
          <w:trHeight w:val="28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25.94</w:t>
            </w: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4.49</w:t>
            </w: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4.49</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25.94</w:t>
            </w: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4.20</w:t>
            </w: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4.20</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4.20</w:t>
            </w: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4.20</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0.29</w:t>
            </w:r>
            <w:r>
              <w:rPr>
                <w:rFonts w:ascii="Times New Roman" w:hAnsi="Times New Roman"/>
                <w:color w:val="000000"/>
                <w:sz w:val="18"/>
                <w:u w:color="auto"/>
              </w:rPr>
              <w:t xml:space="preserve"> </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0.29</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0.29</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7</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36</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86"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tblPrEx>
          <w:tblCellMar>
            <w:top w:w="0" w:type="dxa"/>
            <w:left w:w="170" w:type="dxa"/>
            <w:bottom w:w="0" w:type="dxa"/>
            <w:right w:w="170" w:type="dxa"/>
          </w:tblCellMar>
        </w:tblPrEx>
        <w:trPr>
          <w:trHeight w:val="389"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tblPrEx>
          <w:tblCellMar>
            <w:top w:w="0" w:type="dxa"/>
            <w:left w:w="170" w:type="dxa"/>
            <w:bottom w:w="0" w:type="dxa"/>
            <w:right w:w="170" w:type="dxa"/>
          </w:tblCellMar>
        </w:tblPrEx>
        <w:trPr>
          <w:trHeight w:val="389" w:hRule="atLeast"/>
        </w:trPr>
        <w:tc>
          <w:tcPr>
            <w:tcW w:w="31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24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237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0.46</w:t>
            </w:r>
            <w:r>
              <w:rPr>
                <w:rFonts w:ascii="Times New Roman" w:hAnsi="Times New Roman"/>
                <w:color w:val="000000"/>
                <w:sz w:val="18"/>
                <w:u w:color="auto"/>
              </w:rPr>
              <w:t xml:space="preserve"> </w:t>
            </w:r>
          </w:p>
        </w:tc>
        <w:tc>
          <w:tcPr>
            <w:tcW w:w="367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sz w:val="16"/>
                <w:szCs w:val="16"/>
              </w:rPr>
            </w:pPr>
          </w:p>
        </w:tc>
        <w:tc>
          <w:tcPr>
            <w:tcW w:w="248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sz w:val="16"/>
                <w:szCs w:val="16"/>
              </w:rPr>
            </w:pPr>
          </w:p>
        </w:tc>
      </w:tr>
    </w:tbl>
    <w:p>
      <w:pPr>
        <w:rPr>
          <w:rFonts w:hint="default"/>
          <w:sz w:val="18"/>
          <w:szCs w:val="18"/>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default"/>
      </w:rPr>
    </w:pPr>
    <w:r>
      <w:rPr>
        <w:rFonts w:hint="default"/>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rPr>
                              <w:rFonts w:hint="default"/>
                            </w:rPr>
                          </w:pPr>
                          <w:r>
                            <w:fldChar w:fldCharType="begin"/>
                          </w:r>
                          <w:r>
                            <w:instrText xml:space="preserve"> PAGE  \* MERGEFORMAT </w:instrText>
                          </w:r>
                          <w:r>
                            <w:fldChar w:fldCharType="separate"/>
                          </w:r>
                          <w:r>
                            <w:rPr>
                              <w:rFonts w:hint="default"/>
                            </w:rPr>
                            <w:t>- 19 -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6"/>
                      <w:rPr>
                        <w:rFonts w:hint="default"/>
                      </w:rPr>
                    </w:pPr>
                    <w:r>
                      <w:fldChar w:fldCharType="begin"/>
                    </w:r>
                    <w:r>
                      <w:instrText xml:space="preserve"> PAGE  \* MERGEFORMAT </w:instrText>
                    </w:r>
                    <w:r>
                      <w:fldChar w:fldCharType="separate"/>
                    </w:r>
                    <w:r>
                      <w:rPr>
                        <w:rFonts w:hint="default"/>
                      </w:rPr>
                      <w:t>- 19 -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both"/>
      <w:rPr>
        <w:rFonts w:hint="default"/>
      </w:rPr>
    </w:pPr>
    <w:r>
      <w:rPr>
        <w:rFonts w:hint="default"/>
      </w:rPr>
      <mc:AlternateContent>
        <mc:Choice Requires="wps">
          <w:drawing>
            <wp:anchor distT="0" distB="0" distL="114300" distR="114300" simplePos="0" relativeHeight="251661312"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31 -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pPr>
                      <w:pStyle w:val="6"/>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31 -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6"/>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60288;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pPr>
                      <w:pStyle w:val="6"/>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ZkYzUxMWVlZTQ4NmU5OWNmODNiNTE4NWY2YTlhMmQifQ=="/>
  </w:docVars>
  <w:rsids>
    <w:rsidRoot w:val="00B03CCD"/>
    <w:rsid w:val="000239C6"/>
    <w:rsid w:val="001D3BB7"/>
    <w:rsid w:val="002B254B"/>
    <w:rsid w:val="0034050A"/>
    <w:rsid w:val="0044504F"/>
    <w:rsid w:val="00466C9B"/>
    <w:rsid w:val="00486CFC"/>
    <w:rsid w:val="00491DDD"/>
    <w:rsid w:val="00550ABE"/>
    <w:rsid w:val="00623A85"/>
    <w:rsid w:val="00770383"/>
    <w:rsid w:val="007819D4"/>
    <w:rsid w:val="007B419D"/>
    <w:rsid w:val="007B7C4B"/>
    <w:rsid w:val="007D3D39"/>
    <w:rsid w:val="00984C6A"/>
    <w:rsid w:val="00994AF7"/>
    <w:rsid w:val="009B67B8"/>
    <w:rsid w:val="009C14C9"/>
    <w:rsid w:val="009D2B67"/>
    <w:rsid w:val="009E1452"/>
    <w:rsid w:val="00A566F9"/>
    <w:rsid w:val="00AF2751"/>
    <w:rsid w:val="00B03CCD"/>
    <w:rsid w:val="00BE2B89"/>
    <w:rsid w:val="00BF0D89"/>
    <w:rsid w:val="00C10E9E"/>
    <w:rsid w:val="00C20C3E"/>
    <w:rsid w:val="00C5163E"/>
    <w:rsid w:val="00CF2ACF"/>
    <w:rsid w:val="00D03AAF"/>
    <w:rsid w:val="00DD0539"/>
    <w:rsid w:val="00E07662"/>
    <w:rsid w:val="00E368E9"/>
    <w:rsid w:val="00EE1E33"/>
    <w:rsid w:val="00F73F90"/>
    <w:rsid w:val="00FB4B3B"/>
    <w:rsid w:val="01474EBF"/>
    <w:rsid w:val="01F3521E"/>
    <w:rsid w:val="02130AF6"/>
    <w:rsid w:val="03507FCC"/>
    <w:rsid w:val="03B87EA0"/>
    <w:rsid w:val="03E3214F"/>
    <w:rsid w:val="044C50BA"/>
    <w:rsid w:val="05BC6D49"/>
    <w:rsid w:val="06194FF1"/>
    <w:rsid w:val="06A2550B"/>
    <w:rsid w:val="06F80EE2"/>
    <w:rsid w:val="07001CCA"/>
    <w:rsid w:val="075678DB"/>
    <w:rsid w:val="077B465F"/>
    <w:rsid w:val="079D7CC7"/>
    <w:rsid w:val="08051BCA"/>
    <w:rsid w:val="086C12F4"/>
    <w:rsid w:val="08705944"/>
    <w:rsid w:val="08BA052C"/>
    <w:rsid w:val="08DB07BA"/>
    <w:rsid w:val="0969353F"/>
    <w:rsid w:val="098305D0"/>
    <w:rsid w:val="09B1218B"/>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370EA1"/>
    <w:rsid w:val="14C96230"/>
    <w:rsid w:val="163A6CEE"/>
    <w:rsid w:val="173708E3"/>
    <w:rsid w:val="17C374FC"/>
    <w:rsid w:val="182E4AB6"/>
    <w:rsid w:val="189079DC"/>
    <w:rsid w:val="189B0D0B"/>
    <w:rsid w:val="18B43F7C"/>
    <w:rsid w:val="191C433B"/>
    <w:rsid w:val="194A1770"/>
    <w:rsid w:val="19B906A4"/>
    <w:rsid w:val="1B6F15B6"/>
    <w:rsid w:val="1BAA2EDC"/>
    <w:rsid w:val="1CA55E64"/>
    <w:rsid w:val="1D014A01"/>
    <w:rsid w:val="1D022362"/>
    <w:rsid w:val="1D1B04B0"/>
    <w:rsid w:val="1D7136A6"/>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2AD3177"/>
    <w:rsid w:val="235417B6"/>
    <w:rsid w:val="24B92327"/>
    <w:rsid w:val="24C14514"/>
    <w:rsid w:val="2533755C"/>
    <w:rsid w:val="25791755"/>
    <w:rsid w:val="26396DF4"/>
    <w:rsid w:val="27167136"/>
    <w:rsid w:val="271B442C"/>
    <w:rsid w:val="27B23302"/>
    <w:rsid w:val="29310A5F"/>
    <w:rsid w:val="29C37A35"/>
    <w:rsid w:val="2A076083"/>
    <w:rsid w:val="2A73162E"/>
    <w:rsid w:val="2B167953"/>
    <w:rsid w:val="2B200583"/>
    <w:rsid w:val="2B2729C0"/>
    <w:rsid w:val="2B8209DE"/>
    <w:rsid w:val="2B821C91"/>
    <w:rsid w:val="2BF81A22"/>
    <w:rsid w:val="2C636760"/>
    <w:rsid w:val="2C6762A3"/>
    <w:rsid w:val="2FCA4B37"/>
    <w:rsid w:val="2FE029D7"/>
    <w:rsid w:val="2FF06E00"/>
    <w:rsid w:val="30586FEC"/>
    <w:rsid w:val="315F0B22"/>
    <w:rsid w:val="31A15828"/>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504056"/>
    <w:rsid w:val="3A6A77C9"/>
    <w:rsid w:val="3ADD7F09"/>
    <w:rsid w:val="3B1705E5"/>
    <w:rsid w:val="3B18334B"/>
    <w:rsid w:val="3B36794F"/>
    <w:rsid w:val="3B6F6EE0"/>
    <w:rsid w:val="3C566AD6"/>
    <w:rsid w:val="3C594871"/>
    <w:rsid w:val="3C6A5B02"/>
    <w:rsid w:val="3D083B3A"/>
    <w:rsid w:val="3D2757A1"/>
    <w:rsid w:val="3D3D4FC4"/>
    <w:rsid w:val="3DDF3AB1"/>
    <w:rsid w:val="3E1D0952"/>
    <w:rsid w:val="3E42660A"/>
    <w:rsid w:val="3E7555B1"/>
    <w:rsid w:val="3E787ED9"/>
    <w:rsid w:val="3F032E93"/>
    <w:rsid w:val="3F0527E5"/>
    <w:rsid w:val="3F4C52C6"/>
    <w:rsid w:val="3F694D83"/>
    <w:rsid w:val="3F885DCC"/>
    <w:rsid w:val="3FCD675E"/>
    <w:rsid w:val="4004000C"/>
    <w:rsid w:val="40760DD1"/>
    <w:rsid w:val="40BD5482"/>
    <w:rsid w:val="411B6CE5"/>
    <w:rsid w:val="412070D7"/>
    <w:rsid w:val="41314E40"/>
    <w:rsid w:val="41E0734B"/>
    <w:rsid w:val="426C1EA8"/>
    <w:rsid w:val="42736402"/>
    <w:rsid w:val="42E86A87"/>
    <w:rsid w:val="43307B09"/>
    <w:rsid w:val="439A3EB9"/>
    <w:rsid w:val="43BB152F"/>
    <w:rsid w:val="44C37687"/>
    <w:rsid w:val="45CB699A"/>
    <w:rsid w:val="46423C66"/>
    <w:rsid w:val="465B470D"/>
    <w:rsid w:val="469D6AD4"/>
    <w:rsid w:val="471E6C84"/>
    <w:rsid w:val="4748792B"/>
    <w:rsid w:val="475D719D"/>
    <w:rsid w:val="47674801"/>
    <w:rsid w:val="48225EF7"/>
    <w:rsid w:val="488F422B"/>
    <w:rsid w:val="48E36915"/>
    <w:rsid w:val="48EB6572"/>
    <w:rsid w:val="495C4A24"/>
    <w:rsid w:val="497135DF"/>
    <w:rsid w:val="4A263DF2"/>
    <w:rsid w:val="4A2F278B"/>
    <w:rsid w:val="4A6F6675"/>
    <w:rsid w:val="4B135857"/>
    <w:rsid w:val="4B7951CB"/>
    <w:rsid w:val="4B7C315C"/>
    <w:rsid w:val="4D1F53CA"/>
    <w:rsid w:val="4DAC4ACA"/>
    <w:rsid w:val="4DBE01D2"/>
    <w:rsid w:val="4EFD467F"/>
    <w:rsid w:val="4F0C6BA3"/>
    <w:rsid w:val="4F186D58"/>
    <w:rsid w:val="4FFE7F08"/>
    <w:rsid w:val="504B6EAA"/>
    <w:rsid w:val="50F06B6E"/>
    <w:rsid w:val="51064DCD"/>
    <w:rsid w:val="51D21804"/>
    <w:rsid w:val="52234D33"/>
    <w:rsid w:val="522F6E0C"/>
    <w:rsid w:val="52463BA1"/>
    <w:rsid w:val="52F163D4"/>
    <w:rsid w:val="531A2DB4"/>
    <w:rsid w:val="53741E85"/>
    <w:rsid w:val="53C0244D"/>
    <w:rsid w:val="53DD4D4E"/>
    <w:rsid w:val="53E578CE"/>
    <w:rsid w:val="541330F0"/>
    <w:rsid w:val="54272666"/>
    <w:rsid w:val="543B029D"/>
    <w:rsid w:val="54861779"/>
    <w:rsid w:val="55084A4C"/>
    <w:rsid w:val="552256E1"/>
    <w:rsid w:val="554E5773"/>
    <w:rsid w:val="555829E0"/>
    <w:rsid w:val="555A3CBC"/>
    <w:rsid w:val="5582012B"/>
    <w:rsid w:val="558E4E05"/>
    <w:rsid w:val="55BE2E85"/>
    <w:rsid w:val="56530F5D"/>
    <w:rsid w:val="567700D3"/>
    <w:rsid w:val="56FF7E9E"/>
    <w:rsid w:val="578867FC"/>
    <w:rsid w:val="5842572D"/>
    <w:rsid w:val="5A3B59D6"/>
    <w:rsid w:val="5AD134D8"/>
    <w:rsid w:val="5BF41F67"/>
    <w:rsid w:val="5C263CE4"/>
    <w:rsid w:val="5C5D2777"/>
    <w:rsid w:val="5CF66BF3"/>
    <w:rsid w:val="5D290C69"/>
    <w:rsid w:val="5DA80C2C"/>
    <w:rsid w:val="5F2D4A41"/>
    <w:rsid w:val="60C74F6C"/>
    <w:rsid w:val="61015958"/>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6C2D2F"/>
    <w:rsid w:val="66AF5D7C"/>
    <w:rsid w:val="66EE5541"/>
    <w:rsid w:val="67924660"/>
    <w:rsid w:val="68407834"/>
    <w:rsid w:val="6883293E"/>
    <w:rsid w:val="688412AD"/>
    <w:rsid w:val="68EB1B71"/>
    <w:rsid w:val="696C0310"/>
    <w:rsid w:val="6A6C7940"/>
    <w:rsid w:val="6A9F1565"/>
    <w:rsid w:val="6AAD2300"/>
    <w:rsid w:val="6B474EF5"/>
    <w:rsid w:val="6BC938E5"/>
    <w:rsid w:val="6C0A5AC5"/>
    <w:rsid w:val="6C560CAE"/>
    <w:rsid w:val="6C576495"/>
    <w:rsid w:val="6D903FF5"/>
    <w:rsid w:val="6DA955B8"/>
    <w:rsid w:val="6DE346AB"/>
    <w:rsid w:val="6DE5391A"/>
    <w:rsid w:val="6EFD1324"/>
    <w:rsid w:val="6F5A53AC"/>
    <w:rsid w:val="6FAC003D"/>
    <w:rsid w:val="6FD926BF"/>
    <w:rsid w:val="6FE55E12"/>
    <w:rsid w:val="6FFB2E76"/>
    <w:rsid w:val="708F6F7F"/>
    <w:rsid w:val="70D94BD3"/>
    <w:rsid w:val="71574775"/>
    <w:rsid w:val="71C34D91"/>
    <w:rsid w:val="72DB435C"/>
    <w:rsid w:val="72E2613A"/>
    <w:rsid w:val="72F771F4"/>
    <w:rsid w:val="73934AD2"/>
    <w:rsid w:val="750837F0"/>
    <w:rsid w:val="754758CF"/>
    <w:rsid w:val="75595ECD"/>
    <w:rsid w:val="764F62AB"/>
    <w:rsid w:val="765C45EC"/>
    <w:rsid w:val="768A7619"/>
    <w:rsid w:val="76977C03"/>
    <w:rsid w:val="76BD23AB"/>
    <w:rsid w:val="772E1EBA"/>
    <w:rsid w:val="781926BC"/>
    <w:rsid w:val="796D60A4"/>
    <w:rsid w:val="79A031D5"/>
    <w:rsid w:val="79B47FDF"/>
    <w:rsid w:val="79E569A9"/>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footnote text"/>
    <w:basedOn w:val="1"/>
    <w:next w:val="3"/>
    <w:semiHidden/>
    <w:qFormat/>
    <w:uiPriority w:val="0"/>
    <w:pPr>
      <w:snapToGrid w:val="0"/>
      <w:jc w:val="left"/>
    </w:pPr>
    <w:rPr>
      <w:sz w:val="18"/>
      <w:szCs w:val="18"/>
    </w:rPr>
  </w:style>
  <w:style w:type="paragraph" w:styleId="3">
    <w:name w:val="Body Text First Indent 2"/>
    <w:basedOn w:val="4"/>
    <w:next w:val="1"/>
    <w:unhideWhenUsed/>
    <w:qFormat/>
    <w:uiPriority w:val="99"/>
    <w:pPr>
      <w:ind w:firstLine="420" w:firstLineChars="200"/>
    </w:pPr>
  </w:style>
  <w:style w:type="paragraph" w:styleId="4">
    <w:name w:val="Body Text Indent"/>
    <w:basedOn w:val="1"/>
    <w:next w:val="3"/>
    <w:unhideWhenUsed/>
    <w:qFormat/>
    <w:uiPriority w:val="99"/>
    <w:pPr>
      <w:widowControl/>
      <w:spacing w:after="120"/>
      <w:ind w:left="420" w:leftChars="200"/>
      <w:jc w:val="left"/>
    </w:pPr>
    <w:rPr>
      <w:rFonts w:ascii="宋体" w:hAnsi="宋体" w:eastAsia="宋体" w:cs="宋体"/>
      <w:kern w:val="0"/>
      <w:sz w:val="24"/>
    </w:rPr>
  </w:style>
  <w:style w:type="paragraph" w:styleId="5">
    <w:name w:val="Balloon Text"/>
    <w:basedOn w:val="1"/>
    <w:link w:val="18"/>
    <w:qFormat/>
    <w:uiPriority w:val="0"/>
    <w:rPr>
      <w:sz w:val="18"/>
      <w:szCs w:val="18"/>
    </w:rPr>
  </w:style>
  <w:style w:type="paragraph" w:styleId="6">
    <w:name w:val="footer"/>
    <w:basedOn w:val="1"/>
    <w:qFormat/>
    <w:uiPriority w:val="0"/>
    <w:pPr>
      <w:tabs>
        <w:tab w:val="center" w:pos="4153"/>
        <w:tab w:val="right" w:pos="8306"/>
      </w:tabs>
      <w:snapToGrid w:val="0"/>
    </w:pPr>
    <w:rPr>
      <w:sz w:val="18"/>
      <w:szCs w:val="18"/>
    </w:rPr>
  </w:style>
  <w:style w:type="paragraph" w:styleId="7">
    <w:name w:val="header"/>
    <w:basedOn w:val="1"/>
    <w:qFormat/>
    <w:uiPriority w:val="0"/>
    <w:pPr>
      <w:tabs>
        <w:tab w:val="center" w:pos="4153"/>
        <w:tab w:val="right" w:pos="8306"/>
      </w:tabs>
      <w:snapToGrid w:val="0"/>
      <w:jc w:val="center"/>
    </w:pPr>
    <w:rPr>
      <w:sz w:val="18"/>
      <w:szCs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9">
    <w:name w:val="Normal (Web)"/>
    <w:basedOn w:val="1"/>
    <w:unhideWhenUsed/>
    <w:qFormat/>
    <w:uiPriority w:val="0"/>
    <w:pPr>
      <w:spacing w:before="100" w:beforeAutospacing="1" w:after="100" w:afterAutospacing="1"/>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qFormat/>
    <w:uiPriority w:val="0"/>
    <w:rPr>
      <w:b/>
    </w:rPr>
  </w:style>
  <w:style w:type="paragraph" w:customStyle="1" w:styleId="14">
    <w:name w:val="列出段落1"/>
    <w:basedOn w:val="1"/>
    <w:qFormat/>
    <w:uiPriority w:val="99"/>
    <w:pPr>
      <w:ind w:firstLine="420" w:firstLineChars="200"/>
    </w:pPr>
    <w:rPr>
      <w:rFonts w:hint="default"/>
    </w:rPr>
  </w:style>
  <w:style w:type="paragraph" w:customStyle="1" w:styleId="15">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6">
    <w:name w:val="21"/>
    <w:basedOn w:val="12"/>
    <w:qFormat/>
    <w:uiPriority w:val="0"/>
    <w:rPr>
      <w:rFonts w:hint="default" w:ascii="Wingdings" w:hAnsi="Wingdings" w:cs="Wingdings"/>
      <w:b/>
      <w:bCs/>
    </w:rPr>
  </w:style>
  <w:style w:type="paragraph" w:customStyle="1" w:styleId="17">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8">
    <w:name w:val="批注框文本 Char"/>
    <w:basedOn w:val="12"/>
    <w:link w:val="5"/>
    <w:qFormat/>
    <w:uiPriority w:val="0"/>
    <w:rPr>
      <w:rFonts w:ascii="宋体" w:hAnsi="宋体"/>
      <w:sz w:val="18"/>
      <w:szCs w:val="18"/>
    </w:rPr>
  </w:style>
  <w:style w:type="paragraph" w:customStyle="1" w:styleId="19">
    <w:name w:val="List Paragraph"/>
    <w:basedOn w:val="1"/>
    <w:qFormat/>
    <w:uiPriority w:val="99"/>
    <w:pPr>
      <w:keepNext w:val="0"/>
      <w:keepLines w:val="0"/>
      <w:widowControl/>
      <w:suppressLineNumbers w:val="0"/>
      <w:spacing w:before="0" w:beforeAutospacing="0" w:after="0" w:afterAutospacing="0"/>
      <w:ind w:left="0" w:right="0" w:firstLine="420" w:firstLineChars="20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9266</Words>
  <Characters>11576</Characters>
  <Lines>186</Lines>
  <Paragraphs>52</Paragraphs>
  <TotalTime>16</TotalTime>
  <ScaleCrop>false</ScaleCrop>
  <LinksUpToDate>false</LinksUpToDate>
  <CharactersWithSpaces>12567</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格子</cp:lastModifiedBy>
  <dcterms:modified xsi:type="dcterms:W3CDTF">2025-09-16T08:23:02Z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BB46EABDBB2749749395447164B066B3_12</vt:lpwstr>
  </property>
  <property fmtid="{D5CDD505-2E9C-101B-9397-08002B2CF9AE}" pid="4" name="KSOTemplateDocerSaveRecord">
    <vt:lpwstr>eyJoZGlkIjoiMjk0MDk5ZTVmNTUzMGM4OTc5MDViZWFmMzJhYzYwYzciLCJ1c2VySWQiOiIxNzI0OTU2NzM3In0=</vt:lpwstr>
  </property>
</Properties>
</file>