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丰都县楠木林场</w:t>
      </w:r>
    </w:p>
    <w:p>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shd w:val="clear" w:color="auto" w:fill="FFFFFF"/>
        <w:spacing w:before="0" w:beforeAutospacing="0" w:after="0" w:afterAutospacing="0" w:line="596" w:lineRule="exact"/>
        <w:ind w:firstLine="643" w:firstLineChars="200"/>
        <w:rPr>
          <w:rStyle w:val="13"/>
          <w:rFonts w:ascii="黑体" w:hAnsi="黑体" w:eastAsia="黑体" w:cs="黑体"/>
          <w:sz w:val="32"/>
          <w:szCs w:val="32"/>
          <w:shd w:val="clear" w:color="auto" w:fill="FFFFFF"/>
        </w:rPr>
      </w:pPr>
    </w:p>
    <w:p>
      <w:pPr>
        <w:pStyle w:val="9"/>
        <w:shd w:val="clear" w:color="auto" w:fill="FFFFFF"/>
        <w:spacing w:before="0" w:beforeAutospacing="0" w:after="0" w:afterAutospacing="0" w:line="596" w:lineRule="exact"/>
        <w:ind w:firstLine="640" w:firstLineChars="200"/>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一、单位基本情况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方正楷体_GBK" w:hAnsi="方正楷体_GBK" w:eastAsia="方正楷体_GBK" w:cs="方正楷体_GBK"/>
          <w:sz w:val="32"/>
          <w:szCs w:val="32"/>
          <w:shd w:val="clear" w:color="auto" w:fill="FFFFFF"/>
          <w:lang w:val="en-US" w:eastAsia="zh-CN" w:bidi="ar-SA"/>
        </w:rPr>
      </w:pPr>
      <w:r>
        <w:rPr>
          <w:rFonts w:hint="default" w:ascii="方正楷体_GBK" w:hAnsi="方正楷体_GBK" w:eastAsia="方正楷体_GBK" w:cs="方正楷体_GBK"/>
          <w:sz w:val="32"/>
          <w:szCs w:val="32"/>
          <w:shd w:val="clear" w:color="auto" w:fill="FFFFFF"/>
          <w:lang w:val="en-US" w:eastAsia="zh-CN" w:bidi="ar-SA"/>
        </w:rPr>
        <w:t>（一）职能职责</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丰都县楠木林场属于财政补助事业单位（公益一类），负责保护培育辖区内国有森林资源，负责管辖森林公园管理，负责辖区内国有林区公路基础设施建设维护和产业发展</w:t>
      </w:r>
      <w:r>
        <w:rPr>
          <w:rFonts w:ascii="Times New Roman" w:hAnsi="Times New Roman" w:eastAsia="方正仿宋_GBK"/>
          <w:sz w:val="32"/>
          <w:szCs w:val="32"/>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方正楷体_GBK" w:hAnsi="方正楷体_GBK" w:eastAsia="方正楷体_GBK" w:cs="方正楷体_GBK"/>
          <w:sz w:val="32"/>
          <w:szCs w:val="32"/>
          <w:shd w:val="clear" w:color="auto" w:fill="FFFFFF"/>
          <w:lang w:val="en-US" w:eastAsia="zh-CN" w:bidi="ar-SA"/>
        </w:rPr>
      </w:pPr>
      <w:r>
        <w:rPr>
          <w:rFonts w:hint="default" w:ascii="方正楷体_GBK" w:hAnsi="方正楷体_GBK" w:eastAsia="方正楷体_GBK" w:cs="方正楷体_GBK"/>
          <w:sz w:val="32"/>
          <w:szCs w:val="32"/>
          <w:shd w:val="clear" w:color="auto" w:fill="FFFFFF"/>
          <w:lang w:val="en-US" w:eastAsia="zh-CN" w:bidi="ar-SA"/>
        </w:rPr>
        <w:t>（二）机构设置</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丰都县楠木</w:t>
      </w:r>
      <w:r>
        <w:rPr>
          <w:rFonts w:hint="default" w:ascii="Times New Roman" w:hAnsi="Times New Roman" w:eastAsia="方正仿宋_GBK"/>
          <w:sz w:val="32"/>
          <w:szCs w:val="32"/>
          <w:shd w:val="clear" w:color="auto" w:fill="FFFFFF"/>
          <w:lang w:val="zh-CN"/>
        </w:rPr>
        <w:t>林场设</w:t>
      </w:r>
      <w:r>
        <w:rPr>
          <w:rFonts w:hint="default" w:ascii="Times New Roman" w:hAnsi="Times New Roman" w:eastAsia="方正仿宋_GBK"/>
          <w:sz w:val="32"/>
          <w:szCs w:val="32"/>
          <w:shd w:val="clear" w:color="auto" w:fill="FFFFFF"/>
        </w:rPr>
        <w:t>综合科、保护管护科、建设发展科</w:t>
      </w:r>
      <w:r>
        <w:rPr>
          <w:rFonts w:hint="default" w:ascii="Times New Roman" w:hAnsi="Times New Roman" w:eastAsia="方正仿宋_GBK"/>
          <w:sz w:val="32"/>
          <w:szCs w:val="32"/>
          <w:shd w:val="clear" w:color="auto" w:fill="FFFFFF"/>
          <w:lang w:val="zh-CN"/>
        </w:rPr>
        <w:t>3个</w:t>
      </w:r>
      <w:r>
        <w:rPr>
          <w:rFonts w:hint="default" w:ascii="Times New Roman" w:hAnsi="Times New Roman" w:eastAsia="方正仿宋_GBK"/>
          <w:sz w:val="32"/>
          <w:szCs w:val="32"/>
          <w:shd w:val="clear" w:color="auto" w:fill="FFFFFF"/>
        </w:rPr>
        <w:t>内设机构，下设世坪、楠木、太运、凉磉蹬、瓦屋山、英雄山6个管护站。现有职工</w:t>
      </w:r>
      <w:r>
        <w:rPr>
          <w:rFonts w:ascii="Times New Roman" w:hAnsi="Times New Roman" w:eastAsia="方正仿宋_GBK"/>
          <w:sz w:val="32"/>
          <w:szCs w:val="32"/>
          <w:shd w:val="clear" w:color="auto" w:fill="FFFFFF"/>
        </w:rPr>
        <w:t>62</w:t>
      </w:r>
      <w:r>
        <w:rPr>
          <w:rFonts w:hint="default" w:ascii="Times New Roman" w:hAnsi="Times New Roman" w:eastAsia="方正仿宋_GBK"/>
          <w:sz w:val="32"/>
          <w:szCs w:val="32"/>
          <w:shd w:val="clear" w:color="auto" w:fill="FFFFFF"/>
        </w:rPr>
        <w:t>人，其中在职</w:t>
      </w:r>
      <w:r>
        <w:rPr>
          <w:rFonts w:ascii="Times New Roman" w:hAnsi="Times New Roman" w:eastAsia="方正仿宋_GBK"/>
          <w:sz w:val="32"/>
          <w:szCs w:val="32"/>
          <w:shd w:val="clear" w:color="auto" w:fill="FFFFFF"/>
        </w:rPr>
        <w:t>28</w:t>
      </w:r>
      <w:r>
        <w:rPr>
          <w:rFonts w:hint="default" w:ascii="Times New Roman" w:hAnsi="Times New Roman" w:eastAsia="方正仿宋_GBK"/>
          <w:sz w:val="32"/>
          <w:szCs w:val="32"/>
          <w:shd w:val="clear" w:color="auto" w:fill="FFFFFF"/>
        </w:rPr>
        <w:t>人，退休14人，购买服务人员20人。</w:t>
      </w:r>
    </w:p>
    <w:p>
      <w:pPr>
        <w:pStyle w:val="9"/>
        <w:shd w:val="clear" w:color="auto" w:fill="FFFFFF"/>
        <w:spacing w:before="0" w:beforeAutospacing="0" w:after="0" w:afterAutospacing="0" w:line="596" w:lineRule="exact"/>
        <w:ind w:firstLine="640" w:firstLineChars="200"/>
        <w:rPr>
          <w:rStyle w:val="13"/>
          <w:rFonts w:hint="default" w:ascii="方正黑体_GBK" w:hAnsi="方正黑体_GBK" w:eastAsia="方正黑体_GBK" w:cs="方正黑体_GBK"/>
          <w:b w:val="0"/>
          <w:bCs/>
          <w:sz w:val="32"/>
          <w:szCs w:val="32"/>
          <w:shd w:val="clear" w:color="auto" w:fill="FFFFFF"/>
        </w:rPr>
      </w:pPr>
      <w:r>
        <w:rPr>
          <w:rStyle w:val="13"/>
          <w:rFonts w:hint="default" w:ascii="方正黑体_GBK" w:hAnsi="方正黑体_GBK" w:eastAsia="方正黑体_GBK" w:cs="方正黑体_GBK"/>
          <w:b w:val="0"/>
          <w:bCs/>
          <w:sz w:val="32"/>
          <w:szCs w:val="32"/>
          <w:shd w:val="clear" w:color="auto" w:fill="FFFFFF"/>
        </w:rPr>
        <w:t>二、</w:t>
      </w:r>
      <w:r>
        <w:rPr>
          <w:rStyle w:val="13"/>
          <w:rFonts w:hint="eastAsia" w:ascii="方正黑体_GBK" w:hAnsi="方正黑体_GBK" w:eastAsia="方正黑体_GBK" w:cs="方正黑体_GBK"/>
          <w:b w:val="0"/>
          <w:bCs/>
          <w:sz w:val="32"/>
          <w:szCs w:val="32"/>
          <w:shd w:val="clear" w:color="auto" w:fill="FFFFFF"/>
        </w:rPr>
        <w:t>单位</w:t>
      </w:r>
      <w:r>
        <w:rPr>
          <w:rStyle w:val="13"/>
          <w:rFonts w:hint="default" w:ascii="方正黑体_GBK" w:hAnsi="方正黑体_GBK" w:eastAsia="方正黑体_GBK" w:cs="方正黑体_GBK"/>
          <w:b w:val="0"/>
          <w:bCs/>
          <w:sz w:val="32"/>
          <w:szCs w:val="32"/>
          <w:shd w:val="clear" w:color="auto" w:fill="FFFFFF"/>
        </w:rPr>
        <w:t>决算</w:t>
      </w:r>
      <w:r>
        <w:rPr>
          <w:rStyle w:val="13"/>
          <w:rFonts w:hint="eastAsia" w:ascii="方正黑体_GBK" w:hAnsi="方正黑体_GBK" w:eastAsia="方正黑体_GBK" w:cs="方正黑体_GBK"/>
          <w:b w:val="0"/>
          <w:bCs/>
          <w:sz w:val="32"/>
          <w:szCs w:val="32"/>
          <w:shd w:val="clear" w:color="auto" w:fill="FFFFFF"/>
        </w:rPr>
        <w:t>收支</w:t>
      </w:r>
      <w:r>
        <w:rPr>
          <w:rStyle w:val="13"/>
          <w:rFonts w:hint="default" w:ascii="方正黑体_GBK" w:hAnsi="方正黑体_GBK" w:eastAsia="方正黑体_GBK" w:cs="方正黑体_GBK"/>
          <w:b w:val="0"/>
          <w:bCs/>
          <w:sz w:val="32"/>
          <w:szCs w:val="32"/>
          <w:shd w:val="clear" w:color="auto" w:fill="FFFFFF"/>
        </w:rPr>
        <w:t>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方正楷体_GBK" w:hAnsi="方正楷体_GBK" w:eastAsia="方正楷体_GBK" w:cs="方正楷体_GBK"/>
          <w:sz w:val="32"/>
          <w:szCs w:val="32"/>
          <w:shd w:val="clear" w:color="auto" w:fill="FFFFFF"/>
          <w:lang w:val="en-US" w:eastAsia="zh-CN" w:bidi="ar-SA"/>
        </w:rPr>
      </w:pPr>
      <w:r>
        <w:rPr>
          <w:rFonts w:hint="eastAsia" w:ascii="方正楷体_GBK" w:hAnsi="方正楷体_GBK" w:eastAsia="方正楷体_GBK" w:cs="方正楷体_GBK"/>
          <w:sz w:val="32"/>
          <w:szCs w:val="32"/>
          <w:shd w:val="clear" w:color="auto" w:fill="FFFFFF"/>
          <w:lang w:val="en-US" w:eastAsia="zh-CN" w:bidi="ar-SA"/>
        </w:rPr>
        <w:t>（一）收入支出决算总体情况说明</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2024年度收</w:t>
      </w:r>
      <w:r>
        <w:rPr>
          <w:rFonts w:ascii="Times New Roman" w:hAnsi="Times New Roman" w:eastAsia="方正仿宋_GBK"/>
          <w:sz w:val="32"/>
          <w:szCs w:val="32"/>
          <w:shd w:val="clear" w:color="auto" w:fill="FFFFFF"/>
        </w:rPr>
        <w:t>、支</w:t>
      </w:r>
      <w:r>
        <w:rPr>
          <w:rFonts w:hint="default" w:ascii="Times New Roman" w:hAnsi="Times New Roman" w:eastAsia="方正仿宋_GBK"/>
          <w:sz w:val="32"/>
          <w:szCs w:val="32"/>
          <w:shd w:val="clear" w:color="auto" w:fill="FFFFFF"/>
        </w:rPr>
        <w:t>总计</w:t>
      </w:r>
      <w:r>
        <w:rPr>
          <w:rFonts w:ascii="Times New Roman" w:hAnsi="Times New Roman" w:eastAsia="方正仿宋_GBK"/>
          <w:sz w:val="32"/>
          <w:szCs w:val="32"/>
          <w:shd w:val="clear" w:color="auto" w:fill="FFFFFF"/>
        </w:rPr>
        <w:t>均为</w:t>
      </w:r>
      <w:r>
        <w:rPr>
          <w:rFonts w:hint="default" w:ascii="Times New Roman" w:hAnsi="Times New Roman" w:eastAsia="方正仿宋_GBK"/>
          <w:sz w:val="32"/>
          <w:szCs w:val="32"/>
          <w:shd w:val="clear" w:color="auto" w:fill="FFFFFF"/>
        </w:rPr>
        <w:t>1120.35万元。收、支与2023年度相比，增加56.72万元，增长5.3%，主要原因是</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增加社会保障和就业支出、农林水支</w:t>
      </w:r>
      <w:r>
        <w:rPr>
          <w:rFonts w:ascii="Times New Roman" w:hAnsi="Times New Roman" w:eastAsia="方正仿宋_GBK"/>
          <w:sz w:val="32"/>
          <w:szCs w:val="32"/>
          <w:shd w:val="clear" w:color="auto" w:fill="FFFFFF"/>
        </w:rPr>
        <w:t>及增加防火通道维修、林业有害生物防治等项目支出。</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1</w:t>
      </w:r>
      <w:r>
        <w:rPr>
          <w:rFonts w:hint="default" w:ascii="Times New Roman" w:hAnsi="Times New Roman" w:eastAsia="方正仿宋_GBK"/>
          <w:sz w:val="32"/>
          <w:szCs w:val="32"/>
          <w:shd w:val="clear" w:color="auto" w:fill="FFFFFF"/>
        </w:rPr>
        <w:t>.收入情况。2024年度收入合计1007.32万元，与2023年度相比，增加110.93万元，增长12.4%，主要原因是</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增加社会保障和就业支出、农林水支出等。主要用于保障在职人员工资福利及社会保险缴费，离退休人员离退休费，退休人员补助等，保障</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正常运转的各项商品服务支出；其中：财政拨款收入1007.32万元，占100.0%；事业收入0.00万元，占0.0%；经营收入0.00万元，占0.0%；其他收入0.00万元，占0.0%。此外，</w:t>
      </w:r>
      <w:r>
        <w:rPr>
          <w:rFonts w:ascii="Times New Roman" w:hAnsi="Times New Roman" w:eastAsia="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0.00万元，年初结转和结余113.03万元。</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w:t>
      </w:r>
      <w:r>
        <w:rPr>
          <w:rFonts w:hint="default" w:ascii="Times New Roman" w:hAnsi="Times New Roman" w:eastAsia="方正仿宋_GBK"/>
          <w:sz w:val="32"/>
          <w:szCs w:val="32"/>
          <w:shd w:val="clear" w:color="auto" w:fill="FFFFFF"/>
        </w:rPr>
        <w:t>.支出情况。2024年度支出合计1074.04万元，与2023年度相比，增加56.72万元，增长5.6%，主要原因是</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基本支出增加</w:t>
      </w:r>
      <w:r>
        <w:rPr>
          <w:rFonts w:ascii="Times New Roman" w:hAnsi="Times New Roman" w:eastAsia="方正仿宋_GBK"/>
          <w:sz w:val="32"/>
          <w:szCs w:val="32"/>
          <w:shd w:val="clear" w:color="auto" w:fill="FFFFFF"/>
        </w:rPr>
        <w:t>41.79</w:t>
      </w:r>
      <w:r>
        <w:rPr>
          <w:rFonts w:hint="default" w:ascii="Times New Roman" w:hAnsi="Times New Roman" w:eastAsia="方正仿宋_GBK"/>
          <w:sz w:val="32"/>
          <w:szCs w:val="32"/>
          <w:shd w:val="clear" w:color="auto" w:fill="FFFFFF"/>
        </w:rPr>
        <w:t>万元</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主要用于保障在职人员工资福利及社会保险缴费，离退休人员离退休费，退休人员补助等，保障</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正常运转的各项商品服务支出</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其中：基本支出753.46万元，占70.2%；项目支出320.58万元，占29.9%；经营支出0.00万元，占0.0%。此外，结余分配0.00万元。</w:t>
      </w:r>
    </w:p>
    <w:p>
      <w:pPr>
        <w:pStyle w:val="9"/>
        <w:shd w:val="clear" w:color="auto" w:fill="FFFFFF"/>
        <w:spacing w:before="0" w:beforeAutospacing="0" w:after="0" w:afterAutospacing="0" w:line="596" w:lineRule="exact"/>
        <w:ind w:firstLine="640" w:firstLineChars="200"/>
        <w:rPr>
          <w:rFonts w:hint="eastAsia" w:ascii="Times New Roman" w:hAnsi="Times New Roman" w:eastAsia="方正仿宋_GBK"/>
          <w:sz w:val="32"/>
          <w:szCs w:val="32"/>
          <w:shd w:val="clear" w:color="auto" w:fill="FFFFFF"/>
          <w:lang w:eastAsia="zh-CN"/>
        </w:rPr>
      </w:pPr>
      <w:r>
        <w:rPr>
          <w:rFonts w:ascii="Times New Roman" w:hAnsi="Times New Roman" w:eastAsia="方正仿宋_GBK"/>
          <w:sz w:val="32"/>
          <w:szCs w:val="32"/>
          <w:shd w:val="clear" w:color="auto" w:fill="FFFFFF"/>
        </w:rPr>
        <w:t>3</w:t>
      </w:r>
      <w:r>
        <w:rPr>
          <w:rFonts w:hint="default" w:ascii="Times New Roman" w:hAnsi="Times New Roman" w:eastAsia="方正仿宋_GBK"/>
          <w:sz w:val="32"/>
          <w:szCs w:val="32"/>
          <w:shd w:val="clear" w:color="auto" w:fill="FFFFFF"/>
        </w:rPr>
        <w:t>.结转结余情况。2024年度年末结转和结余46.31万元，与2023年度相比，无增减</w:t>
      </w:r>
      <w:r>
        <w:rPr>
          <w:rFonts w:hint="eastAsia" w:ascii="Times New Roman" w:hAnsi="Times New Roman" w:eastAsia="方正仿宋_GBK"/>
          <w:sz w:val="32"/>
          <w:szCs w:val="32"/>
          <w:shd w:val="clear" w:color="auto" w:fill="FFFFFF"/>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方正楷体_GBK" w:hAnsi="方正楷体_GBK" w:eastAsia="方正楷体_GBK" w:cs="方正楷体_GBK"/>
          <w:sz w:val="32"/>
          <w:szCs w:val="32"/>
          <w:shd w:val="clear" w:color="auto" w:fill="FFFFFF"/>
          <w:lang w:val="en-US" w:eastAsia="zh-CN" w:bidi="ar-SA"/>
        </w:rPr>
      </w:pPr>
      <w:r>
        <w:rPr>
          <w:rFonts w:hint="eastAsia" w:ascii="方正楷体_GBK" w:hAnsi="方正楷体_GBK" w:eastAsia="方正楷体_GBK" w:cs="方正楷体_GBK"/>
          <w:sz w:val="32"/>
          <w:szCs w:val="32"/>
          <w:shd w:val="clear" w:color="auto" w:fill="FFFFFF"/>
          <w:lang w:val="en-US" w:eastAsia="zh-CN" w:bidi="ar-SA"/>
        </w:rPr>
        <w:t>（二）财政拨款收入支出决算总体情况说明</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2024年度财政拨款收、支总计均为1120.35万元。与2023年</w:t>
      </w:r>
      <w:r>
        <w:rPr>
          <w:rFonts w:ascii="Times New Roman" w:hAnsi="Times New Roman" w:eastAsia="方正仿宋_GBK"/>
          <w:sz w:val="32"/>
          <w:szCs w:val="32"/>
          <w:shd w:val="clear" w:color="auto" w:fill="FFFFFF"/>
        </w:rPr>
        <w:t>度</w:t>
      </w:r>
      <w:r>
        <w:rPr>
          <w:rFonts w:hint="default" w:ascii="Times New Roman" w:hAnsi="Times New Roman" w:eastAsia="方正仿宋_GBK"/>
          <w:sz w:val="32"/>
          <w:szCs w:val="32"/>
          <w:shd w:val="clear" w:color="auto" w:fill="FFFFFF"/>
        </w:rPr>
        <w:t>相比，财政拨款收、支总计各增加56.72万元，增长5.3%。主要原因是</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增加社会保障和就业支出、农林水支出等。主要用于保障在职人员工资福利及社会保险缴费，离退休人员离退休费，退休人员补助等，保障部门正常运转的各项商品服务支出；项目支出是</w:t>
      </w:r>
      <w:r>
        <w:rPr>
          <w:rFonts w:ascii="Times New Roman" w:hAnsi="Times New Roman" w:eastAsia="方正仿宋_GBK"/>
          <w:sz w:val="32"/>
          <w:szCs w:val="32"/>
          <w:shd w:val="clear" w:color="auto" w:fill="FFFFFF"/>
        </w:rPr>
        <w:t>增加</w:t>
      </w:r>
      <w:r>
        <w:rPr>
          <w:rFonts w:hint="default" w:ascii="Times New Roman" w:hAnsi="Times New Roman" w:eastAsia="方正仿宋_GBK"/>
          <w:sz w:val="32"/>
          <w:szCs w:val="32"/>
          <w:shd w:val="clear" w:color="auto" w:fill="FFFFFF"/>
        </w:rPr>
        <w:t>森林资源培育、其他林业和草原支出</w:t>
      </w:r>
      <w:r>
        <w:rPr>
          <w:rFonts w:ascii="Times New Roman" w:hAnsi="Times New Roman" w:eastAsia="方正仿宋_GBK"/>
          <w:sz w:val="32"/>
          <w:szCs w:val="32"/>
          <w:shd w:val="clear" w:color="auto" w:fill="FFFFFF"/>
        </w:rPr>
        <w:t>、自然资源海洋气象</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灾害防治及应急管理</w:t>
      </w:r>
      <w:r>
        <w:rPr>
          <w:rFonts w:hint="default" w:ascii="Times New Roman" w:hAnsi="Times New Roman" w:eastAsia="方正仿宋_GBK"/>
          <w:sz w:val="32"/>
          <w:szCs w:val="32"/>
          <w:shd w:val="clear" w:color="auto" w:fill="FFFFFF"/>
        </w:rPr>
        <w:t>等</w:t>
      </w:r>
      <w:r>
        <w:rPr>
          <w:rFonts w:ascii="Times New Roman" w:hAnsi="Times New Roman" w:eastAsia="方正仿宋_GBK"/>
          <w:sz w:val="32"/>
          <w:szCs w:val="32"/>
          <w:shd w:val="clear" w:color="auto" w:fill="FFFFFF"/>
        </w:rPr>
        <w:t>项目支出。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方正楷体_GBK" w:hAnsi="方正楷体_GBK" w:eastAsia="方正楷体_GBK" w:cs="方正楷体_GBK"/>
          <w:sz w:val="32"/>
          <w:szCs w:val="32"/>
          <w:shd w:val="clear" w:color="auto" w:fill="FFFFFF"/>
          <w:lang w:val="en-US" w:eastAsia="zh-CN" w:bidi="ar-SA"/>
        </w:rPr>
      </w:pPr>
      <w:r>
        <w:rPr>
          <w:rFonts w:hint="eastAsia" w:ascii="方正楷体_GBK" w:hAnsi="方正楷体_GBK" w:eastAsia="方正楷体_GBK" w:cs="方正楷体_GBK"/>
          <w:sz w:val="32"/>
          <w:szCs w:val="32"/>
          <w:shd w:val="clear" w:color="auto" w:fill="FFFFFF"/>
          <w:lang w:val="en-US" w:eastAsia="zh-CN" w:bidi="ar-SA"/>
        </w:rPr>
        <w:t>（三）一般公共预算财政拨款收入支出决算情况说明</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1.收入情况。2024年度一般公共预算财政拨款收入1007.32万元，与2023年度相比，增加110.93万元，增长12.4%</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较年初预算数增加166.55万元，增长19.8%。主要原因是</w:t>
      </w:r>
      <w:r>
        <w:rPr>
          <w:rFonts w:ascii="Times New Roman" w:hAnsi="Times New Roman" w:eastAsia="方正仿宋_GBK"/>
          <w:sz w:val="32"/>
          <w:szCs w:val="32"/>
          <w:shd w:val="clear" w:color="auto" w:fill="FFFFFF"/>
        </w:rPr>
        <w:t>：年中</w:t>
      </w:r>
      <w:r>
        <w:rPr>
          <w:rFonts w:hint="default" w:ascii="Times New Roman" w:hAnsi="Times New Roman" w:eastAsia="方正仿宋_GBK"/>
          <w:sz w:val="32"/>
          <w:szCs w:val="32"/>
          <w:shd w:val="clear" w:color="auto" w:fill="FFFFFF"/>
        </w:rPr>
        <w:t>增加社会保障和就业支出、农林水支出</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自然资源海洋气象等支出</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灾害防治及应急管理支出等</w:t>
      </w:r>
      <w:r>
        <w:rPr>
          <w:rFonts w:ascii="Times New Roman" w:hAnsi="Times New Roman" w:eastAsia="方正仿宋_GBK"/>
          <w:sz w:val="32"/>
          <w:szCs w:val="32"/>
          <w:shd w:val="clear" w:color="auto" w:fill="FFFFFF"/>
        </w:rPr>
        <w:t>项目，</w:t>
      </w:r>
      <w:r>
        <w:rPr>
          <w:rFonts w:hint="default" w:ascii="Times New Roman" w:hAnsi="Times New Roman" w:eastAsia="方正仿宋_GBK"/>
          <w:sz w:val="32"/>
          <w:szCs w:val="32"/>
          <w:shd w:val="clear" w:color="auto" w:fill="FFFFFF"/>
        </w:rPr>
        <w:t>此外，年初财政拨款结转和结余113.03万元。</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2.支出情况。2024年度一般公共预算财政拨款支出1074.04万元，与2023年度相比，增加56.72万元，增长5.6%。主要原因是</w:t>
      </w:r>
      <w:r>
        <w:rPr>
          <w:rFonts w:ascii="Times New Roman" w:hAnsi="Times New Roman" w:eastAsia="方正仿宋_GBK"/>
          <w:sz w:val="32"/>
          <w:szCs w:val="32"/>
          <w:shd w:val="clear" w:color="auto" w:fill="FFFFFF"/>
        </w:rPr>
        <w:t>：增加防火通道维修维护、森林资源培育、森林资源管理、林业草原防灾减灾等项目支出，</w:t>
      </w:r>
      <w:r>
        <w:rPr>
          <w:rFonts w:hint="default" w:ascii="Times New Roman" w:hAnsi="Times New Roman" w:eastAsia="方正仿宋_GBK"/>
          <w:sz w:val="32"/>
          <w:szCs w:val="32"/>
          <w:shd w:val="clear" w:color="auto" w:fill="FFFFFF"/>
        </w:rPr>
        <w:t>较年初预算数增加233.27万元，增长27.7%。主要原因是</w:t>
      </w:r>
      <w:r>
        <w:rPr>
          <w:rFonts w:ascii="Times New Roman" w:hAnsi="Times New Roman" w:eastAsia="方正仿宋_GBK"/>
          <w:sz w:val="32"/>
          <w:szCs w:val="32"/>
          <w:shd w:val="clear" w:color="auto" w:fill="FFFFFF"/>
        </w:rPr>
        <w:t>年中追加</w:t>
      </w:r>
      <w:r>
        <w:rPr>
          <w:rFonts w:hint="eastAsia" w:ascii="Times New Roman" w:hAnsi="Times New Roman" w:eastAsia="方正仿宋_GBK"/>
          <w:sz w:val="32"/>
          <w:szCs w:val="32"/>
          <w:shd w:val="clear" w:color="auto" w:fill="FFFFFF"/>
          <w:lang w:val="en-US" w:eastAsia="zh-CN"/>
        </w:rPr>
        <w:t>2024年度</w:t>
      </w:r>
      <w:r>
        <w:rPr>
          <w:rFonts w:ascii="Times New Roman" w:hAnsi="Times New Roman" w:eastAsia="方正仿宋_GBK"/>
          <w:sz w:val="32"/>
          <w:szCs w:val="32"/>
          <w:shd w:val="clear" w:color="auto" w:fill="FFFFFF"/>
        </w:rPr>
        <w:t>有害生物防治经费、2023年国有林场管护用房建设资金、2023年统筹整合林业改革发展资金等项目。</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一般公共预算财政拨款支出主要</w:t>
      </w:r>
      <w:r>
        <w:rPr>
          <w:rFonts w:ascii="Times New Roman" w:hAnsi="Times New Roman" w:eastAsia="方正仿宋_GBK"/>
          <w:sz w:val="32"/>
          <w:szCs w:val="32"/>
          <w:shd w:val="clear" w:color="auto" w:fill="FFFFFF"/>
        </w:rPr>
        <w:t>用途如下</w:t>
      </w:r>
      <w:r>
        <w:rPr>
          <w:rFonts w:hint="default" w:ascii="Times New Roman" w:hAnsi="Times New Roman" w:eastAsia="方正仿宋_GBK"/>
          <w:sz w:val="32"/>
          <w:szCs w:val="32"/>
          <w:shd w:val="clear" w:color="auto" w:fill="FFFFFF"/>
        </w:rPr>
        <w:t>：</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社会保障</w:t>
      </w:r>
      <w:r>
        <w:rPr>
          <w:rFonts w:ascii="Times New Roman" w:hAnsi="Times New Roman" w:eastAsia="方正仿宋_GBK"/>
          <w:sz w:val="32"/>
          <w:szCs w:val="32"/>
          <w:shd w:val="clear" w:color="auto" w:fill="FFFFFF"/>
        </w:rPr>
        <w:t>和</w:t>
      </w:r>
      <w:r>
        <w:rPr>
          <w:rFonts w:hint="default" w:ascii="Times New Roman" w:hAnsi="Times New Roman" w:eastAsia="方正仿宋_GBK"/>
          <w:sz w:val="32"/>
          <w:szCs w:val="32"/>
          <w:shd w:val="clear" w:color="auto" w:fill="FFFFFF"/>
        </w:rPr>
        <w:t>就业支出93.24万元，占8.7%，较年初预算数增加5.13万元，增长5.8%，主要原因是</w:t>
      </w:r>
      <w:r>
        <w:rPr>
          <w:rFonts w:ascii="Times New Roman" w:hAnsi="Times New Roman" w:eastAsia="方正仿宋_GBK"/>
          <w:sz w:val="32"/>
          <w:szCs w:val="32"/>
          <w:shd w:val="clear" w:color="auto" w:fill="FFFFFF"/>
        </w:rPr>
        <w:t>：社会保险缴费基数调整导致该项支出增加。</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卫生健康支出20.39万元，占1.9%，较年初预算数减少12.11万元，下降37.3%，主要原因</w:t>
      </w:r>
      <w:r>
        <w:rPr>
          <w:rFonts w:ascii="Times New Roman" w:hAnsi="Times New Roman" w:eastAsia="方正仿宋_GBK"/>
          <w:sz w:val="32"/>
          <w:szCs w:val="32"/>
          <w:shd w:val="clear" w:color="auto" w:fill="FFFFFF"/>
        </w:rPr>
        <w:t>在职工人员的社会保险部分由天然林保护工程-社会保险社会项目支付，并在该项目中列支。</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节能环保支出97.61万元，占9.1%，较年初预算数增加79.36万元，增长434.9%，主要原因是</w:t>
      </w:r>
      <w:r>
        <w:rPr>
          <w:rFonts w:ascii="Times New Roman" w:hAnsi="Times New Roman" w:eastAsia="方正仿宋_GBK"/>
          <w:sz w:val="32"/>
          <w:szCs w:val="32"/>
          <w:shd w:val="clear" w:color="auto" w:fill="FFFFFF"/>
        </w:rPr>
        <w:t>项目天然林保险工程-社会保险补助、森林管护等支出增加。</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农林水支出732.97万元，占68.2%，较年初预算数增加165.99万元，增长29.3%，主要原因是</w:t>
      </w:r>
      <w:r>
        <w:rPr>
          <w:rFonts w:ascii="Times New Roman" w:hAnsi="Times New Roman" w:eastAsia="方正仿宋_GBK"/>
          <w:sz w:val="32"/>
          <w:szCs w:val="32"/>
          <w:shd w:val="clear" w:color="auto" w:fill="FFFFFF"/>
        </w:rPr>
        <w:t>基本支出及</w:t>
      </w:r>
      <w:r>
        <w:rPr>
          <w:rFonts w:hint="default" w:ascii="Times New Roman" w:hAnsi="Times New Roman" w:eastAsia="方正仿宋_GBK"/>
          <w:sz w:val="32"/>
          <w:szCs w:val="32"/>
          <w:shd w:val="clear" w:color="auto" w:fill="FFFFFF"/>
        </w:rPr>
        <w:t>森林资源培育</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林业草原防灾减灾</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其他林业和草原支出</w:t>
      </w:r>
      <w:r>
        <w:rPr>
          <w:rFonts w:ascii="Times New Roman" w:hAnsi="Times New Roman" w:eastAsia="方正仿宋_GBK"/>
          <w:sz w:val="32"/>
          <w:szCs w:val="32"/>
          <w:shd w:val="clear" w:color="auto" w:fill="FFFFFF"/>
        </w:rPr>
        <w:t>等项目支出增加。</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自然资源海洋气象等支出84.00万元，占7.8%，较年初预算数无增减</w:t>
      </w:r>
      <w:r>
        <w:rPr>
          <w:rFonts w:ascii="Times New Roman" w:hAnsi="Times New Roman" w:eastAsia="方正仿宋_GBK"/>
          <w:sz w:val="32"/>
          <w:szCs w:val="32"/>
          <w:shd w:val="clear" w:color="auto" w:fill="FFFFFF"/>
        </w:rPr>
        <w:t>。</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住房保障支出30.93万元，占2.9%，较年初预算数无增减</w:t>
      </w:r>
      <w:r>
        <w:rPr>
          <w:rFonts w:ascii="Times New Roman" w:hAnsi="Times New Roman" w:eastAsia="方正仿宋_GBK"/>
          <w:sz w:val="32"/>
          <w:szCs w:val="32"/>
          <w:shd w:val="clear" w:color="auto" w:fill="FFFFFF"/>
        </w:rPr>
        <w:t>。</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灾害防治及应急管理支出14.90万元，占1.4%，较年初预算数减少5.10万元，下降25.5%，主要原因是</w:t>
      </w:r>
      <w:r>
        <w:rPr>
          <w:rFonts w:ascii="Times New Roman" w:hAnsi="Times New Roman" w:eastAsia="方正仿宋_GBK"/>
          <w:sz w:val="32"/>
          <w:szCs w:val="32"/>
          <w:shd w:val="clear" w:color="auto" w:fill="FFFFFF"/>
        </w:rPr>
        <w:t>：项目在当年未完工验收，余款于2025年支付。</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3.结转结余情况。2024年度年末一般公共预算财政拨款结转和结余46.31万元，与2023年度相比，无增减</w:t>
      </w:r>
      <w:r>
        <w:rPr>
          <w:rFonts w:ascii="Times New Roman" w:hAnsi="Times New Roman" w:eastAsia="方正仿宋_GBK"/>
          <w:sz w:val="32"/>
          <w:szCs w:val="32"/>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方正楷体_GBK" w:hAnsi="方正楷体_GBK" w:eastAsia="方正楷体_GBK" w:cs="方正楷体_GBK"/>
          <w:sz w:val="32"/>
          <w:szCs w:val="32"/>
          <w:shd w:val="clear" w:color="auto" w:fill="FFFFFF"/>
          <w:lang w:val="en-US" w:eastAsia="zh-CN" w:bidi="ar-SA"/>
        </w:rPr>
      </w:pPr>
      <w:r>
        <w:rPr>
          <w:rFonts w:hint="eastAsia" w:ascii="方正楷体_GBK" w:hAnsi="方正楷体_GBK" w:eastAsia="方正楷体_GBK" w:cs="方正楷体_GBK"/>
          <w:sz w:val="32"/>
          <w:szCs w:val="32"/>
          <w:shd w:val="clear" w:color="auto" w:fill="FFFFFF"/>
          <w:lang w:val="en-US" w:eastAsia="zh-CN" w:bidi="ar-SA"/>
        </w:rPr>
        <w:t>（四）一般公共预算财政拨款基本支出决算情况说明</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2024年度一般公共财政拨款基本支出753.46万元。其中：人员经费631.91万元，与2023年度相比，增加71.69万元，增长12.8%，主要原因是</w:t>
      </w:r>
      <w:r>
        <w:rPr>
          <w:rFonts w:ascii="Times New Roman" w:hAnsi="Times New Roman" w:eastAsia="方正仿宋_GBK"/>
          <w:sz w:val="32"/>
          <w:szCs w:val="32"/>
          <w:shd w:val="clear" w:color="auto" w:fill="FFFFFF"/>
        </w:rPr>
        <w:t>：年中人员正常高调资晋级、编外人员支出、驻村队员补助支出在基本支出中列支，</w:t>
      </w:r>
      <w:r>
        <w:rPr>
          <w:rFonts w:hint="default" w:ascii="Times New Roman" w:hAnsi="Times New Roman" w:eastAsia="方正仿宋_GBK"/>
          <w:sz w:val="32"/>
          <w:szCs w:val="32"/>
          <w:shd w:val="clear" w:color="auto" w:fill="FFFFFF"/>
        </w:rPr>
        <w:t>人员经费用途主要包括用于保障在职人员工资福利及社会</w:t>
      </w:r>
      <w:r>
        <w:rPr>
          <w:rFonts w:ascii="Times New Roman" w:hAnsi="Times New Roman" w:eastAsia="方正仿宋_GBK"/>
          <w:sz w:val="32"/>
          <w:szCs w:val="32"/>
          <w:shd w:val="clear" w:color="auto" w:fill="FFFFFF"/>
        </w:rPr>
        <w:t>保险</w:t>
      </w:r>
      <w:r>
        <w:rPr>
          <w:rFonts w:hint="default" w:ascii="Times New Roman" w:hAnsi="Times New Roman" w:eastAsia="方正仿宋_GBK"/>
          <w:sz w:val="32"/>
          <w:szCs w:val="32"/>
          <w:shd w:val="clear" w:color="auto" w:fill="FFFFFF"/>
        </w:rPr>
        <w:t>缴费，离退休人员离退休费，退休人员补助</w:t>
      </w:r>
      <w:r>
        <w:rPr>
          <w:rFonts w:ascii="Times New Roman" w:hAnsi="Times New Roman" w:eastAsia="方正仿宋_GBK"/>
          <w:sz w:val="32"/>
          <w:szCs w:val="32"/>
          <w:shd w:val="clear" w:color="auto" w:fill="FFFFFF"/>
        </w:rPr>
        <w:t>、编外人员工资福利支出、驻村队员补助</w:t>
      </w:r>
      <w:r>
        <w:rPr>
          <w:rFonts w:hint="default" w:ascii="Times New Roman" w:hAnsi="Times New Roman" w:eastAsia="方正仿宋_GBK"/>
          <w:sz w:val="32"/>
          <w:szCs w:val="32"/>
          <w:shd w:val="clear" w:color="auto" w:fill="FFFFFF"/>
        </w:rPr>
        <w:t>等，保障</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正常运转的各项商品服务支出</w:t>
      </w:r>
      <w:r>
        <w:rPr>
          <w:rFonts w:ascii="Times New Roman" w:hAnsi="Times New Roman" w:eastAsia="方正仿宋_GBK"/>
          <w:sz w:val="32"/>
          <w:szCs w:val="32"/>
          <w:shd w:val="clear" w:color="auto" w:fill="FFFFFF"/>
        </w:rPr>
        <w:t>。</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公用经费121.55万元，与2023年度相比，增加13.05万元，增长12.0%，主要原因是</w:t>
      </w:r>
      <w:r>
        <w:rPr>
          <w:rFonts w:ascii="Times New Roman" w:hAnsi="Times New Roman" w:eastAsia="方正仿宋_GBK"/>
          <w:sz w:val="32"/>
          <w:szCs w:val="32"/>
          <w:shd w:val="clear" w:color="auto" w:fill="FFFFFF"/>
        </w:rPr>
        <w:t>：编外人员加入单位工会组织，增加工会经费支出。</w:t>
      </w:r>
      <w:r>
        <w:rPr>
          <w:rFonts w:hint="default" w:ascii="Times New Roman" w:hAnsi="Times New Roman" w:eastAsia="方正仿宋_GBK"/>
          <w:sz w:val="32"/>
          <w:szCs w:val="32"/>
          <w:shd w:val="clear" w:color="auto" w:fill="FFFFFF"/>
        </w:rPr>
        <w:t>公用经费用途主要包括，保障</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正常运转的各项商品服务支出</w:t>
      </w:r>
      <w:r>
        <w:rPr>
          <w:rFonts w:ascii="Times New Roman" w:hAnsi="Times New Roman" w:eastAsia="方正仿宋_GBK"/>
          <w:sz w:val="32"/>
          <w:szCs w:val="32"/>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方正楷体_GBK" w:hAnsi="方正楷体_GBK" w:eastAsia="方正楷体_GBK" w:cs="方正楷体_GBK"/>
          <w:sz w:val="32"/>
          <w:szCs w:val="32"/>
          <w:shd w:val="clear" w:color="auto" w:fill="FFFFFF"/>
          <w:lang w:val="en-US" w:eastAsia="zh-CN" w:bidi="ar-SA"/>
        </w:rPr>
      </w:pPr>
      <w:r>
        <w:rPr>
          <w:rFonts w:hint="eastAsia" w:ascii="方正楷体_GBK" w:hAnsi="方正楷体_GBK" w:eastAsia="方正楷体_GBK" w:cs="方正楷体_GBK"/>
          <w:sz w:val="32"/>
          <w:szCs w:val="32"/>
          <w:shd w:val="clear" w:color="auto" w:fill="FFFFFF"/>
          <w:lang w:val="en-US" w:eastAsia="zh-CN" w:bidi="ar-SA"/>
        </w:rPr>
        <w:t>（五）政府性基金预算收支决算情况说明</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2024年度无政府性基金预算财政拨款收支</w:t>
      </w:r>
      <w:r>
        <w:rPr>
          <w:rFonts w:ascii="Times New Roman" w:hAnsi="Times New Roman" w:eastAsia="方正仿宋_GBK"/>
          <w:sz w:val="32"/>
          <w:szCs w:val="32"/>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方正楷体_GBK" w:hAnsi="方正楷体_GBK" w:eastAsia="方正楷体_GBK" w:cs="方正楷体_GBK"/>
          <w:sz w:val="32"/>
          <w:szCs w:val="32"/>
          <w:shd w:val="clear" w:color="auto" w:fill="FFFFFF"/>
          <w:lang w:val="en-US" w:eastAsia="zh-CN" w:bidi="ar-SA"/>
        </w:rPr>
      </w:pPr>
      <w:r>
        <w:rPr>
          <w:rFonts w:hint="eastAsia" w:ascii="方正楷体_GBK" w:hAnsi="方正楷体_GBK" w:eastAsia="方正楷体_GBK" w:cs="方正楷体_GBK"/>
          <w:sz w:val="32"/>
          <w:szCs w:val="32"/>
          <w:shd w:val="clear" w:color="auto" w:fill="FFFFFF"/>
          <w:lang w:val="en-US" w:eastAsia="zh-CN" w:bidi="ar-SA"/>
        </w:rPr>
        <w:t>（六）国有资本经营预算财政拨款支出决算情况说明</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2024年度无国有资本经营预算财政拨款支出</w:t>
      </w:r>
    </w:p>
    <w:p>
      <w:pPr>
        <w:pStyle w:val="9"/>
        <w:shd w:val="clear" w:color="auto" w:fill="FFFFFF"/>
        <w:spacing w:before="0" w:beforeAutospacing="0" w:after="0" w:afterAutospacing="0" w:line="596" w:lineRule="exact"/>
        <w:ind w:firstLine="640" w:firstLineChars="200"/>
        <w:rPr>
          <w:rStyle w:val="13"/>
          <w:rFonts w:hint="default" w:ascii="方正黑体_GBK" w:hAnsi="方正黑体_GBK" w:eastAsia="方正黑体_GBK" w:cs="方正黑体_GBK"/>
          <w:b w:val="0"/>
          <w:bCs/>
          <w:sz w:val="32"/>
          <w:szCs w:val="32"/>
          <w:shd w:val="clear" w:color="auto" w:fill="FFFFFF"/>
        </w:rPr>
      </w:pPr>
      <w:r>
        <w:rPr>
          <w:rStyle w:val="13"/>
          <w:rFonts w:hint="default" w:ascii="方正黑体_GBK" w:hAnsi="方正黑体_GBK" w:eastAsia="方正黑体_GBK" w:cs="方正黑体_GBK"/>
          <w:b w:val="0"/>
          <w:bCs/>
          <w:sz w:val="32"/>
          <w:szCs w:val="32"/>
          <w:shd w:val="clear" w:color="auto" w:fill="FFFFFF"/>
        </w:rPr>
        <w:t>三、</w:t>
      </w:r>
      <w:r>
        <w:rPr>
          <w:rStyle w:val="13"/>
          <w:rFonts w:hint="eastAsia" w:ascii="方正黑体_GBK" w:hAnsi="方正黑体_GBK" w:eastAsia="方正黑体_GBK" w:cs="方正黑体_GBK"/>
          <w:b w:val="0"/>
          <w:bCs/>
          <w:sz w:val="32"/>
          <w:szCs w:val="32"/>
          <w:shd w:val="clear" w:color="auto" w:fill="FFFFFF"/>
        </w:rPr>
        <w:t>财政拨款</w:t>
      </w:r>
      <w:r>
        <w:rPr>
          <w:rStyle w:val="13"/>
          <w:rFonts w:hint="default" w:ascii="方正黑体_GBK" w:hAnsi="方正黑体_GBK" w:eastAsia="方正黑体_GBK" w:cs="方正黑体_GBK"/>
          <w:b w:val="0"/>
          <w:bCs/>
          <w:sz w:val="32"/>
          <w:szCs w:val="32"/>
          <w:shd w:val="clear" w:color="auto" w:fill="FFFFFF"/>
        </w:rPr>
        <w:t>“三公”经费情况说明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方正楷体_GBK" w:hAnsi="方正楷体_GBK" w:eastAsia="方正楷体_GBK" w:cs="方正楷体_GBK"/>
          <w:sz w:val="32"/>
          <w:szCs w:val="32"/>
          <w:shd w:val="clear" w:color="auto" w:fill="FFFFFF"/>
          <w:lang w:val="en-US" w:eastAsia="zh-CN" w:bidi="ar-SA"/>
        </w:rPr>
      </w:pPr>
      <w:r>
        <w:rPr>
          <w:rFonts w:hint="eastAsia" w:ascii="方正楷体_GBK" w:hAnsi="方正楷体_GBK" w:eastAsia="方正楷体_GBK" w:cs="方正楷体_GBK"/>
          <w:sz w:val="32"/>
          <w:szCs w:val="32"/>
          <w:shd w:val="clear" w:color="auto" w:fill="FFFFFF"/>
          <w:lang w:val="en-US" w:eastAsia="zh-CN" w:bidi="ar-SA"/>
        </w:rPr>
        <w:t>（一）“三公”经费支出总体情况说明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2024年度“三公”经费支出共计3.79万元，较年初预算数增加0.09万元，增长2.4%，主要原因</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是</w:t>
      </w:r>
      <w:r>
        <w:rPr>
          <w:rFonts w:ascii="Times New Roman" w:hAnsi="Times New Roman" w:eastAsia="方正仿宋_GBK"/>
          <w:sz w:val="32"/>
          <w:szCs w:val="32"/>
          <w:shd w:val="clear" w:color="auto" w:fill="FFFFFF"/>
        </w:rPr>
        <w:t>公务车运行费油费增加，</w:t>
      </w:r>
      <w:r>
        <w:rPr>
          <w:rFonts w:hint="default" w:ascii="Times New Roman" w:hAnsi="Times New Roman" w:eastAsia="方正仿宋_GBK"/>
          <w:sz w:val="32"/>
          <w:szCs w:val="32"/>
          <w:shd w:val="clear" w:color="auto" w:fill="FFFFFF"/>
        </w:rPr>
        <w:t>较上年支出数增加0.79万元，增长26.3%，主要原因是</w:t>
      </w:r>
      <w:r>
        <w:rPr>
          <w:rFonts w:ascii="Times New Roman" w:hAnsi="Times New Roman" w:eastAsia="方正仿宋_GBK"/>
          <w:sz w:val="32"/>
          <w:szCs w:val="32"/>
          <w:shd w:val="clear" w:color="auto" w:fill="FFFFFF"/>
        </w:rPr>
        <w:t>：由于2024年天气原因，单位车辆到各管护站点检查防火工作相对较频繁，因此车辆用油量较大，超年初预算。</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楷体_GBK" w:hAnsi="方正楷体_GBK" w:eastAsia="方正楷体_GBK" w:cs="方正楷体_GBK"/>
          <w:sz w:val="32"/>
          <w:szCs w:val="32"/>
          <w:shd w:val="clear" w:color="auto" w:fill="FFFFFF"/>
          <w:lang w:val="en-US" w:eastAsia="zh-CN" w:bidi="ar-SA"/>
        </w:rPr>
      </w:pPr>
      <w:r>
        <w:rPr>
          <w:rFonts w:hint="eastAsia" w:ascii="方正楷体_GBK" w:hAnsi="方正楷体_GBK" w:eastAsia="方正楷体_GBK" w:cs="方正楷体_GBK"/>
          <w:sz w:val="32"/>
          <w:szCs w:val="32"/>
          <w:shd w:val="clear" w:color="auto" w:fill="FFFFFF"/>
          <w:lang w:val="en-US" w:eastAsia="zh-CN" w:bidi="ar-SA"/>
        </w:rPr>
        <w:t>（二）“三公”经费分项支出情况</w:t>
      </w:r>
    </w:p>
    <w:p>
      <w:pPr>
        <w:pStyle w:val="9"/>
        <w:keepNext w:val="0"/>
        <w:keepLines w:val="0"/>
        <w:pageBreakBefore w:val="0"/>
        <w:widowControl/>
        <w:numPr>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因公出国（境）费用0.00万元</w:t>
      </w:r>
      <w:r>
        <w:rPr>
          <w:rFonts w:ascii="Times New Roman" w:hAnsi="Times New Roman" w:eastAsia="方正仿宋_GBK"/>
          <w:sz w:val="32"/>
          <w:szCs w:val="32"/>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w:t>
      </w:r>
      <w:r>
        <w:rPr>
          <w:rFonts w:ascii="Times New Roman" w:hAnsi="Times New Roman" w:eastAsia="方正仿宋_GBK"/>
          <w:sz w:val="32"/>
          <w:szCs w:val="32"/>
          <w:shd w:val="clear" w:color="auto" w:fill="FFFFFF"/>
        </w:rPr>
        <w:t>用</w:t>
      </w:r>
      <w:r>
        <w:rPr>
          <w:rFonts w:hint="default" w:ascii="Times New Roman" w:hAnsi="Times New Roman" w:eastAsia="方正仿宋_GBK"/>
          <w:sz w:val="32"/>
          <w:szCs w:val="32"/>
          <w:shd w:val="clear" w:color="auto" w:fill="FFFFFF"/>
        </w:rPr>
        <w:t>车购置费0.00万元</w:t>
      </w:r>
      <w:r>
        <w:rPr>
          <w:rFonts w:ascii="Times New Roman" w:hAnsi="Times New Roman" w:eastAsia="方正仿宋_GBK"/>
          <w:sz w:val="32"/>
          <w:szCs w:val="32"/>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w:t>
      </w:r>
      <w:r>
        <w:rPr>
          <w:rFonts w:ascii="Times New Roman" w:hAnsi="Times New Roman" w:eastAsia="方正仿宋_GBK"/>
          <w:sz w:val="32"/>
          <w:szCs w:val="32"/>
          <w:shd w:val="clear" w:color="auto" w:fill="FFFFFF"/>
        </w:rPr>
        <w:t>用</w:t>
      </w:r>
      <w:r>
        <w:rPr>
          <w:rFonts w:hint="default" w:ascii="Times New Roman" w:hAnsi="Times New Roman" w:eastAsia="方正仿宋_GBK"/>
          <w:sz w:val="32"/>
          <w:szCs w:val="32"/>
          <w:shd w:val="clear" w:color="auto" w:fill="FFFFFF"/>
        </w:rPr>
        <w:t>车运行维护费3.79万元，主要用于</w:t>
      </w:r>
      <w:r>
        <w:rPr>
          <w:rFonts w:ascii="Times New Roman" w:hAnsi="Times New Roman" w:eastAsia="方正仿宋_GBK"/>
          <w:sz w:val="32"/>
          <w:szCs w:val="32"/>
          <w:shd w:val="clear" w:color="auto" w:fill="FFFFFF"/>
        </w:rPr>
        <w:t>车辆维修、保险、加油等</w:t>
      </w:r>
      <w:r>
        <w:rPr>
          <w:rFonts w:hint="default" w:ascii="Times New Roman" w:hAnsi="Times New Roman" w:eastAsia="方正仿宋_GBK"/>
          <w:sz w:val="32"/>
          <w:szCs w:val="32"/>
          <w:shd w:val="clear" w:color="auto" w:fill="FFFFFF"/>
        </w:rPr>
        <w:t>费用支出</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较年初预算数增加1.09万元，增长40.4%，主要原因是</w:t>
      </w:r>
      <w:r>
        <w:rPr>
          <w:rFonts w:ascii="Times New Roman" w:hAnsi="Times New Roman" w:eastAsia="方正仿宋_GBK"/>
          <w:sz w:val="32"/>
          <w:szCs w:val="32"/>
          <w:shd w:val="clear" w:color="auto" w:fill="FFFFFF"/>
        </w:rPr>
        <w:t>：由于2024年气温较高，单位车辆到各管护站点检查防火工作相对较多，车辆用油量较大，因此超年初预算。</w:t>
      </w:r>
      <w:r>
        <w:rPr>
          <w:rFonts w:hint="default" w:ascii="Times New Roman" w:hAnsi="Times New Roman" w:eastAsia="方正仿宋_GBK"/>
          <w:sz w:val="32"/>
          <w:szCs w:val="32"/>
          <w:shd w:val="clear" w:color="auto" w:fill="FFFFFF"/>
        </w:rPr>
        <w:t>较上年支出数增加0.79万元，增长26.3%，主要原因是</w:t>
      </w:r>
      <w:r>
        <w:rPr>
          <w:rFonts w:ascii="Times New Roman" w:hAnsi="Times New Roman" w:eastAsia="方正仿宋_GBK"/>
          <w:sz w:val="32"/>
          <w:szCs w:val="32"/>
          <w:shd w:val="clear" w:color="auto" w:fill="FFFFFF"/>
        </w:rPr>
        <w:t>：由于2024年气温较高，单位车辆到各管护站点检查防火工作较多，车辆用油量较大，因此较上年有所增加。</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公务接待费0.00万元</w:t>
      </w:r>
      <w:r>
        <w:rPr>
          <w:rFonts w:ascii="Times New Roman" w:hAnsi="Times New Roman" w:eastAsia="方正仿宋_GBK"/>
          <w:sz w:val="32"/>
          <w:szCs w:val="32"/>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方正楷体_GBK" w:hAnsi="方正楷体_GBK" w:eastAsia="方正楷体_GBK" w:cs="方正楷体_GBK"/>
          <w:sz w:val="32"/>
          <w:szCs w:val="32"/>
          <w:shd w:val="clear" w:color="auto" w:fill="FFFFFF"/>
          <w:lang w:val="en-US" w:eastAsia="zh-CN" w:bidi="ar-SA"/>
        </w:rPr>
      </w:pPr>
      <w:r>
        <w:rPr>
          <w:rFonts w:hint="eastAsia" w:ascii="方正楷体_GBK" w:hAnsi="方正楷体_GBK" w:eastAsia="方正楷体_GBK" w:cs="方正楷体_GBK"/>
          <w:sz w:val="32"/>
          <w:szCs w:val="32"/>
          <w:shd w:val="clear" w:color="auto" w:fill="FFFFFF"/>
          <w:lang w:val="en-US" w:eastAsia="zh-CN" w:bidi="ar-SA"/>
        </w:rPr>
        <w:t>（三）“三公”经费实物量情况</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因公出国（境）共计0个团组，0人；公务用车购置0辆，公务车保有量为1辆；国内公务接待0批次0人，其中：国内外事接待0批次，0人；国（境）外公务接待0批次，0人。2024年本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人均接待费0元，车均购置费0万元，车均维护费3.79万元。</w:t>
      </w:r>
    </w:p>
    <w:p>
      <w:pPr>
        <w:pStyle w:val="9"/>
        <w:shd w:val="clear" w:color="auto" w:fill="FFFFFF"/>
        <w:spacing w:before="0" w:beforeAutospacing="0" w:after="0" w:afterAutospacing="0" w:line="596" w:lineRule="exact"/>
        <w:ind w:firstLine="640" w:firstLineChars="200"/>
        <w:rPr>
          <w:rStyle w:val="13"/>
          <w:rFonts w:hint="default" w:ascii="方正黑体_GBK" w:hAnsi="方正黑体_GBK" w:eastAsia="方正黑体_GBK" w:cs="方正黑体_GBK"/>
          <w:b w:val="0"/>
          <w:bCs/>
          <w:sz w:val="32"/>
          <w:szCs w:val="32"/>
          <w:shd w:val="clear" w:color="auto" w:fill="FFFFFF"/>
        </w:rPr>
      </w:pPr>
      <w:r>
        <w:rPr>
          <w:rStyle w:val="13"/>
          <w:rFonts w:hint="default" w:ascii="方正黑体_GBK" w:hAnsi="方正黑体_GBK" w:eastAsia="方正黑体_GBK" w:cs="方正黑体_GBK"/>
          <w:b w:val="0"/>
          <w:bCs/>
          <w:sz w:val="32"/>
          <w:szCs w:val="32"/>
          <w:shd w:val="clear" w:color="auto" w:fill="FFFFFF"/>
        </w:rPr>
        <w:t>四、其他需要说明的事项</w:t>
      </w:r>
    </w:p>
    <w:p>
      <w:pPr>
        <w:pStyle w:val="9"/>
        <w:shd w:val="clear" w:color="auto" w:fill="FFFFFF"/>
        <w:spacing w:before="0" w:beforeAutospacing="0" w:after="0" w:afterAutospacing="0" w:line="596" w:lineRule="exact"/>
        <w:ind w:firstLine="640" w:firstLineChars="200"/>
        <w:rPr>
          <w:rFonts w:hint="default" w:ascii="方正楷体_GBK" w:hAnsi="方正楷体_GBK" w:eastAsia="方正楷体_GBK" w:cs="方正楷体_GBK"/>
          <w:sz w:val="32"/>
          <w:szCs w:val="32"/>
          <w:shd w:val="clear" w:color="auto" w:fill="FFFFFF"/>
          <w:lang w:val="en-US" w:eastAsia="zh-CN" w:bidi="ar-SA"/>
        </w:rPr>
      </w:pPr>
      <w:r>
        <w:rPr>
          <w:rFonts w:hint="default" w:ascii="方正楷体_GBK" w:hAnsi="方正楷体_GBK" w:eastAsia="方正楷体_GBK" w:cs="方正楷体_GBK"/>
          <w:sz w:val="32"/>
          <w:szCs w:val="32"/>
          <w:shd w:val="clear" w:color="auto" w:fill="FFFFFF"/>
          <w:lang w:val="en-US" w:eastAsia="zh-CN" w:bidi="ar-SA"/>
        </w:rPr>
        <w:t>（一）财政拨款会议费、培训费和差旅费情况说明</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本年度会议费支出0.00万元，与2023年度相比，无增减</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本年度培训费支出0.48万元，与2023年度相比，减少1.29万元，下降72.9%，主要原因是</w:t>
      </w:r>
      <w:r>
        <w:rPr>
          <w:rFonts w:ascii="Times New Roman" w:hAnsi="Times New Roman" w:eastAsia="方正仿宋_GBK"/>
          <w:sz w:val="32"/>
          <w:szCs w:val="32"/>
          <w:shd w:val="clear" w:color="auto" w:fill="FFFFFF"/>
        </w:rPr>
        <w:t>：减少无人机培训项目。</w:t>
      </w:r>
      <w:r>
        <w:rPr>
          <w:rFonts w:hint="default" w:ascii="Times New Roman" w:hAnsi="Times New Roman" w:eastAsia="方正仿宋_GBK"/>
          <w:sz w:val="32"/>
          <w:szCs w:val="32"/>
          <w:shd w:val="clear" w:color="auto" w:fill="FFFFFF"/>
        </w:rPr>
        <w:t>本年度差旅费支出19.54万元，与2023年度相比，增加0.52万元，增长2.7%，主要原因是</w:t>
      </w:r>
      <w:r>
        <w:rPr>
          <w:rFonts w:ascii="Times New Roman" w:hAnsi="Times New Roman" w:eastAsia="方正仿宋_GBK"/>
          <w:sz w:val="32"/>
          <w:szCs w:val="32"/>
          <w:shd w:val="clear" w:color="auto" w:fill="FFFFFF"/>
        </w:rPr>
        <w:t>：由于我单位分布全县各乡镇，各管护站、点人员进行松材线虫调查时产生交通费相对较多。</w:t>
      </w:r>
    </w:p>
    <w:p>
      <w:pPr>
        <w:pStyle w:val="9"/>
        <w:shd w:val="clear" w:color="auto" w:fill="FFFFFF"/>
        <w:spacing w:before="0" w:beforeAutospacing="0" w:after="0" w:afterAutospacing="0" w:line="596" w:lineRule="exact"/>
        <w:ind w:firstLine="640" w:firstLineChars="200"/>
        <w:rPr>
          <w:rFonts w:hint="default" w:ascii="方正楷体_GBK" w:hAnsi="方正楷体_GBK" w:eastAsia="方正楷体_GBK" w:cs="方正楷体_GBK"/>
          <w:sz w:val="32"/>
          <w:szCs w:val="32"/>
          <w:shd w:val="clear" w:color="auto" w:fill="FFFFFF"/>
          <w:lang w:val="en-US" w:eastAsia="zh-CN" w:bidi="ar-SA"/>
        </w:rPr>
      </w:pPr>
      <w:r>
        <w:rPr>
          <w:rFonts w:hint="eastAsia" w:ascii="方正楷体_GBK" w:hAnsi="方正楷体_GBK" w:eastAsia="方正楷体_GBK" w:cs="方正楷体_GBK"/>
          <w:sz w:val="32"/>
          <w:szCs w:val="32"/>
          <w:shd w:val="clear" w:color="auto" w:fill="FFFFFF"/>
          <w:lang w:val="en-US" w:eastAsia="zh-CN" w:bidi="ar-SA"/>
        </w:rPr>
        <w:t>（二）机关运行经费情况说明</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按照部门决算列报口径，我</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不在机关运行经费统计范围之内。</w:t>
      </w:r>
    </w:p>
    <w:p>
      <w:pPr>
        <w:pStyle w:val="9"/>
        <w:shd w:val="clear" w:color="auto" w:fill="FFFFFF"/>
        <w:spacing w:before="0" w:beforeAutospacing="0" w:after="0" w:afterAutospacing="0" w:line="596" w:lineRule="exact"/>
        <w:ind w:firstLine="640" w:firstLineChars="200"/>
        <w:rPr>
          <w:rFonts w:hint="default" w:ascii="方正楷体_GBK" w:hAnsi="方正楷体_GBK" w:eastAsia="方正楷体_GBK" w:cs="方正楷体_GBK"/>
          <w:sz w:val="32"/>
          <w:szCs w:val="32"/>
          <w:shd w:val="clear" w:color="auto" w:fill="FFFFFF"/>
          <w:lang w:val="en-US" w:eastAsia="zh-CN" w:bidi="ar-SA"/>
        </w:rPr>
      </w:pPr>
      <w:r>
        <w:rPr>
          <w:rFonts w:hint="eastAsia" w:ascii="方正楷体_GBK" w:hAnsi="方正楷体_GBK" w:eastAsia="方正楷体_GBK" w:cs="方正楷体_GBK"/>
          <w:sz w:val="32"/>
          <w:szCs w:val="32"/>
          <w:shd w:val="clear" w:color="auto" w:fill="FFFFFF"/>
          <w:lang w:val="en-US" w:eastAsia="zh-CN" w:bidi="ar-SA"/>
        </w:rPr>
        <w:t>（三）国有资产占用情况说明</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截至2024年12月31日，本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共有车辆1辆，其中，副部（省）级及以上领导用车0辆、主要负责人用车0辆、机要通信用车0辆、应急保障用车1辆、执法执勤用车0辆，特种专业技术用车0辆，离退休干部用车0辆。单价100万元（含）以上专用设备0台（套）。</w:t>
      </w:r>
    </w:p>
    <w:p>
      <w:pPr>
        <w:pStyle w:val="9"/>
        <w:shd w:val="clear" w:color="auto" w:fill="FFFFFF"/>
        <w:spacing w:before="0" w:beforeAutospacing="0" w:after="0" w:afterAutospacing="0" w:line="596" w:lineRule="exact"/>
        <w:ind w:firstLine="640" w:firstLineChars="200"/>
        <w:rPr>
          <w:rFonts w:hint="default" w:ascii="方正楷体_GBK" w:hAnsi="方正楷体_GBK" w:eastAsia="方正楷体_GBK" w:cs="方正楷体_GBK"/>
          <w:sz w:val="32"/>
          <w:szCs w:val="32"/>
          <w:shd w:val="clear" w:color="auto" w:fill="FFFFFF"/>
          <w:lang w:val="en-US" w:eastAsia="zh-CN" w:bidi="ar-SA"/>
        </w:rPr>
      </w:pPr>
      <w:r>
        <w:rPr>
          <w:rFonts w:hint="eastAsia" w:ascii="方正楷体_GBK" w:hAnsi="方正楷体_GBK" w:eastAsia="方正楷体_GBK" w:cs="方正楷体_GBK"/>
          <w:sz w:val="32"/>
          <w:szCs w:val="32"/>
          <w:shd w:val="clear" w:color="auto" w:fill="FFFFFF"/>
          <w:lang w:val="en-US" w:eastAsia="zh-CN" w:bidi="ar-SA"/>
        </w:rPr>
        <w:t>（四）政府采购支出情况说明</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2024年度我</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未发生政府采购事项，无相关经费支出。</w:t>
      </w:r>
    </w:p>
    <w:p>
      <w:pPr>
        <w:pStyle w:val="9"/>
        <w:shd w:val="clear" w:color="auto" w:fill="FFFFFF"/>
        <w:spacing w:before="0" w:beforeAutospacing="0" w:after="0" w:afterAutospacing="0" w:line="596" w:lineRule="exact"/>
        <w:ind w:firstLine="640" w:firstLineChars="200"/>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五、2024年度预算绩效管理情况说明</w:t>
      </w:r>
    </w:p>
    <w:p>
      <w:pPr>
        <w:pStyle w:val="15"/>
        <w:spacing w:before="0" w:beforeAutospacing="0" w:after="0" w:afterAutospacing="0" w:line="596" w:lineRule="exact"/>
        <w:ind w:firstLine="640" w:firstLineChars="200"/>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（一）单位自评情况</w:t>
      </w:r>
    </w:p>
    <w:p>
      <w:pPr>
        <w:pStyle w:val="15"/>
        <w:autoSpaceDE w:val="0"/>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根据预算绩效管理要求，我单位对24个二级项目开展了绩效自评，涉及财政拨款项目支出资金413.28万元。</w:t>
      </w:r>
    </w:p>
    <w:p>
      <w:pPr>
        <w:pStyle w:val="15"/>
        <w:autoSpaceDE w:val="0"/>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（二）部门绩效评价情况</w:t>
      </w:r>
      <w:r>
        <w:rPr>
          <w:rFonts w:hint="eastAsia" w:ascii="Times New Roman" w:hAnsi="Times New Roman" w:eastAsia="方正仿宋_GBK"/>
          <w:sz w:val="32"/>
          <w:szCs w:val="32"/>
          <w:shd w:val="clear" w:color="auto" w:fill="FFFFFF"/>
        </w:rPr>
        <w:t xml:space="preserve"> </w:t>
      </w:r>
    </w:p>
    <w:p>
      <w:pPr>
        <w:pStyle w:val="15"/>
        <w:autoSpaceDE w:val="0"/>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我单位属于二级预算单位无部门绩效评价。</w:t>
      </w:r>
    </w:p>
    <w:p>
      <w:pPr>
        <w:pStyle w:val="19"/>
        <w:autoSpaceDE w:val="0"/>
        <w:spacing w:line="596" w:lineRule="exact"/>
        <w:ind w:firstLine="640"/>
        <w:rPr>
          <w:rFonts w:hint="default"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shd w:val="clear" w:color="auto" w:fill="FFFFFF"/>
          <w:lang w:val="en-US" w:eastAsia="zh-CN" w:bidi="ar-SA"/>
        </w:rPr>
        <w:t xml:space="preserve">（三）财政绩效评价情况 </w:t>
      </w:r>
      <w:r>
        <w:rPr>
          <w:rFonts w:ascii="Times New Roman" w:hAnsi="Times New Roman" w:eastAsia="方正仿宋_GBK"/>
          <w:sz w:val="32"/>
          <w:szCs w:val="32"/>
          <w:shd w:val="clear" w:color="auto" w:fill="FFFFFF"/>
        </w:rPr>
        <w:t xml:space="preserve">  </w:t>
      </w:r>
    </w:p>
    <w:p>
      <w:pPr>
        <w:pStyle w:val="19"/>
        <w:autoSpaceDE w:val="0"/>
        <w:spacing w:line="596" w:lineRule="exact"/>
        <w:ind w:firstLine="640"/>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县财政局未委托第三方对我单位进行项目评价。</w:t>
      </w:r>
    </w:p>
    <w:p>
      <w:pPr>
        <w:pStyle w:val="9"/>
        <w:shd w:val="clear" w:color="auto" w:fill="FFFFFF"/>
        <w:spacing w:before="0" w:beforeAutospacing="0" w:after="0" w:afterAutospacing="0" w:line="596" w:lineRule="exact"/>
        <w:ind w:firstLine="640" w:firstLineChars="200"/>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六、专业名词解释</w:t>
      </w:r>
    </w:p>
    <w:p>
      <w:pPr>
        <w:pStyle w:val="15"/>
        <w:spacing w:before="0" w:beforeAutospacing="0" w:after="0" w:afterAutospacing="0" w:line="596" w:lineRule="exact"/>
        <w:ind w:firstLine="640" w:firstLineChars="200"/>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（一）财政拨款收入：</w:t>
      </w:r>
      <w:r>
        <w:rPr>
          <w:rFonts w:hint="eastAsia" w:ascii="Times New Roman" w:hAnsi="Times New Roman" w:eastAsia="方正仿宋_GBK"/>
          <w:sz w:val="32"/>
          <w:szCs w:val="32"/>
          <w:shd w:val="clear" w:color="auto" w:fill="FFFFFF"/>
        </w:rPr>
        <w:t>指本年度从本级财政部门取得的财政拨款，包括一般公共预算财政拨款和政府性基金预算</w:t>
      </w:r>
      <w:r>
        <w:rPr>
          <w:rFonts w:hint="eastAsia" w:ascii="方正楷体_GBK" w:hAnsi="方正楷体_GBK" w:eastAsia="方正楷体_GBK" w:cs="方正楷体_GBK"/>
          <w:sz w:val="32"/>
          <w:szCs w:val="32"/>
          <w:shd w:val="clear" w:color="auto" w:fill="FFFFFF"/>
        </w:rPr>
        <w:t>财政拨款。</w:t>
      </w:r>
    </w:p>
    <w:p>
      <w:pPr>
        <w:pStyle w:val="15"/>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（二）事业收入：</w:t>
      </w:r>
      <w:r>
        <w:rPr>
          <w:rFonts w:hint="eastAsia"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15"/>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（三）经营收入：</w:t>
      </w:r>
      <w:r>
        <w:rPr>
          <w:rFonts w:hint="eastAsia"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15"/>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（四）其他收入：</w:t>
      </w:r>
      <w:r>
        <w:rPr>
          <w:rFonts w:hint="eastAsia"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（五）使用非财政拨款结余（含专用结余）：</w:t>
      </w:r>
      <w:r>
        <w:rPr>
          <w:rFonts w:hint="eastAsia"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5"/>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（六）年初结转和结余：</w:t>
      </w:r>
      <w:r>
        <w:rPr>
          <w:rFonts w:hint="eastAsia" w:ascii="Times New Roman" w:hAnsi="Times New Roman" w:eastAsia="方正仿宋_GBK"/>
          <w:sz w:val="32"/>
          <w:szCs w:val="32"/>
          <w:shd w:val="clear" w:color="auto" w:fill="FFFFFF"/>
        </w:rPr>
        <w:t>指单位上年结转本年使用的基本支出结转、项目支出结转和结余、经营结余。</w:t>
      </w:r>
    </w:p>
    <w:p>
      <w:pPr>
        <w:pStyle w:val="15"/>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（七）结余分配：</w:t>
      </w:r>
      <w:r>
        <w:rPr>
          <w:rFonts w:hint="eastAsia"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15"/>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（八）年末结转和结余：</w:t>
      </w:r>
      <w:r>
        <w:rPr>
          <w:rFonts w:hint="eastAsia" w:ascii="Times New Roman" w:hAnsi="Times New Roman" w:eastAsia="方正仿宋_GBK"/>
          <w:sz w:val="32"/>
          <w:szCs w:val="32"/>
          <w:shd w:val="clear" w:color="auto" w:fill="FFFFFF"/>
        </w:rPr>
        <w:t>指单位结转下年的基本支出结转、项目支出结转和结余、经营结余。</w:t>
      </w:r>
    </w:p>
    <w:p>
      <w:pPr>
        <w:pStyle w:val="15"/>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（九）基本支出：</w:t>
      </w:r>
      <w:r>
        <w:rPr>
          <w:rFonts w:hint="eastAsia"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（十）项目支出：</w:t>
      </w:r>
      <w:r>
        <w:rPr>
          <w:rFonts w:hint="eastAsia" w:ascii="Times New Roman" w:hAnsi="Times New Roman" w:eastAsia="方正仿宋_GBK"/>
          <w:sz w:val="32"/>
          <w:szCs w:val="32"/>
          <w:shd w:val="clear" w:color="auto" w:fill="FFFFFF"/>
        </w:rPr>
        <w:t>指在基本支出之外为完成特定行政任务和事业发展目标所发生的支出。</w:t>
      </w:r>
    </w:p>
    <w:p>
      <w:pPr>
        <w:pStyle w:val="15"/>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（十一）经营支出：</w:t>
      </w:r>
      <w:r>
        <w:rPr>
          <w:rFonts w:hint="eastAsia" w:ascii="Times New Roman" w:hAnsi="Times New Roman" w:eastAsia="方正仿宋_GBK"/>
          <w:sz w:val="32"/>
          <w:szCs w:val="32"/>
          <w:shd w:val="clear" w:color="auto" w:fill="FFFFFF"/>
        </w:rPr>
        <w:t>指事业单位在专业业务活动及其辅助活动之外开展非独立核算经营活动发生的支出。</w:t>
      </w:r>
    </w:p>
    <w:p>
      <w:pPr>
        <w:pStyle w:val="15"/>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（十二）“三公”经费：</w:t>
      </w:r>
      <w:r>
        <w:rPr>
          <w:rFonts w:hint="eastAsia"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（十三）机关运行经费：</w:t>
      </w:r>
      <w:r>
        <w:rPr>
          <w:rFonts w:hint="eastAsia"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（十四）工资福利支出（支出经济分类科目类级）：</w:t>
      </w:r>
      <w:r>
        <w:rPr>
          <w:rFonts w:hint="eastAsia"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15"/>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（十五）商品和服务支出（支出经济分类科目类级）：</w:t>
      </w:r>
      <w:r>
        <w:rPr>
          <w:rFonts w:hint="eastAsia"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15"/>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（十六）对个人和家庭的补助（支出经济分类科目类级）：</w:t>
      </w:r>
      <w:r>
        <w:rPr>
          <w:rFonts w:hint="eastAsia" w:ascii="Times New Roman" w:hAnsi="Times New Roman" w:eastAsia="方正仿宋_GBK"/>
          <w:sz w:val="32"/>
          <w:szCs w:val="32"/>
          <w:shd w:val="clear" w:color="auto" w:fill="FFFFFF"/>
        </w:rPr>
        <w:t>反映用于对个人和家庭的补助支出。</w:t>
      </w:r>
    </w:p>
    <w:p>
      <w:pPr>
        <w:pStyle w:val="15"/>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（十七）其他资本性支出（支出经济分类科目类级）：</w:t>
      </w:r>
      <w:r>
        <w:rPr>
          <w:rFonts w:hint="eastAsia"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9"/>
        <w:shd w:val="clear" w:color="auto" w:fill="FFFFFF"/>
        <w:spacing w:before="0" w:beforeAutospacing="0" w:after="0" w:afterAutospacing="0" w:line="596" w:lineRule="exact"/>
        <w:ind w:firstLine="640" w:firstLineChars="200"/>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七、决算公开联系方式及信息反馈渠道</w:t>
      </w:r>
    </w:p>
    <w:p>
      <w:pPr>
        <w:pStyle w:val="15"/>
        <w:spacing w:before="0" w:beforeAutospacing="0" w:after="0" w:afterAutospacing="0" w:line="596" w:lineRule="exact"/>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本单位决算公开信息反馈和联系方式：</w:t>
      </w:r>
    </w:p>
    <w:p>
      <w:pPr>
        <w:pStyle w:val="15"/>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张丽华   023-70725145</w:t>
      </w:r>
    </w:p>
    <w:p>
      <w:pPr>
        <w:pStyle w:val="15"/>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附件：丰都县楠木林场2024年度项目绩效自评表</w:t>
      </w:r>
    </w:p>
    <w:p>
      <w:pPr>
        <w:pStyle w:val="15"/>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p>
    <w:p>
      <w:pPr>
        <w:pStyle w:val="15"/>
        <w:spacing w:before="0" w:beforeAutospacing="0" w:after="0" w:afterAutospacing="0" w:line="596" w:lineRule="exact"/>
        <w:ind w:firstLine="643" w:firstLineChars="200"/>
        <w:rPr>
          <w:rStyle w:val="13"/>
          <w:rFonts w:ascii="黑体" w:hAnsi="黑体" w:eastAsia="黑体" w:cs="黑体"/>
          <w:sz w:val="32"/>
          <w:szCs w:val="32"/>
          <w:shd w:val="clear" w:color="auto" w:fill="FFFFFF"/>
        </w:rPr>
      </w:pPr>
    </w:p>
    <w:p>
      <w:pPr>
        <w:pStyle w:val="15"/>
        <w:spacing w:before="0" w:beforeAutospacing="0" w:after="0" w:afterAutospacing="0" w:line="596" w:lineRule="exact"/>
        <w:ind w:firstLine="643" w:firstLineChars="200"/>
        <w:rPr>
          <w:rStyle w:val="13"/>
          <w:rFonts w:ascii="黑体" w:hAnsi="黑体" w:eastAsia="黑体" w:cs="黑体"/>
          <w:sz w:val="32"/>
          <w:szCs w:val="32"/>
          <w:shd w:val="clear" w:color="auto" w:fill="FFFFFF"/>
        </w:rPr>
      </w:pPr>
    </w:p>
    <w:p>
      <w:pPr>
        <w:pStyle w:val="15"/>
        <w:spacing w:before="0" w:beforeAutospacing="0" w:after="0" w:afterAutospacing="0" w:line="596" w:lineRule="exact"/>
        <w:ind w:firstLine="643" w:firstLineChars="200"/>
        <w:rPr>
          <w:rStyle w:val="13"/>
          <w:rFonts w:ascii="黑体" w:hAnsi="黑体" w:eastAsia="黑体" w:cs="黑体"/>
          <w:sz w:val="32"/>
          <w:szCs w:val="32"/>
          <w:shd w:val="clear" w:color="auto" w:fill="FFFFFF"/>
        </w:rPr>
      </w:pPr>
      <w:bookmarkStart w:id="0" w:name="_GoBack"/>
      <w:bookmarkEnd w:id="0"/>
    </w:p>
    <w:p>
      <w:pPr>
        <w:pStyle w:val="15"/>
        <w:spacing w:before="0" w:beforeAutospacing="0" w:after="0" w:afterAutospacing="0" w:line="596" w:lineRule="exact"/>
        <w:ind w:firstLine="643" w:firstLineChars="200"/>
        <w:rPr>
          <w:rStyle w:val="13"/>
          <w:rFonts w:ascii="黑体" w:hAnsi="黑体" w:eastAsia="黑体" w:cs="黑体"/>
          <w:sz w:val="32"/>
          <w:szCs w:val="32"/>
          <w:shd w:val="clear" w:color="auto" w:fill="FFFFFF"/>
        </w:rPr>
      </w:pPr>
    </w:p>
    <w:p>
      <w:pPr>
        <w:pStyle w:val="15"/>
        <w:spacing w:before="0" w:beforeAutospacing="0" w:after="0" w:afterAutospacing="0" w:line="596" w:lineRule="exact"/>
        <w:ind w:firstLine="643" w:firstLineChars="200"/>
        <w:rPr>
          <w:rStyle w:val="13"/>
          <w:rFonts w:ascii="黑体" w:hAnsi="黑体" w:eastAsia="黑体" w:cs="黑体"/>
          <w:sz w:val="32"/>
          <w:szCs w:val="32"/>
          <w:shd w:val="clear" w:color="auto" w:fill="FFFFFF"/>
        </w:rPr>
      </w:pPr>
    </w:p>
    <w:p>
      <w:pPr>
        <w:pStyle w:val="15"/>
        <w:spacing w:before="0" w:beforeAutospacing="0" w:after="0" w:afterAutospacing="0" w:line="596" w:lineRule="exact"/>
        <w:rPr>
          <w:rStyle w:val="13"/>
          <w:rFonts w:ascii="黑体" w:hAnsi="黑体" w:eastAsia="黑体" w:cs="黑体"/>
          <w:sz w:val="32"/>
          <w:szCs w:val="32"/>
          <w:shd w:val="clear" w:color="auto" w:fill="FFFFFF"/>
        </w:rPr>
      </w:pPr>
    </w:p>
    <w:p>
      <w:pPr>
        <w:pStyle w:val="15"/>
        <w:spacing w:before="0" w:beforeAutospacing="0" w:after="0" w:afterAutospacing="0" w:line="596" w:lineRule="exact"/>
        <w:rPr>
          <w:rStyle w:val="13"/>
          <w:rFonts w:ascii="黑体" w:hAnsi="黑体" w:eastAsia="黑体" w:cs="黑体"/>
          <w:sz w:val="32"/>
          <w:szCs w:val="32"/>
          <w:shd w:val="clear" w:color="auto" w:fill="FFFFFF"/>
        </w:r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丰都县楠木林场</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1,007.32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93.24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97.61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732.97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1,007.32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1,074.04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113.03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1,120.35</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1,120.35</w:t>
            </w:r>
            <w:r>
              <w:rPr>
                <w:rFonts w:ascii="Times New Roman" w:hAnsi="Times New Roman"/>
                <w:color w:val="000000"/>
                <w:sz w:val="20"/>
              </w:rPr>
              <w:t xml:space="preserve"> </w:t>
            </w:r>
          </w:p>
        </w:tc>
      </w:tr>
    </w:tbl>
    <w:p>
      <w:pPr>
        <w:rPr>
          <w:rFonts w:hint="default" w:cs="宋体"/>
          <w:sz w:val="21"/>
          <w:szCs w:val="21"/>
        </w:rPr>
      </w:pPr>
    </w:p>
    <w:p>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spacing w:line="240" w:lineRule="exact"/>
        <w:rPr>
          <w:rFonts w:cs="宋体"/>
          <w:sz w:val="20"/>
          <w:szCs w:val="20"/>
        </w:rPr>
      </w:pPr>
    </w:p>
    <w:p>
      <w:pPr>
        <w:spacing w:line="240" w:lineRule="exact"/>
        <w:rPr>
          <w:rFonts w:hint="default" w:cs="宋体"/>
          <w:sz w:val="20"/>
          <w:szCs w:val="20"/>
        </w:rPr>
      </w:pP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丰都县楠木林场</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1,007.32</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1,007.32</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93.24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93.24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93.24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93.24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97.61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97.61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97.61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97.61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66.01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66.01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停伐补助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666.25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666.25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666.25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666.25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608.90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608.90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丰都县楠木林场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1,074.04</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753.46</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320.58</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93.24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93.24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93.24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93.24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97.61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97.61</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97.61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97.61</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66.01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66.01</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停伐补助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732.97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608.90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124.07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732.97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608.90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124.07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608.90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608.90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39.69</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54.08</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丰都县楠木林场</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1,007.32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93.24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93.24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97.61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97.61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732.97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732.97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30.93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30.93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1,007.32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1,074.04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1,074.04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113.03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113.03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1,120.35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1,120.35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1,120.35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6"/>
        <w:gridCol w:w="4073"/>
        <w:gridCol w:w="3306"/>
        <w:gridCol w:w="3297"/>
        <w:gridCol w:w="3340"/>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丰都县楠木林场</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1,074.04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753.46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320.58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93.24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93.24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93.24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93.24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28.46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28.46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28.44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28.44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97.61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97.61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97.61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97.61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66.01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66.01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停伐补助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732.97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608.90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124.07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732.97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608.90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124.07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608.90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608.90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39.69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39.69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54.08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54.08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30.93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30.93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丰都县楠木林场</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591.78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121.55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164.44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21.58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274.24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39.73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34.18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32.40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40.13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62.63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631.91</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121.55</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丰都县楠木林场</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丰都县楠木林场</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丰都县楠木林场</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3.79</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3.79</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3.79</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19.54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3" w:type="default"/>
      <w:footerReference r:id="rId4"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w:r>
    <w:r>
      <w:rPr>
        <w:rFonts w:hint="default"/>
      </w:rPr>
      <w:pict>
        <v:shape id="_x0000_s4098" o:spid="_x0000_s4098"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ZkYzUxMWVlZTQ4NmU5OWNmODNiNTE4NWY2YTlhMmQifQ=="/>
  </w:docVars>
  <w:rsids>
    <w:rsidRoot w:val="00B03CCD"/>
    <w:rsid w:val="000239C6"/>
    <w:rsid w:val="001D3BB7"/>
    <w:rsid w:val="0026260D"/>
    <w:rsid w:val="002B254B"/>
    <w:rsid w:val="0034050A"/>
    <w:rsid w:val="0044504F"/>
    <w:rsid w:val="00466C9B"/>
    <w:rsid w:val="00486CFC"/>
    <w:rsid w:val="00491DDD"/>
    <w:rsid w:val="00550ABE"/>
    <w:rsid w:val="00623A85"/>
    <w:rsid w:val="00770383"/>
    <w:rsid w:val="007819D4"/>
    <w:rsid w:val="007B419D"/>
    <w:rsid w:val="007B7C4B"/>
    <w:rsid w:val="007D3D39"/>
    <w:rsid w:val="008D70D7"/>
    <w:rsid w:val="00984C6A"/>
    <w:rsid w:val="00994AF7"/>
    <w:rsid w:val="009B67B8"/>
    <w:rsid w:val="009C14C9"/>
    <w:rsid w:val="009D2B67"/>
    <w:rsid w:val="009E1452"/>
    <w:rsid w:val="00A566F9"/>
    <w:rsid w:val="00AC60F6"/>
    <w:rsid w:val="00AF2751"/>
    <w:rsid w:val="00B03CCD"/>
    <w:rsid w:val="00BE2B89"/>
    <w:rsid w:val="00BF0D89"/>
    <w:rsid w:val="00C10E9E"/>
    <w:rsid w:val="00C20C3E"/>
    <w:rsid w:val="00C5163E"/>
    <w:rsid w:val="00CF2ACF"/>
    <w:rsid w:val="00D03AAF"/>
    <w:rsid w:val="00DD0539"/>
    <w:rsid w:val="00E07662"/>
    <w:rsid w:val="00E368E9"/>
    <w:rsid w:val="00EE1E33"/>
    <w:rsid w:val="00F4532B"/>
    <w:rsid w:val="00F73F90"/>
    <w:rsid w:val="00FB4B3B"/>
    <w:rsid w:val="010863BF"/>
    <w:rsid w:val="01474EBF"/>
    <w:rsid w:val="01F3521E"/>
    <w:rsid w:val="03B87EA0"/>
    <w:rsid w:val="03E3214F"/>
    <w:rsid w:val="044C50BA"/>
    <w:rsid w:val="05BC6D49"/>
    <w:rsid w:val="06194FF1"/>
    <w:rsid w:val="06A2550B"/>
    <w:rsid w:val="06A86CC4"/>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4B5C57"/>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951D39"/>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2E63C5F"/>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37A89"/>
    <w:rsid w:val="2B2729C0"/>
    <w:rsid w:val="2B8209DE"/>
    <w:rsid w:val="2B821C91"/>
    <w:rsid w:val="2BF81A22"/>
    <w:rsid w:val="2C636760"/>
    <w:rsid w:val="2C6762A3"/>
    <w:rsid w:val="2FCA4B37"/>
    <w:rsid w:val="2FE029D7"/>
    <w:rsid w:val="2FF06E00"/>
    <w:rsid w:val="30586FEC"/>
    <w:rsid w:val="3106162E"/>
    <w:rsid w:val="315F0B22"/>
    <w:rsid w:val="31A15828"/>
    <w:rsid w:val="31D84415"/>
    <w:rsid w:val="32285F6F"/>
    <w:rsid w:val="32770556"/>
    <w:rsid w:val="329C0913"/>
    <w:rsid w:val="32AA0460"/>
    <w:rsid w:val="3337290D"/>
    <w:rsid w:val="33E31118"/>
    <w:rsid w:val="33EF7674"/>
    <w:rsid w:val="33F819E0"/>
    <w:rsid w:val="342D7BC6"/>
    <w:rsid w:val="352930DB"/>
    <w:rsid w:val="35573069"/>
    <w:rsid w:val="355F6038"/>
    <w:rsid w:val="358C217E"/>
    <w:rsid w:val="36C9128A"/>
    <w:rsid w:val="37841E99"/>
    <w:rsid w:val="37BF1123"/>
    <w:rsid w:val="383C3F15"/>
    <w:rsid w:val="385C2E16"/>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78509C8"/>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695011"/>
    <w:rsid w:val="4E947DC8"/>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EA24F46"/>
    <w:rsid w:val="5F2D4A41"/>
    <w:rsid w:val="60C74F6C"/>
    <w:rsid w:val="61015958"/>
    <w:rsid w:val="61025A59"/>
    <w:rsid w:val="613D5BBC"/>
    <w:rsid w:val="61536C39"/>
    <w:rsid w:val="6252740D"/>
    <w:rsid w:val="62944DD7"/>
    <w:rsid w:val="6319381F"/>
    <w:rsid w:val="63C25DC5"/>
    <w:rsid w:val="63C62057"/>
    <w:rsid w:val="64571EF5"/>
    <w:rsid w:val="648D270D"/>
    <w:rsid w:val="64FB113D"/>
    <w:rsid w:val="656152C6"/>
    <w:rsid w:val="6587477F"/>
    <w:rsid w:val="658C3A08"/>
    <w:rsid w:val="65C031CA"/>
    <w:rsid w:val="65CE6852"/>
    <w:rsid w:val="65F00576"/>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EB1D39"/>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E4171EA"/>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21</Pages>
  <Words>8964</Words>
  <Characters>12416</Characters>
  <Lines>112</Lines>
  <Paragraphs>31</Paragraphs>
  <TotalTime>1</TotalTime>
  <ScaleCrop>false</ScaleCrop>
  <LinksUpToDate>false</LinksUpToDate>
  <CharactersWithSpaces>13670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格子</cp:lastModifiedBy>
  <dcterms:modified xsi:type="dcterms:W3CDTF">2025-09-17T03:09:11Z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BB46EABDBB2749749395447164B066B3_12</vt:lpwstr>
  </property>
  <property fmtid="{D5CDD505-2E9C-101B-9397-08002B2CF9AE}" pid="4" name="KSOTemplateDocerSaveRecord">
    <vt:lpwstr>eyJoZGlkIjoiNzBlNzQ1OWEyZjk1MGRhNDk5ZjY0ZTdiMTRkMjA0NzkiLCJ1c2VySWQiOiIxNTU1ODM0OTc1In0=</vt:lpwstr>
  </property>
</Properties>
</file>