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1867">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880" w:firstLineChars="200"/>
        <w:jc w:val="center"/>
        <w:outlineLvl w:val="9"/>
        <w:rPr>
          <w:rFonts w:hint="eastAsia" w:ascii="方正小标宋_GBK" w:hAnsi="方正小标宋_GBK" w:eastAsia="方正小标宋_GBK" w:cs="方正小标宋_GBK"/>
          <w:sz w:val="44"/>
          <w:szCs w:val="44"/>
          <w:shd w:val="clear" w:fill="FFFFFF"/>
          <w:lang w:val="en-US"/>
        </w:rPr>
      </w:pPr>
      <w:r>
        <w:rPr>
          <w:rFonts w:hint="eastAsia" w:ascii="方正小标宋_GBK" w:hAnsi="方正小标宋_GBK" w:eastAsia="方正小标宋_GBK" w:cs="方正小标宋_GBK"/>
          <w:sz w:val="44"/>
          <w:szCs w:val="44"/>
          <w:shd w:val="clear" w:fill="FFFFFF"/>
          <w:lang w:eastAsia="zh-CN"/>
        </w:rPr>
        <w:t xml:space="preserve"> </w:t>
      </w:r>
    </w:p>
    <w:p w14:paraId="12DAF4A8">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880" w:firstLineChars="200"/>
        <w:jc w:val="center"/>
        <w:outlineLvl w:val="9"/>
        <w:rPr>
          <w:rFonts w:hint="eastAsia" w:ascii="方正小标宋_GBK" w:hAnsi="方正小标宋_GBK" w:eastAsia="方正小标宋_GBK" w:cs="方正小标宋_GBK"/>
          <w:sz w:val="44"/>
          <w:szCs w:val="44"/>
          <w:shd w:val="clear" w:fill="FFFFFF"/>
          <w:lang w:val="en-US"/>
        </w:rPr>
      </w:pPr>
      <w:r>
        <w:rPr>
          <w:rFonts w:hint="eastAsia" w:ascii="方正小标宋_GBK" w:hAnsi="方正小标宋_GBK" w:eastAsia="方正小标宋_GBK" w:cs="方正小标宋_GBK"/>
          <w:sz w:val="44"/>
          <w:szCs w:val="44"/>
          <w:shd w:val="clear" w:fill="FFFFFF"/>
          <w:lang w:eastAsia="zh-CN"/>
        </w:rPr>
        <w:t>重庆市丰都县民政局</w:t>
      </w:r>
    </w:p>
    <w:p w14:paraId="2C45F99B">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880" w:firstLineChars="200"/>
        <w:jc w:val="center"/>
        <w:outlineLvl w:val="9"/>
        <w:rPr>
          <w:rFonts w:hint="eastAsia" w:ascii="方正小标宋_GBK" w:hAnsi="方正小标宋_GBK" w:eastAsia="方正小标宋_GBK" w:cs="方正小标宋_GBK"/>
          <w:sz w:val="44"/>
          <w:szCs w:val="44"/>
          <w:shd w:val="clear" w:fill="FFFFFF"/>
          <w:lang w:val="en-US"/>
        </w:rPr>
      </w:pPr>
      <w:r>
        <w:rPr>
          <w:rFonts w:hint="eastAsia" w:ascii="方正小标宋_GBK" w:hAnsi="方正小标宋_GBK" w:eastAsia="方正小标宋_GBK" w:cs="方正小标宋_GBK"/>
          <w:sz w:val="44"/>
          <w:szCs w:val="44"/>
          <w:shd w:val="clear" w:fill="FFFFFF"/>
          <w:lang w:val="en-US"/>
        </w:rPr>
        <w:t>2022</w:t>
      </w:r>
      <w:r>
        <w:rPr>
          <w:rFonts w:hint="eastAsia" w:ascii="方正小标宋_GBK" w:hAnsi="方正小标宋_GBK" w:eastAsia="方正小标宋_GBK" w:cs="方正小标宋_GBK"/>
          <w:sz w:val="44"/>
          <w:szCs w:val="44"/>
          <w:shd w:val="clear" w:fill="FFFFFF"/>
          <w:lang w:eastAsia="zh-CN"/>
        </w:rPr>
        <w:t>年度部门决算情况说明</w:t>
      </w:r>
    </w:p>
    <w:p w14:paraId="44A75EAE">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b w:val="0"/>
          <w:sz w:val="32"/>
          <w:szCs w:val="32"/>
          <w:lang w:val="en-US"/>
        </w:rPr>
      </w:pPr>
      <w:r>
        <w:rPr>
          <w:rStyle w:val="6"/>
          <w:rFonts w:hint="eastAsia" w:ascii="黑体" w:hAnsi="宋体" w:eastAsia="黑体" w:cs="黑体"/>
          <w:b w:val="0"/>
          <w:sz w:val="32"/>
          <w:szCs w:val="32"/>
          <w:shd w:val="clear" w:fill="FFFFFF"/>
          <w:lang w:val="en-US"/>
        </w:rPr>
        <w:t xml:space="preserve"> </w:t>
      </w:r>
    </w:p>
    <w:p w14:paraId="79C06631">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pPr>
      <w:r>
        <w:rPr>
          <w:rStyle w:val="6"/>
          <w:rFonts w:hint="eastAsia" w:ascii="黑体" w:hAnsi="宋体" w:eastAsia="黑体" w:cs="黑体"/>
          <w:b w:val="0"/>
          <w:sz w:val="32"/>
          <w:szCs w:val="32"/>
          <w:shd w:val="clear" w:fill="FFFFFF"/>
          <w:lang w:eastAsia="zh-CN"/>
        </w:rPr>
        <w:t>一、部门基本情况</w:t>
      </w:r>
    </w:p>
    <w:p w14:paraId="75AC4F87">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sz w:val="32"/>
          <w:szCs w:val="32"/>
          <w:shd w:val="clear" w:fill="FFFFFF"/>
          <w:lang w:val="en-US"/>
        </w:rPr>
      </w:pPr>
      <w:r>
        <w:rPr>
          <w:rStyle w:val="6"/>
          <w:rFonts w:hint="eastAsia" w:ascii="方正楷体_GBK" w:hAnsi="方正楷体_GBK" w:eastAsia="方正楷体_GBK" w:cs="方正楷体_GBK"/>
          <w:b w:val="0"/>
          <w:sz w:val="32"/>
          <w:szCs w:val="32"/>
          <w:shd w:val="clear" w:fill="FFFFFF"/>
          <w:lang w:eastAsia="zh-CN"/>
        </w:rPr>
        <w:t>（一）职能职责</w:t>
      </w:r>
    </w:p>
    <w:p w14:paraId="44E9F83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w:t>
      </w:r>
      <w:r>
        <w:rPr>
          <w:rFonts w:hint="eastAsia" w:ascii="方正仿宋_GBK" w:hAnsi="方正仿宋_GBK" w:eastAsia="方正仿宋_GBK" w:cs="方正仿宋_GBK"/>
          <w:sz w:val="32"/>
          <w:szCs w:val="32"/>
          <w:lang w:eastAsia="zh-CN"/>
        </w:rPr>
        <w:t xml:space="preserve">贯彻执行国家和重庆市关于民政工作的方针、政策和法律、法规，研究提出民政事业发展规划，制定民政工作的近期改革与发展计划并负责组织实施。 </w:t>
      </w:r>
    </w:p>
    <w:p w14:paraId="44E8E70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w:t>
      </w:r>
      <w:r>
        <w:rPr>
          <w:rFonts w:hint="eastAsia" w:ascii="方正仿宋_GBK" w:hAnsi="方正仿宋_GBK" w:eastAsia="方正仿宋_GBK" w:cs="方正仿宋_GBK"/>
          <w:sz w:val="32"/>
          <w:szCs w:val="32"/>
          <w:lang w:eastAsia="zh-CN"/>
        </w:rPr>
        <w:t>负责全县社团组织和民办非企业单位的登记和年检；指导、监督各社会团体规范管理，在法律、法规范围内活动，查处社团组织的违法行为和未经登记而以社团名义开展活动的非法组织。</w:t>
      </w:r>
    </w:p>
    <w:p w14:paraId="5CC5C58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lang w:eastAsia="zh-CN"/>
        </w:rPr>
        <w:t>统筹社会救助体系建设，落实社会救助政策、标准，负责城乡居民最低生活保障、特困人员救助供养、临时救助、生活无着流浪乞讨人员救助工作。</w:t>
      </w:r>
    </w:p>
    <w:p w14:paraId="427B644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lang w:eastAsia="zh-CN"/>
        </w:rPr>
        <w:t xml:space="preserve">研究提出加强和改进全县基层政权建设的意见和建议；指导乡镇（街道）、村民委员会推动政（村）务公开和民主政治建设；指导城镇居民委员会建设。 </w:t>
      </w:r>
    </w:p>
    <w:p w14:paraId="7A6C44E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lang w:eastAsia="zh-CN"/>
        </w:rPr>
        <w:t xml:space="preserve">制定社区建设规划和社会服务管理办法及促进发展的政策措施，推动社区建设。 </w:t>
      </w:r>
    </w:p>
    <w:p w14:paraId="630E5C4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lang w:eastAsia="zh-CN"/>
        </w:rPr>
        <w:t xml:space="preserve">拟订全县行政区划总体规划；负责乡、镇、村（居）委、村（居）民小组的设立、撤销、调整、更名和界线变更及政府驻地迁移的审核报批。 </w:t>
      </w:r>
    </w:p>
    <w:p w14:paraId="5FD94C1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lang w:eastAsia="zh-CN"/>
        </w:rPr>
        <w:t>承办自然地理实体的地名、更名的审批，指导地名标志的设置和管理；负责全县标准地名图书资料的审核绘制。</w:t>
      </w:r>
    </w:p>
    <w:p w14:paraId="4AB26DE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8.</w:t>
      </w:r>
      <w:r>
        <w:rPr>
          <w:rFonts w:hint="eastAsia" w:ascii="方正仿宋_GBK" w:hAnsi="方正仿宋_GBK" w:eastAsia="方正仿宋_GBK" w:cs="方正仿宋_GBK"/>
          <w:sz w:val="32"/>
          <w:szCs w:val="32"/>
          <w:lang w:eastAsia="zh-CN"/>
        </w:rPr>
        <w:t>负责行政区域界线的勘定工作；指导边界争议的调处。</w:t>
      </w:r>
    </w:p>
    <w:p w14:paraId="6599C9B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lang w:eastAsia="zh-CN"/>
        </w:rPr>
        <w:t>指导实施全县婚姻管理政策，推进婚俗改革。</w:t>
      </w:r>
    </w:p>
    <w:p w14:paraId="425A774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10.</w:t>
      </w:r>
      <w:r>
        <w:rPr>
          <w:rFonts w:hint="eastAsia" w:ascii="方正仿宋_GBK" w:hAnsi="方正仿宋_GBK" w:eastAsia="方正仿宋_GBK" w:cs="方正仿宋_GBK"/>
          <w:sz w:val="32"/>
          <w:szCs w:val="32"/>
          <w:lang w:eastAsia="zh-CN"/>
        </w:rPr>
        <w:t>组织实施殡葬管理政策、服务规范，推行火葬，改革土葬，推进殡葬改革。</w:t>
      </w:r>
    </w:p>
    <w:p w14:paraId="53E5F2C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11.</w:t>
      </w:r>
      <w:r>
        <w:rPr>
          <w:rFonts w:hint="eastAsia" w:ascii="方正仿宋_GBK" w:hAnsi="方正仿宋_GBK" w:eastAsia="方正仿宋_GBK" w:cs="方正仿宋_GBK"/>
          <w:sz w:val="32"/>
          <w:szCs w:val="32"/>
          <w:lang w:eastAsia="zh-CN"/>
        </w:rPr>
        <w:t>统筹推进、督促指导、监督管理养老服务工作，组织实施养老服务体系建设规划、政策、标准，负责拟订全县社会福利事业发展规划，指导、协调、管理社会福利企事业单位，组织农村敬老院建设和管理，承担老年人福利和特殊困难老年人救助工作。</w:t>
      </w:r>
    </w:p>
    <w:p w14:paraId="49CDC1B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12.</w:t>
      </w:r>
      <w:r>
        <w:rPr>
          <w:rFonts w:hint="eastAsia" w:ascii="方正仿宋_GBK" w:hAnsi="方正仿宋_GBK" w:eastAsia="方正仿宋_GBK" w:cs="方正仿宋_GBK"/>
          <w:sz w:val="32"/>
          <w:szCs w:val="32"/>
          <w:lang w:eastAsia="zh-CN"/>
        </w:rPr>
        <w:t>落实贫困残疾人生活补贴、重度残疾人护理补贴发放工作，实施经济困难高龄失能老人养老服务补贴政策，保障特殊困难群体的基本生活权益。</w:t>
      </w:r>
    </w:p>
    <w:p w14:paraId="6043C07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13.</w:t>
      </w:r>
      <w:r>
        <w:rPr>
          <w:rFonts w:hint="eastAsia" w:ascii="方正仿宋_GBK" w:hAnsi="方正仿宋_GBK" w:eastAsia="方正仿宋_GBK" w:cs="方正仿宋_GBK"/>
          <w:sz w:val="32"/>
          <w:szCs w:val="32"/>
          <w:lang w:eastAsia="zh-CN"/>
        </w:rPr>
        <w:t>组织实施儿童福利、孤弃儿童保障、儿童收养、儿童救助保护政策、标准，健全农村留守儿童关爱服务体系和困境儿童保障制度。</w:t>
      </w:r>
    </w:p>
    <w:p w14:paraId="5BFF04F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14.</w:t>
      </w:r>
      <w:r>
        <w:rPr>
          <w:rFonts w:hint="eastAsia" w:ascii="方正仿宋_GBK" w:hAnsi="方正仿宋_GBK" w:eastAsia="方正仿宋_GBK" w:cs="方正仿宋_GBK"/>
          <w:sz w:val="32"/>
          <w:szCs w:val="32"/>
          <w:lang w:eastAsia="zh-CN"/>
        </w:rPr>
        <w:t>指导实施促进慈善事业发展政策，指导社会捐助工作，组织福利彩票发行工作，管理和分配本级福利彩票公益金。</w:t>
      </w:r>
    </w:p>
    <w:p w14:paraId="6711C76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15.</w:t>
      </w:r>
      <w:r>
        <w:rPr>
          <w:rFonts w:hint="eastAsia" w:ascii="方正仿宋_GBK" w:hAnsi="方正仿宋_GBK" w:eastAsia="方正仿宋_GBK" w:cs="方正仿宋_GBK"/>
          <w:sz w:val="32"/>
          <w:szCs w:val="32"/>
          <w:lang w:eastAsia="zh-CN"/>
        </w:rPr>
        <w:t>组织实施社会工作、志愿服务政策和标准，会同有关部门推进社会工作人才队伍建设和志愿者队伍建设。</w:t>
      </w:r>
    </w:p>
    <w:p w14:paraId="3BBD264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16.</w:t>
      </w:r>
      <w:r>
        <w:rPr>
          <w:rFonts w:hint="eastAsia" w:ascii="方正仿宋_GBK" w:hAnsi="方正仿宋_GBK" w:eastAsia="方正仿宋_GBK" w:cs="方正仿宋_GBK"/>
          <w:sz w:val="32"/>
          <w:szCs w:val="32"/>
          <w:lang w:eastAsia="zh-CN"/>
        </w:rPr>
        <w:t xml:space="preserve">负责局机关和所属单位的党的建设、宣传思想、安全监管、信访稳定和民政扶贫工作。 </w:t>
      </w:r>
    </w:p>
    <w:p w14:paraId="2E05781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17.</w:t>
      </w:r>
      <w:r>
        <w:rPr>
          <w:rFonts w:hint="eastAsia" w:ascii="方正仿宋_GBK" w:hAnsi="方正仿宋_GBK" w:eastAsia="方正仿宋_GBK" w:cs="方正仿宋_GBK"/>
          <w:sz w:val="32"/>
          <w:szCs w:val="32"/>
          <w:lang w:eastAsia="zh-CN"/>
        </w:rPr>
        <w:t>完成县委、县政府交办的其他任务。</w:t>
      </w:r>
    </w:p>
    <w:p w14:paraId="259E9E92">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（二）机构设置</w:t>
      </w:r>
    </w:p>
    <w:p w14:paraId="36F4BAC5">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丰都县民政局设下列</w:t>
      </w:r>
      <w:r>
        <w:rPr>
          <w:rFonts w:hint="eastAsia" w:ascii="方正仿宋_GBK" w:hAnsi="方正仿宋_GBK" w:eastAsia="方正仿宋_GBK" w:cs="方正仿宋_GBK"/>
          <w:sz w:val="32"/>
          <w:szCs w:val="32"/>
          <w:shd w:val="clear" w:fill="FFFFFF"/>
          <w:lang w:val="en-US"/>
        </w:rPr>
        <w:t>6</w:t>
      </w:r>
      <w:r>
        <w:rPr>
          <w:rFonts w:hint="eastAsia" w:ascii="方正仿宋_GBK" w:hAnsi="方正仿宋_GBK" w:eastAsia="方正仿宋_GBK" w:cs="方正仿宋_GBK"/>
          <w:sz w:val="32"/>
          <w:szCs w:val="32"/>
          <w:shd w:val="clear" w:fill="FFFFFF"/>
          <w:lang w:eastAsia="zh-CN"/>
        </w:rPr>
        <w:t>个内设机构：办公室、财务审计科、社会事务福利科（安全监督科）、社会救助科、基层政权社工科、行政审批服务科。</w:t>
      </w:r>
    </w:p>
    <w:p w14:paraId="7B0BFE7C">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（三）单位构成</w:t>
      </w:r>
    </w:p>
    <w:p w14:paraId="1D71FC58">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从预算单位构成看，纳入本部门</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年度决算编制的二级预算单位主要包括：县民政局机关（含下属非独立核算参公事业单位</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个：县婚姻登记中心、县最低生活保障中心、县救助管理站）、县社会福利院、县殡仪馆。</w:t>
      </w:r>
    </w:p>
    <w:p w14:paraId="30D178B8">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二、部门决算情况说明</w:t>
      </w:r>
    </w:p>
    <w:p w14:paraId="511B5DB7">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（一）收入支出决算总体情况说明</w:t>
      </w:r>
    </w:p>
    <w:p w14:paraId="491CBE72">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lang w:val="en-US"/>
        </w:rPr>
      </w:pPr>
      <w:r>
        <w:rPr>
          <w:rStyle w:val="7"/>
          <w:rFonts w:hint="eastAsia" w:ascii="方正仿宋_GBK" w:hAnsi="方正仿宋_GBK" w:eastAsia="方正仿宋_GBK" w:cs="方正仿宋_GBK"/>
          <w:sz w:val="32"/>
          <w:szCs w:val="32"/>
          <w:shd w:val="clear" w:fill="FFFFFF"/>
          <w:lang w:val="en-US"/>
        </w:rPr>
        <w:t>1.</w:t>
      </w:r>
      <w:r>
        <w:rPr>
          <w:rStyle w:val="7"/>
          <w:rFonts w:hint="eastAsia" w:ascii="方正仿宋_GBK" w:hAnsi="方正仿宋_GBK" w:eastAsia="方正仿宋_GBK" w:cs="方正仿宋_GBK"/>
          <w:sz w:val="32"/>
          <w:szCs w:val="32"/>
          <w:shd w:val="clear" w:fill="FFFFFF"/>
          <w:lang w:eastAsia="zh-CN"/>
        </w:rPr>
        <w:t>总体情况。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年度收入总计</w:t>
      </w:r>
      <w:r>
        <w:rPr>
          <w:rFonts w:hint="eastAsia" w:ascii="方正仿宋_GBK" w:hAnsi="方正仿宋_GBK" w:eastAsia="方正仿宋_GBK" w:cs="方正仿宋_GBK"/>
          <w:sz w:val="32"/>
          <w:szCs w:val="32"/>
          <w:shd w:val="clear" w:fill="FFFFFF"/>
          <w:lang w:val="en-US"/>
        </w:rPr>
        <w:t>25145.43</w:t>
      </w:r>
      <w:r>
        <w:rPr>
          <w:rFonts w:hint="eastAsia" w:ascii="方正仿宋_GBK" w:hAnsi="方正仿宋_GBK" w:eastAsia="方正仿宋_GBK" w:cs="方正仿宋_GBK"/>
          <w:sz w:val="32"/>
          <w:szCs w:val="32"/>
          <w:shd w:val="clear" w:fill="FFFFFF"/>
          <w:lang w:eastAsia="zh-CN"/>
        </w:rPr>
        <w:t>万元，支出总计</w:t>
      </w:r>
      <w:r>
        <w:rPr>
          <w:rFonts w:hint="eastAsia" w:ascii="方正仿宋_GBK" w:hAnsi="方正仿宋_GBK" w:eastAsia="方正仿宋_GBK" w:cs="方正仿宋_GBK"/>
          <w:sz w:val="32"/>
          <w:szCs w:val="32"/>
          <w:shd w:val="clear" w:fill="FFFFFF"/>
          <w:lang w:val="en-US"/>
        </w:rPr>
        <w:t>25145.43</w:t>
      </w:r>
      <w:r>
        <w:rPr>
          <w:rFonts w:hint="eastAsia" w:ascii="方正仿宋_GBK" w:hAnsi="方正仿宋_GBK" w:eastAsia="方正仿宋_GBK" w:cs="方正仿宋_GBK"/>
          <w:sz w:val="32"/>
          <w:szCs w:val="32"/>
          <w:shd w:val="clear" w:fill="FFFFFF"/>
          <w:lang w:eastAsia="zh-CN"/>
        </w:rPr>
        <w:t>万元。收支较上年决算数增加</w:t>
      </w:r>
      <w:r>
        <w:rPr>
          <w:rFonts w:hint="eastAsia" w:ascii="方正仿宋_GBK" w:hAnsi="方正仿宋_GBK" w:eastAsia="方正仿宋_GBK" w:cs="方正仿宋_GBK"/>
          <w:sz w:val="32"/>
          <w:szCs w:val="32"/>
          <w:shd w:val="clear" w:fill="FFFFFF"/>
          <w:lang w:val="en-US"/>
        </w:rPr>
        <w:t>174.74</w:t>
      </w:r>
      <w:r>
        <w:rPr>
          <w:rFonts w:hint="eastAsia" w:ascii="方正仿宋_GBK" w:hAnsi="方正仿宋_GBK" w:eastAsia="方正仿宋_GBK" w:cs="方正仿宋_GBK"/>
          <w:sz w:val="32"/>
          <w:szCs w:val="32"/>
          <w:shd w:val="clear" w:fill="FFFFFF"/>
          <w:lang w:eastAsia="zh-CN"/>
        </w:rPr>
        <w:t>万元</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eastAsia="zh-CN"/>
        </w:rPr>
        <w:t>增长</w:t>
      </w:r>
      <w:r>
        <w:rPr>
          <w:rFonts w:hint="eastAsia" w:ascii="方正仿宋_GBK" w:hAnsi="方正仿宋_GBK" w:eastAsia="方正仿宋_GBK" w:cs="方正仿宋_GBK"/>
          <w:sz w:val="32"/>
          <w:szCs w:val="32"/>
          <w:shd w:val="clear" w:fill="FFFFFF"/>
          <w:lang w:val="en-US"/>
        </w:rPr>
        <w:t>0.7%</w:t>
      </w:r>
      <w:r>
        <w:rPr>
          <w:rFonts w:hint="eastAsia" w:ascii="方正仿宋_GBK" w:hAnsi="方正仿宋_GBK" w:eastAsia="方正仿宋_GBK" w:cs="方正仿宋_GBK"/>
          <w:sz w:val="32"/>
          <w:szCs w:val="32"/>
          <w:shd w:val="clear" w:fill="FFFFFF"/>
          <w:lang w:eastAsia="zh-CN"/>
        </w:rPr>
        <w:t>，主要原因是儿童福利、临时救助、城乡特困等方面略有增长。</w:t>
      </w:r>
    </w:p>
    <w:p w14:paraId="5759B77A">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shd w:val="clear" w:fill="FFFFFF"/>
          <w:lang w:val="en-US" w:eastAsia="zh-CN"/>
        </w:rPr>
      </w:pPr>
      <w:r>
        <w:rPr>
          <w:rStyle w:val="7"/>
          <w:rFonts w:hint="eastAsia" w:ascii="方正仿宋_GBK" w:hAnsi="方正仿宋_GBK" w:eastAsia="方正仿宋_GBK" w:cs="方正仿宋_GBK"/>
          <w:sz w:val="32"/>
          <w:szCs w:val="32"/>
          <w:shd w:val="clear" w:fill="FFFFFF"/>
          <w:lang w:val="en-US"/>
        </w:rPr>
        <w:t>2.</w:t>
      </w:r>
      <w:r>
        <w:rPr>
          <w:rStyle w:val="7"/>
          <w:rFonts w:hint="eastAsia" w:ascii="方正仿宋_GBK" w:hAnsi="方正仿宋_GBK" w:eastAsia="方正仿宋_GBK" w:cs="方正仿宋_GBK"/>
          <w:sz w:val="32"/>
          <w:szCs w:val="32"/>
          <w:shd w:val="clear" w:fill="FFFFFF"/>
          <w:lang w:eastAsia="zh-CN"/>
        </w:rPr>
        <w:t>收入情况。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年度收入合计</w:t>
      </w:r>
      <w:r>
        <w:rPr>
          <w:rFonts w:hint="eastAsia" w:ascii="方正仿宋_GBK" w:hAnsi="方正仿宋_GBK" w:eastAsia="方正仿宋_GBK" w:cs="方正仿宋_GBK"/>
          <w:sz w:val="32"/>
          <w:szCs w:val="32"/>
          <w:shd w:val="clear" w:fill="FFFFFF"/>
          <w:lang w:val="en-US"/>
        </w:rPr>
        <w:t>25070.17</w:t>
      </w:r>
      <w:r>
        <w:rPr>
          <w:rFonts w:hint="eastAsia" w:ascii="方正仿宋_GBK" w:hAnsi="方正仿宋_GBK" w:eastAsia="方正仿宋_GBK" w:cs="方正仿宋_GBK"/>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rPr>
        <w:t>237.69</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z w:val="32"/>
          <w:szCs w:val="32"/>
          <w:shd w:val="clear" w:fill="FFFFFF"/>
          <w:lang w:eastAsia="zh-CN"/>
        </w:rPr>
        <w:t>，主要原因是儿童福利、临时救助、城乡特困等方面略有增长。其中：财政拨款收入</w:t>
      </w:r>
      <w:r>
        <w:rPr>
          <w:rFonts w:hint="eastAsia" w:ascii="方正仿宋_GBK" w:hAnsi="方正仿宋_GBK" w:eastAsia="方正仿宋_GBK" w:cs="方正仿宋_GBK"/>
          <w:sz w:val="32"/>
          <w:szCs w:val="32"/>
          <w:shd w:val="clear" w:fill="FFFFFF"/>
          <w:lang w:val="en-US"/>
        </w:rPr>
        <w:t>24763.01</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98.8%</w:t>
      </w:r>
      <w:r>
        <w:rPr>
          <w:rFonts w:hint="eastAsia" w:ascii="方正仿宋_GBK" w:hAnsi="方正仿宋_GBK" w:eastAsia="方正仿宋_GBK" w:cs="方正仿宋_GBK"/>
          <w:sz w:val="32"/>
          <w:szCs w:val="32"/>
          <w:shd w:val="clear" w:fill="FFFFFF"/>
          <w:lang w:eastAsia="zh-CN"/>
        </w:rPr>
        <w:t>；事业收入</w:t>
      </w:r>
      <w:r>
        <w:rPr>
          <w:rFonts w:hint="eastAsia" w:ascii="方正仿宋_GBK" w:hAnsi="方正仿宋_GBK" w:eastAsia="方正仿宋_GBK" w:cs="方正仿宋_GBK"/>
          <w:sz w:val="32"/>
          <w:szCs w:val="32"/>
          <w:shd w:val="clear" w:fill="FFFFFF"/>
          <w:lang w:val="en-US"/>
        </w:rPr>
        <w:t>307.16</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z w:val="32"/>
          <w:szCs w:val="32"/>
          <w:shd w:val="clear" w:fill="FFFFFF"/>
          <w:lang w:eastAsia="zh-CN"/>
        </w:rPr>
        <w:t>。此外，使用非财政拨款结余</w:t>
      </w:r>
      <w:r>
        <w:rPr>
          <w:rFonts w:hint="eastAsia" w:ascii="方正仿宋_GBK" w:hAnsi="方正仿宋_GBK" w:eastAsia="方正仿宋_GBK" w:cs="方正仿宋_GBK"/>
          <w:sz w:val="32"/>
          <w:szCs w:val="32"/>
          <w:shd w:val="clear" w:fill="FFFFFF"/>
          <w:lang w:val="en-US"/>
        </w:rPr>
        <w:t>75.26</w:t>
      </w:r>
      <w:r>
        <w:rPr>
          <w:rFonts w:hint="eastAsia" w:ascii="方正仿宋_GBK" w:hAnsi="方正仿宋_GBK" w:eastAsia="方正仿宋_GBK" w:cs="方正仿宋_GBK"/>
          <w:sz w:val="32"/>
          <w:szCs w:val="32"/>
          <w:shd w:val="clear" w:fill="FFFFFF"/>
          <w:lang w:eastAsia="zh-CN"/>
        </w:rPr>
        <w:t>万元，年初结转和结余</w:t>
      </w:r>
      <w:r>
        <w:rPr>
          <w:rFonts w:hint="default" w:ascii="方正仿宋_GBK" w:hAnsi="方正仿宋_GBK" w:eastAsia="方正仿宋_GBK" w:cs="方正仿宋_GBK"/>
          <w:sz w:val="32"/>
          <w:szCs w:val="32"/>
          <w:shd w:val="clear" w:fill="FFFFFF"/>
          <w:lang w:val="en-US" w:eastAsia="zh-CN"/>
        </w:rPr>
        <w:t>0</w:t>
      </w:r>
      <w:r>
        <w:rPr>
          <w:rFonts w:hint="eastAsia" w:ascii="方正仿宋_GBK" w:hAnsi="方正仿宋_GBK" w:eastAsia="方正仿宋_GBK" w:cs="方正仿宋_GBK"/>
          <w:sz w:val="32"/>
          <w:szCs w:val="32"/>
          <w:shd w:val="clear" w:fill="FFFFFF"/>
          <w:lang w:eastAsia="zh-CN"/>
        </w:rPr>
        <w:t>万元。</w:t>
      </w:r>
    </w:p>
    <w:p w14:paraId="139337F2">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val="en-US"/>
        </w:rPr>
        <w:t>3.</w:t>
      </w:r>
      <w:r>
        <w:rPr>
          <w:rStyle w:val="7"/>
          <w:rFonts w:hint="eastAsia" w:ascii="方正仿宋_GBK" w:hAnsi="方正仿宋_GBK" w:eastAsia="方正仿宋_GBK" w:cs="方正仿宋_GBK"/>
          <w:sz w:val="32"/>
          <w:szCs w:val="32"/>
          <w:shd w:val="clear" w:fill="FFFFFF"/>
          <w:lang w:eastAsia="zh-CN"/>
        </w:rPr>
        <w:t>支出情况。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年度支出合计</w:t>
      </w:r>
      <w:r>
        <w:rPr>
          <w:rFonts w:hint="eastAsia" w:ascii="方正仿宋_GBK" w:hAnsi="方正仿宋_GBK" w:eastAsia="方正仿宋_GBK" w:cs="方正仿宋_GBK"/>
          <w:sz w:val="32"/>
          <w:szCs w:val="32"/>
          <w:shd w:val="clear" w:fill="FFFFFF"/>
          <w:lang w:val="en-US"/>
        </w:rPr>
        <w:t>25145.43</w:t>
      </w:r>
      <w:r>
        <w:rPr>
          <w:rFonts w:hint="eastAsia" w:ascii="方正仿宋_GBK" w:hAnsi="方正仿宋_GBK" w:eastAsia="方正仿宋_GBK" w:cs="方正仿宋_GBK"/>
          <w:sz w:val="32"/>
          <w:szCs w:val="32"/>
          <w:shd w:val="clear" w:fill="FFFFFF"/>
          <w:lang w:eastAsia="zh-CN"/>
        </w:rPr>
        <w:t>万元，较上年决算增加</w:t>
      </w:r>
      <w:r>
        <w:rPr>
          <w:rFonts w:hint="eastAsia" w:ascii="方正仿宋_GBK" w:hAnsi="方正仿宋_GBK" w:eastAsia="方正仿宋_GBK" w:cs="方正仿宋_GBK"/>
          <w:sz w:val="32"/>
          <w:szCs w:val="32"/>
          <w:shd w:val="clear" w:fill="FFFFFF"/>
          <w:lang w:val="en-US"/>
        </w:rPr>
        <w:t>176.52</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0.7%</w:t>
      </w:r>
      <w:r>
        <w:rPr>
          <w:rFonts w:hint="eastAsia" w:ascii="方正仿宋_GBK" w:hAnsi="方正仿宋_GBK" w:eastAsia="方正仿宋_GBK" w:cs="方正仿宋_GBK"/>
          <w:sz w:val="32"/>
          <w:szCs w:val="32"/>
          <w:shd w:val="clear" w:fill="FFFFFF"/>
          <w:lang w:eastAsia="zh-CN"/>
        </w:rPr>
        <w:t>，主要原因是主要原因是儿童福利、临时救助、城乡特困等方面略有增长。其中：基本支出</w:t>
      </w:r>
      <w:r>
        <w:rPr>
          <w:rFonts w:hint="eastAsia" w:ascii="方正仿宋_GBK" w:hAnsi="方正仿宋_GBK" w:eastAsia="方正仿宋_GBK" w:cs="方正仿宋_GBK"/>
          <w:sz w:val="32"/>
          <w:szCs w:val="32"/>
          <w:shd w:val="clear" w:fill="FFFFFF"/>
          <w:lang w:val="en-US"/>
        </w:rPr>
        <w:t>1937.60</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7.7%</w:t>
      </w:r>
      <w:r>
        <w:rPr>
          <w:rFonts w:hint="eastAsia" w:ascii="方正仿宋_GBK" w:hAnsi="方正仿宋_GBK" w:eastAsia="方正仿宋_GBK" w:cs="方正仿宋_GBK"/>
          <w:sz w:val="32"/>
          <w:szCs w:val="32"/>
          <w:shd w:val="clear" w:fill="FFFFFF"/>
          <w:lang w:eastAsia="zh-CN"/>
        </w:rPr>
        <w:t>；项目支出</w:t>
      </w:r>
      <w:r>
        <w:rPr>
          <w:rFonts w:hint="eastAsia" w:ascii="方正仿宋_GBK" w:hAnsi="方正仿宋_GBK" w:eastAsia="方正仿宋_GBK" w:cs="方正仿宋_GBK"/>
          <w:sz w:val="32"/>
          <w:szCs w:val="32"/>
          <w:shd w:val="clear" w:fill="FFFFFF"/>
          <w:lang w:val="en-US"/>
        </w:rPr>
        <w:t>23207.83</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92.3%</w:t>
      </w:r>
      <w:r>
        <w:rPr>
          <w:rFonts w:hint="eastAsia" w:ascii="方正仿宋_GBK" w:hAnsi="方正仿宋_GBK" w:eastAsia="方正仿宋_GBK" w:cs="方正仿宋_GBK"/>
          <w:sz w:val="32"/>
          <w:szCs w:val="32"/>
          <w:shd w:val="clear" w:fill="FFFFFF"/>
          <w:lang w:eastAsia="zh-CN"/>
        </w:rPr>
        <w:t>。此外，结余分配</w:t>
      </w:r>
      <w:r>
        <w:rPr>
          <w:rFonts w:hint="default" w:ascii="方正仿宋_GBK" w:hAnsi="方正仿宋_GBK" w:eastAsia="方正仿宋_GBK" w:cs="方正仿宋_GBK"/>
          <w:sz w:val="32"/>
          <w:szCs w:val="32"/>
          <w:shd w:val="clear" w:fill="FFFFFF"/>
          <w:lang w:val="en-US" w:eastAsia="zh-CN"/>
        </w:rPr>
        <w:t>0</w:t>
      </w:r>
      <w:r>
        <w:rPr>
          <w:rFonts w:hint="eastAsia" w:ascii="方正仿宋_GBK" w:hAnsi="方正仿宋_GBK" w:eastAsia="方正仿宋_GBK" w:cs="方正仿宋_GBK"/>
          <w:sz w:val="32"/>
          <w:szCs w:val="32"/>
          <w:shd w:val="clear" w:fill="FFFFFF"/>
          <w:lang w:eastAsia="zh-CN"/>
        </w:rPr>
        <w:t>万元。</w:t>
      </w:r>
    </w:p>
    <w:p w14:paraId="4529A0C5">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val="en-US"/>
        </w:rPr>
        <w:t>4.</w:t>
      </w:r>
      <w:r>
        <w:rPr>
          <w:rStyle w:val="7"/>
          <w:rFonts w:hint="eastAsia" w:ascii="方正仿宋_GBK" w:hAnsi="方正仿宋_GBK" w:eastAsia="方正仿宋_GBK" w:cs="方正仿宋_GBK"/>
          <w:sz w:val="32"/>
          <w:szCs w:val="32"/>
          <w:shd w:val="clear" w:fill="FFFFFF"/>
          <w:lang w:eastAsia="zh-CN"/>
        </w:rPr>
        <w:t>结转结余情况。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年度年末结转和结余</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万元，与上年度持平。</w:t>
      </w:r>
    </w:p>
    <w:p w14:paraId="4E3B71D3">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（二）财政拨款收入支出决算总体情况说明</w:t>
      </w:r>
    </w:p>
    <w:p w14:paraId="06E10180">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年度财政拨款收、支总计</w:t>
      </w:r>
      <w:r>
        <w:rPr>
          <w:rFonts w:hint="eastAsia" w:ascii="方正仿宋_GBK" w:hAnsi="方正仿宋_GBK" w:eastAsia="方正仿宋_GBK" w:cs="方正仿宋_GBK"/>
          <w:sz w:val="32"/>
          <w:szCs w:val="32"/>
          <w:shd w:val="clear" w:fill="FFFFFF"/>
          <w:lang w:val="en-US"/>
        </w:rPr>
        <w:t>24763.01</w:t>
      </w:r>
      <w:r>
        <w:rPr>
          <w:rFonts w:hint="eastAsia" w:ascii="方正仿宋_GBK" w:hAnsi="方正仿宋_GBK" w:eastAsia="方正仿宋_GBK" w:cs="方正仿宋_GBK"/>
          <w:sz w:val="32"/>
          <w:szCs w:val="32"/>
          <w:shd w:val="clear" w:fill="FFFFFF"/>
          <w:lang w:eastAsia="zh-CN"/>
        </w:rPr>
        <w:t>万元。与</w:t>
      </w:r>
      <w:r>
        <w:rPr>
          <w:rFonts w:hint="eastAsia" w:ascii="方正仿宋_GBK" w:hAnsi="方正仿宋_GBK" w:eastAsia="方正仿宋_GBK" w:cs="方正仿宋_GBK"/>
          <w:sz w:val="32"/>
          <w:szCs w:val="32"/>
          <w:shd w:val="clear" w:fill="FFFFFF"/>
          <w:lang w:val="en-US"/>
        </w:rPr>
        <w:t>2021</w:t>
      </w:r>
      <w:r>
        <w:rPr>
          <w:rFonts w:hint="eastAsia" w:ascii="方正仿宋_GBK" w:hAnsi="方正仿宋_GBK" w:eastAsia="方正仿宋_GBK" w:cs="方正仿宋_GBK"/>
          <w:sz w:val="32"/>
          <w:szCs w:val="32"/>
          <w:shd w:val="clear" w:fill="FFFFFF"/>
          <w:lang w:eastAsia="zh-CN"/>
        </w:rPr>
        <w:t>年相比，财政拨款收、支总计各增加</w:t>
      </w:r>
      <w:r>
        <w:rPr>
          <w:rFonts w:hint="eastAsia" w:ascii="方正仿宋_GBK" w:hAnsi="方正仿宋_GBK" w:eastAsia="方正仿宋_GBK" w:cs="方正仿宋_GBK"/>
          <w:sz w:val="32"/>
          <w:szCs w:val="32"/>
          <w:shd w:val="clear" w:fill="FFFFFF"/>
          <w:lang w:val="en-US"/>
        </w:rPr>
        <w:t>257.72</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1.1%</w:t>
      </w:r>
      <w:r>
        <w:rPr>
          <w:rFonts w:hint="eastAsia" w:ascii="方正仿宋_GBK" w:hAnsi="方正仿宋_GBK" w:eastAsia="方正仿宋_GBK" w:cs="方正仿宋_GBK"/>
          <w:sz w:val="32"/>
          <w:szCs w:val="32"/>
          <w:shd w:val="clear" w:fill="FFFFFF"/>
          <w:lang w:eastAsia="zh-CN"/>
        </w:rPr>
        <w:t>。主要原因是儿童福利、临时救助、城乡特困等方面略有增长。</w:t>
      </w:r>
    </w:p>
    <w:p w14:paraId="218F1F33">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（三）一般公共预算财政拨款收入支出决算情况说明</w:t>
      </w:r>
    </w:p>
    <w:p w14:paraId="1B2FA488">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b/>
          <w:sz w:val="32"/>
          <w:szCs w:val="32"/>
          <w:shd w:val="clear" w:fill="FFFFFF"/>
          <w:lang w:val="en-US"/>
        </w:rPr>
        <w:t>1.</w:t>
      </w:r>
      <w:r>
        <w:rPr>
          <w:rFonts w:hint="eastAsia" w:ascii="方正仿宋_GBK" w:hAnsi="方正仿宋_GBK" w:eastAsia="方正仿宋_GBK" w:cs="方正仿宋_GBK"/>
          <w:b/>
          <w:sz w:val="32"/>
          <w:szCs w:val="32"/>
          <w:shd w:val="clear" w:fill="FFFFFF"/>
          <w:lang w:eastAsia="zh-CN"/>
        </w:rPr>
        <w:t>收入情况。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年度一般公共预算财政拨款收入</w:t>
      </w:r>
      <w:r>
        <w:rPr>
          <w:rFonts w:hint="eastAsia" w:ascii="方正仿宋_GBK" w:hAnsi="方正仿宋_GBK" w:eastAsia="方正仿宋_GBK" w:cs="方正仿宋_GBK"/>
          <w:sz w:val="32"/>
          <w:szCs w:val="32"/>
          <w:shd w:val="clear" w:fill="FFFFFF"/>
          <w:lang w:val="en-US"/>
        </w:rPr>
        <w:t>24537.11</w:t>
      </w:r>
      <w:r>
        <w:rPr>
          <w:rFonts w:hint="eastAsia" w:ascii="方正仿宋_GBK" w:hAnsi="方正仿宋_GBK" w:eastAsia="方正仿宋_GBK" w:cs="方正仿宋_GBK"/>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rPr>
        <w:t>301.89</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z w:val="32"/>
          <w:szCs w:val="32"/>
          <w:shd w:val="clear" w:fill="FFFFFF"/>
          <w:lang w:eastAsia="zh-CN"/>
        </w:rPr>
        <w:t>。主要原因是儿童福利、临时救助、城乡特困等方面略有增长。较年初预算数增加</w:t>
      </w:r>
      <w:r>
        <w:rPr>
          <w:rFonts w:hint="eastAsia" w:ascii="方正仿宋_GBK" w:hAnsi="方正仿宋_GBK" w:eastAsia="方正仿宋_GBK" w:cs="方正仿宋_GBK"/>
          <w:sz w:val="32"/>
          <w:szCs w:val="32"/>
          <w:shd w:val="clear" w:fill="FFFFFF"/>
          <w:lang w:val="en-US"/>
        </w:rPr>
        <w:t>2646.90</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12.1%</w:t>
      </w:r>
      <w:r>
        <w:rPr>
          <w:rFonts w:hint="eastAsia" w:ascii="方正仿宋_GBK" w:hAnsi="方正仿宋_GBK" w:eastAsia="方正仿宋_GBK" w:cs="方正仿宋_GBK"/>
          <w:sz w:val="32"/>
          <w:szCs w:val="32"/>
          <w:shd w:val="clear" w:fill="FFFFFF"/>
          <w:lang w:eastAsia="zh-CN"/>
        </w:rPr>
        <w:t>。主要原因是儿童福利、城乡低保、城乡特困等上级补助资金年度中有追加预算。此外，年初财政拨款结转和结余</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万元。</w:t>
      </w:r>
    </w:p>
    <w:p w14:paraId="0014667A">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b/>
          <w:sz w:val="32"/>
          <w:szCs w:val="32"/>
          <w:shd w:val="clear" w:fill="FFFFFF"/>
          <w:lang w:val="en-US"/>
        </w:rPr>
        <w:t>2.</w:t>
      </w:r>
      <w:r>
        <w:rPr>
          <w:rFonts w:hint="eastAsia" w:ascii="方正仿宋_GBK" w:hAnsi="方正仿宋_GBK" w:eastAsia="方正仿宋_GBK" w:cs="方正仿宋_GBK"/>
          <w:b/>
          <w:sz w:val="32"/>
          <w:szCs w:val="32"/>
          <w:shd w:val="clear" w:fill="FFFFFF"/>
          <w:lang w:eastAsia="zh-CN"/>
        </w:rPr>
        <w:t>支出情况。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年度一般公共预算财政拨款支出</w:t>
      </w:r>
      <w:r>
        <w:rPr>
          <w:rFonts w:hint="eastAsia" w:ascii="方正仿宋_GBK" w:hAnsi="方正仿宋_GBK" w:eastAsia="方正仿宋_GBK" w:cs="方正仿宋_GBK"/>
          <w:sz w:val="32"/>
          <w:szCs w:val="32"/>
          <w:shd w:val="clear" w:fill="FFFFFF"/>
          <w:lang w:val="en-US"/>
        </w:rPr>
        <w:t>24537.11</w:t>
      </w:r>
      <w:r>
        <w:rPr>
          <w:rFonts w:hint="eastAsia" w:ascii="方正仿宋_GBK" w:hAnsi="方正仿宋_GBK" w:eastAsia="方正仿宋_GBK" w:cs="方正仿宋_GBK"/>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rPr>
        <w:t>301.89</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z w:val="32"/>
          <w:szCs w:val="32"/>
          <w:shd w:val="clear" w:fill="FFFFFF"/>
          <w:lang w:eastAsia="zh-CN"/>
        </w:rPr>
        <w:t>。主要原因是儿童福利、临时救助、城乡特困等方面略有增长。较年初预算数增加</w:t>
      </w:r>
      <w:r>
        <w:rPr>
          <w:rFonts w:hint="eastAsia" w:ascii="方正仿宋_GBK" w:hAnsi="方正仿宋_GBK" w:eastAsia="方正仿宋_GBK" w:cs="方正仿宋_GBK"/>
          <w:sz w:val="32"/>
          <w:szCs w:val="32"/>
          <w:shd w:val="clear" w:fill="FFFFFF"/>
          <w:lang w:val="en-US"/>
        </w:rPr>
        <w:t>2646.90</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12.1%</w:t>
      </w:r>
      <w:r>
        <w:rPr>
          <w:rFonts w:hint="eastAsia" w:ascii="方正仿宋_GBK" w:hAnsi="方正仿宋_GBK" w:eastAsia="方正仿宋_GBK" w:cs="方正仿宋_GBK"/>
          <w:sz w:val="32"/>
          <w:szCs w:val="32"/>
          <w:shd w:val="clear" w:fill="FFFFFF"/>
          <w:lang w:eastAsia="zh-CN"/>
        </w:rPr>
        <w:t>。主要原因是儿童福利、城乡低保、城乡特困等上级补助资金年度中有追加预算。</w:t>
      </w:r>
    </w:p>
    <w:p w14:paraId="6F94827F">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b/>
          <w:sz w:val="32"/>
          <w:szCs w:val="32"/>
          <w:shd w:val="clear" w:fill="FFFFFF"/>
          <w:lang w:val="en-US"/>
        </w:rPr>
        <w:t>3.</w:t>
      </w:r>
      <w:r>
        <w:rPr>
          <w:rFonts w:hint="eastAsia" w:ascii="方正仿宋_GBK" w:hAnsi="方正仿宋_GBK" w:eastAsia="方正仿宋_GBK" w:cs="方正仿宋_GBK"/>
          <w:b/>
          <w:sz w:val="32"/>
          <w:szCs w:val="32"/>
          <w:shd w:val="clear" w:fill="FFFFFF"/>
          <w:lang w:eastAsia="zh-CN"/>
        </w:rPr>
        <w:t>结转结余情况。</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年度年末一般公共预算财政拨款结转和结余</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万元，与上年度持平。</w:t>
      </w:r>
    </w:p>
    <w:p w14:paraId="17E31331">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b/>
          <w:sz w:val="32"/>
          <w:szCs w:val="32"/>
          <w:shd w:val="clear" w:fill="FFFFFF"/>
          <w:lang w:val="en-US"/>
        </w:rPr>
        <w:t>4.</w:t>
      </w:r>
      <w:r>
        <w:rPr>
          <w:rFonts w:hint="eastAsia" w:ascii="方正仿宋_GBK" w:hAnsi="方正仿宋_GBK" w:eastAsia="方正仿宋_GBK" w:cs="方正仿宋_GBK"/>
          <w:b/>
          <w:sz w:val="32"/>
          <w:szCs w:val="32"/>
          <w:shd w:val="clear" w:fill="FFFFFF"/>
          <w:lang w:eastAsia="zh-CN"/>
        </w:rPr>
        <w:t>比较情况。</w:t>
      </w:r>
      <w:r>
        <w:rPr>
          <w:rFonts w:hint="eastAsia" w:ascii="方正仿宋_GBK" w:hAnsi="方正仿宋_GBK" w:eastAsia="方正仿宋_GBK" w:cs="方正仿宋_GBK"/>
          <w:sz w:val="32"/>
          <w:szCs w:val="32"/>
          <w:shd w:val="clear" w:fill="FFFFFF"/>
          <w:lang w:eastAsia="zh-CN"/>
        </w:rPr>
        <w:t>本部门</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年度一般公共预算财政拨款支出主要用于以下几个方面：</w:t>
      </w:r>
    </w:p>
    <w:p w14:paraId="22C2CE70">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z w:val="32"/>
          <w:szCs w:val="32"/>
          <w:shd w:val="clear" w:fill="FFFFFF"/>
          <w:lang w:eastAsia="zh-CN"/>
        </w:rPr>
        <w:t>）社会保障与就业支出</w:t>
      </w:r>
      <w:r>
        <w:rPr>
          <w:rFonts w:hint="eastAsia" w:ascii="方正仿宋_GBK" w:hAnsi="方正仿宋_GBK" w:eastAsia="方正仿宋_GBK" w:cs="方正仿宋_GBK"/>
          <w:sz w:val="32"/>
          <w:szCs w:val="32"/>
          <w:shd w:val="clear" w:fill="FFFFFF"/>
          <w:lang w:val="en-US"/>
        </w:rPr>
        <w:t>23404.61</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95.4%</w:t>
      </w:r>
      <w:r>
        <w:rPr>
          <w:rFonts w:hint="eastAsia" w:ascii="方正仿宋_GBK" w:hAnsi="方正仿宋_GBK" w:eastAsia="方正仿宋_GBK" w:cs="方正仿宋_GBK"/>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rPr>
        <w:t>1645.67</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7.6%</w:t>
      </w:r>
      <w:r>
        <w:rPr>
          <w:rFonts w:hint="eastAsia" w:ascii="方正仿宋_GBK" w:hAnsi="方正仿宋_GBK" w:eastAsia="方正仿宋_GBK" w:cs="方正仿宋_GBK"/>
          <w:sz w:val="32"/>
          <w:szCs w:val="32"/>
          <w:shd w:val="clear" w:fill="FFFFFF"/>
          <w:lang w:eastAsia="zh-CN"/>
        </w:rPr>
        <w:t>，主要原因是儿童福利、城乡低保、城乡特困等上级补助资金年度中有追加预算。</w:t>
      </w:r>
    </w:p>
    <w:p w14:paraId="681CD3AC">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z w:val="32"/>
          <w:szCs w:val="32"/>
          <w:shd w:val="clear" w:fill="FFFFFF"/>
          <w:lang w:eastAsia="zh-CN"/>
        </w:rPr>
        <w:t>）卫生健康支出</w:t>
      </w:r>
      <w:r>
        <w:rPr>
          <w:rFonts w:hint="eastAsia" w:ascii="方正仿宋_GBK" w:hAnsi="方正仿宋_GBK" w:eastAsia="方正仿宋_GBK" w:cs="方正仿宋_GBK"/>
          <w:sz w:val="32"/>
          <w:szCs w:val="32"/>
          <w:shd w:val="clear" w:fill="FFFFFF"/>
          <w:lang w:val="en-US"/>
        </w:rPr>
        <w:t>71.88</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0.3%</w:t>
      </w:r>
      <w:r>
        <w:rPr>
          <w:rFonts w:hint="eastAsia" w:ascii="方正仿宋_GBK" w:hAnsi="方正仿宋_GBK" w:eastAsia="方正仿宋_GBK" w:cs="方正仿宋_GBK"/>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rPr>
        <w:t>0.88</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z w:val="32"/>
          <w:szCs w:val="32"/>
          <w:shd w:val="clear" w:fill="FFFFFF"/>
          <w:lang w:eastAsia="zh-CN"/>
        </w:rPr>
        <w:t>，主要原因是年度内有新增人员，导致医疗保险缴费增加。</w:t>
      </w:r>
    </w:p>
    <w:p w14:paraId="607B3974">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）农林水支出</w:t>
      </w:r>
      <w:r>
        <w:rPr>
          <w:rFonts w:hint="eastAsia" w:ascii="方正仿宋_GBK" w:hAnsi="方正仿宋_GBK" w:eastAsia="方正仿宋_GBK" w:cs="方正仿宋_GBK"/>
          <w:sz w:val="32"/>
          <w:szCs w:val="32"/>
          <w:shd w:val="clear" w:fill="FFFFFF"/>
          <w:lang w:val="en-US"/>
        </w:rPr>
        <w:t>999.98</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4.1%</w:t>
      </w:r>
      <w:r>
        <w:rPr>
          <w:rFonts w:hint="eastAsia" w:ascii="方正仿宋_GBK" w:hAnsi="方正仿宋_GBK" w:eastAsia="方正仿宋_GBK" w:cs="方正仿宋_GBK"/>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rPr>
        <w:t>999.98</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100%</w:t>
      </w:r>
      <w:r>
        <w:rPr>
          <w:rFonts w:hint="eastAsia" w:ascii="方正仿宋_GBK" w:hAnsi="方正仿宋_GBK" w:eastAsia="方正仿宋_GBK" w:cs="方正仿宋_GBK"/>
          <w:sz w:val="32"/>
          <w:szCs w:val="32"/>
          <w:shd w:val="clear" w:fill="FFFFFF"/>
          <w:lang w:eastAsia="zh-CN"/>
        </w:rPr>
        <w:t>，主要原因是临时救助支出调整到其他巩固脱贫衔接乡村振兴支出。</w:t>
      </w:r>
    </w:p>
    <w:p w14:paraId="6C7E9EFE">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4</w:t>
      </w:r>
      <w:r>
        <w:rPr>
          <w:rFonts w:hint="eastAsia" w:ascii="方正仿宋_GBK" w:hAnsi="方正仿宋_GBK" w:eastAsia="方正仿宋_GBK" w:cs="方正仿宋_GBK"/>
          <w:sz w:val="32"/>
          <w:szCs w:val="32"/>
          <w:shd w:val="clear" w:fill="FFFFFF"/>
          <w:lang w:eastAsia="zh-CN"/>
        </w:rPr>
        <w:t>）住房保障支出</w:t>
      </w:r>
      <w:r>
        <w:rPr>
          <w:rFonts w:hint="eastAsia" w:ascii="方正仿宋_GBK" w:hAnsi="方正仿宋_GBK" w:eastAsia="方正仿宋_GBK" w:cs="方正仿宋_GBK"/>
          <w:sz w:val="32"/>
          <w:szCs w:val="32"/>
          <w:shd w:val="clear" w:fill="FFFFFF"/>
          <w:lang w:val="en-US"/>
        </w:rPr>
        <w:t>60.64</w:t>
      </w:r>
      <w:r>
        <w:rPr>
          <w:rFonts w:hint="eastAsia" w:ascii="方正仿宋_GBK" w:hAnsi="方正仿宋_GBK" w:eastAsia="方正仿宋_GBK" w:cs="方正仿宋_GBK"/>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0.2%</w:t>
      </w:r>
      <w:r>
        <w:rPr>
          <w:rFonts w:hint="eastAsia" w:ascii="方正仿宋_GBK" w:hAnsi="方正仿宋_GBK" w:eastAsia="方正仿宋_GBK" w:cs="方正仿宋_GBK"/>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rPr>
        <w:t>0.38</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0.6%</w:t>
      </w:r>
      <w:r>
        <w:rPr>
          <w:rFonts w:hint="eastAsia" w:ascii="方正仿宋_GBK" w:hAnsi="方正仿宋_GBK" w:eastAsia="方正仿宋_GBK" w:cs="方正仿宋_GBK"/>
          <w:sz w:val="32"/>
          <w:szCs w:val="32"/>
          <w:shd w:val="clear" w:fill="FFFFFF"/>
          <w:lang w:eastAsia="zh-CN"/>
        </w:rPr>
        <w:t>，主要原因是年度内有新增人员，导致住房公积金增加。</w:t>
      </w:r>
    </w:p>
    <w:p w14:paraId="06EFF597">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（四）一般公共预算财政拨款基本支出决算情况说明</w:t>
      </w:r>
    </w:p>
    <w:p w14:paraId="1393CA42">
      <w:pPr>
        <w:pStyle w:val="8"/>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年度一般公共预算财政拨款基本支出</w:t>
      </w:r>
      <w:r>
        <w:rPr>
          <w:rFonts w:hint="eastAsia" w:ascii="方正仿宋_GBK" w:hAnsi="方正仿宋_GBK" w:eastAsia="方正仿宋_GBK" w:cs="方正仿宋_GBK"/>
          <w:sz w:val="32"/>
          <w:szCs w:val="32"/>
          <w:shd w:val="clear" w:fill="FFFFFF"/>
          <w:lang w:val="en-US"/>
        </w:rPr>
        <w:t>1555.18</w:t>
      </w:r>
      <w:r>
        <w:rPr>
          <w:rFonts w:hint="eastAsia" w:ascii="方正仿宋_GBK" w:hAnsi="方正仿宋_GBK" w:eastAsia="方正仿宋_GBK" w:cs="方正仿宋_GBK"/>
          <w:sz w:val="32"/>
          <w:szCs w:val="32"/>
          <w:shd w:val="clear" w:fill="FFFFFF"/>
          <w:lang w:eastAsia="zh-CN"/>
        </w:rPr>
        <w:t>万元。其中：人员经费</w:t>
      </w:r>
      <w:r>
        <w:rPr>
          <w:rFonts w:hint="eastAsia" w:ascii="方正仿宋_GBK" w:hAnsi="方正仿宋_GBK" w:eastAsia="方正仿宋_GBK" w:cs="方正仿宋_GBK"/>
          <w:sz w:val="32"/>
          <w:szCs w:val="32"/>
          <w:shd w:val="clear" w:fill="FFFFFF"/>
          <w:lang w:val="en-US"/>
        </w:rPr>
        <w:t>1373.14</w:t>
      </w:r>
      <w:r>
        <w:rPr>
          <w:rFonts w:hint="eastAsia" w:ascii="方正仿宋_GBK" w:hAnsi="方正仿宋_GBK" w:eastAsia="方正仿宋_GBK" w:cs="方正仿宋_GBK"/>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rPr>
        <w:t>73.81</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5.7%</w:t>
      </w:r>
      <w:r>
        <w:rPr>
          <w:rFonts w:hint="eastAsia" w:ascii="方正仿宋_GBK" w:hAnsi="方正仿宋_GBK" w:eastAsia="方正仿宋_GBK" w:cs="方正仿宋_GBK"/>
          <w:sz w:val="32"/>
          <w:szCs w:val="32"/>
          <w:shd w:val="clear" w:fill="FFFFFF"/>
          <w:lang w:eastAsia="zh-CN"/>
        </w:rPr>
        <w:t>，主要原因是主要原因是</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年度新进人员，追加其人员工资保险等经费，以及政策性增资和调资晋级。人员经费用途主要包括基本工资、津贴补贴、奖金、伙食补助费、社会保障缴费、住房公积金等。公用经费</w:t>
      </w:r>
      <w:r>
        <w:rPr>
          <w:rFonts w:hint="eastAsia" w:ascii="方正仿宋_GBK" w:hAnsi="方正仿宋_GBK" w:eastAsia="方正仿宋_GBK" w:cs="方正仿宋_GBK"/>
          <w:sz w:val="32"/>
          <w:szCs w:val="32"/>
          <w:shd w:val="clear" w:fill="FFFFFF"/>
          <w:lang w:val="en-US"/>
        </w:rPr>
        <w:t>182.04</w:t>
      </w:r>
      <w:r>
        <w:rPr>
          <w:rFonts w:hint="eastAsia" w:ascii="方正仿宋_GBK" w:hAnsi="方正仿宋_GBK" w:eastAsia="方正仿宋_GBK" w:cs="方正仿宋_GBK"/>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131.56</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42%</w:t>
      </w:r>
      <w:r>
        <w:rPr>
          <w:rFonts w:hint="eastAsia" w:ascii="方正仿宋_GBK" w:hAnsi="方正仿宋_GBK" w:eastAsia="方正仿宋_GBK" w:cs="方正仿宋_GBK"/>
          <w:sz w:val="32"/>
          <w:szCs w:val="32"/>
          <w:shd w:val="clear" w:fill="FFFFFF"/>
          <w:lang w:eastAsia="zh-CN"/>
        </w:rPr>
        <w:t>，主要原因是主要原因是厉行节俭，人均公用经费下降等。公用经费用途主要包括办公费、印刷费、咨询费、手续费、水电费、邮电费、差旅费、维修费、劳务费、委托业务费等。</w:t>
      </w:r>
    </w:p>
    <w:p w14:paraId="27C0FF50">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（五）政府性基金预算收支决算情况说明</w:t>
      </w:r>
    </w:p>
    <w:p w14:paraId="6E50EFB6">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年度政府性基金预算财政拨款年初结转结余</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万元，年末结转结余</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万元。本年收入</w:t>
      </w:r>
      <w:r>
        <w:rPr>
          <w:rFonts w:hint="eastAsia" w:ascii="方正仿宋_GBK" w:hAnsi="方正仿宋_GBK" w:eastAsia="方正仿宋_GBK" w:cs="方正仿宋_GBK"/>
          <w:sz w:val="32"/>
          <w:szCs w:val="32"/>
          <w:shd w:val="clear" w:fill="FFFFFF"/>
          <w:lang w:val="en-US"/>
        </w:rPr>
        <w:t>225.90</w:t>
      </w:r>
      <w:r>
        <w:rPr>
          <w:rFonts w:hint="eastAsia" w:ascii="方正仿宋_GBK" w:hAnsi="方正仿宋_GBK" w:eastAsia="方正仿宋_GBK" w:cs="方正仿宋_GBK"/>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44.17</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16.4%</w:t>
      </w:r>
      <w:r>
        <w:rPr>
          <w:rFonts w:hint="eastAsia" w:ascii="方正仿宋_GBK" w:hAnsi="方正仿宋_GBK" w:eastAsia="方正仿宋_GBK" w:cs="方正仿宋_GBK"/>
          <w:sz w:val="32"/>
          <w:szCs w:val="32"/>
          <w:shd w:val="clear" w:fill="FFFFFF"/>
          <w:lang w:eastAsia="zh-CN"/>
        </w:rPr>
        <w:t>，主要原因是其他国有土地收益基金支出减少、殡仪馆新建工程项目比去年支出减少。本年支出</w:t>
      </w:r>
      <w:r>
        <w:rPr>
          <w:rFonts w:hint="eastAsia" w:ascii="方正仿宋_GBK" w:hAnsi="方正仿宋_GBK" w:eastAsia="方正仿宋_GBK" w:cs="方正仿宋_GBK"/>
          <w:sz w:val="32"/>
          <w:szCs w:val="32"/>
          <w:shd w:val="clear" w:fill="FFFFFF"/>
          <w:lang w:val="en-US"/>
        </w:rPr>
        <w:t>225.90</w:t>
      </w:r>
      <w:r>
        <w:rPr>
          <w:rFonts w:hint="eastAsia" w:ascii="方正仿宋_GBK" w:hAnsi="方正仿宋_GBK" w:eastAsia="方正仿宋_GBK" w:cs="方正仿宋_GBK"/>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44.17</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16.4%</w:t>
      </w:r>
      <w:r>
        <w:rPr>
          <w:rFonts w:hint="eastAsia" w:ascii="方正仿宋_GBK" w:hAnsi="方正仿宋_GBK" w:eastAsia="方正仿宋_GBK" w:cs="方正仿宋_GBK"/>
          <w:sz w:val="32"/>
          <w:szCs w:val="32"/>
          <w:shd w:val="clear" w:fill="FFFFFF"/>
          <w:lang w:eastAsia="zh-CN"/>
        </w:rPr>
        <w:t>，主要原因是其他国有土地收益基金支出减少、殡仪馆新建工程项目比去年支出减少。</w:t>
      </w:r>
    </w:p>
    <w:p w14:paraId="50B12EEC">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（六）国有资本经营预算财政拨款支出决算情况说明</w:t>
      </w:r>
    </w:p>
    <w:p w14:paraId="0541273D">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本部门</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年度无国有资本经营预算财政拨款支出。</w:t>
      </w:r>
    </w:p>
    <w:p w14:paraId="3DDCF6E1">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三、“三公”经费情况说明</w:t>
      </w:r>
    </w:p>
    <w:p w14:paraId="513CD268">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（一）“三公”经费支出总体情况说明</w:t>
      </w:r>
    </w:p>
    <w:p w14:paraId="3B390CE2">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年度“三公”经费支出共计</w:t>
      </w:r>
      <w:r>
        <w:rPr>
          <w:rFonts w:hint="eastAsia" w:ascii="方正仿宋_GBK" w:hAnsi="方正仿宋_GBK" w:eastAsia="方正仿宋_GBK" w:cs="方正仿宋_GBK"/>
          <w:sz w:val="32"/>
          <w:szCs w:val="32"/>
          <w:shd w:val="clear" w:fill="FFFFFF"/>
          <w:lang w:val="en-US"/>
        </w:rPr>
        <w:t>18.88</w:t>
      </w:r>
      <w:r>
        <w:rPr>
          <w:rFonts w:hint="eastAsia" w:ascii="方正仿宋_GBK" w:hAnsi="方正仿宋_GBK" w:eastAsia="方正仿宋_GBK" w:cs="方正仿宋_GBK"/>
          <w:sz w:val="32"/>
          <w:szCs w:val="32"/>
          <w:shd w:val="clear" w:fill="FFFFFF"/>
          <w:lang w:eastAsia="zh-CN"/>
        </w:rPr>
        <w:t>万元，较年初预算数减少</w:t>
      </w:r>
      <w:r>
        <w:rPr>
          <w:rFonts w:hint="eastAsia" w:ascii="方正仿宋_GBK" w:hAnsi="方正仿宋_GBK" w:eastAsia="方正仿宋_GBK" w:cs="方正仿宋_GBK"/>
          <w:sz w:val="32"/>
          <w:szCs w:val="32"/>
          <w:shd w:val="clear" w:fill="FFFFFF"/>
          <w:lang w:val="en-US"/>
        </w:rPr>
        <w:t>0.72</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3.7%</w:t>
      </w:r>
      <w:r>
        <w:rPr>
          <w:rFonts w:hint="eastAsia" w:ascii="方正仿宋_GBK" w:hAnsi="方正仿宋_GBK" w:eastAsia="方正仿宋_GBK" w:cs="方正仿宋_GBK"/>
          <w:sz w:val="32"/>
          <w:szCs w:val="32"/>
          <w:shd w:val="clear" w:fill="FFFFFF"/>
          <w:lang w:eastAsia="zh-CN"/>
        </w:rPr>
        <w:t>，主要原因是严格执行中央八项规定精神。较上年支出数增加</w:t>
      </w:r>
      <w:r>
        <w:rPr>
          <w:rFonts w:hint="eastAsia" w:ascii="方正仿宋_GBK" w:hAnsi="方正仿宋_GBK" w:eastAsia="方正仿宋_GBK" w:cs="方正仿宋_GBK"/>
          <w:sz w:val="32"/>
          <w:szCs w:val="32"/>
          <w:shd w:val="clear" w:fill="FFFFFF"/>
          <w:lang w:val="en-US"/>
        </w:rPr>
        <w:t>4.52</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31.5%</w:t>
      </w:r>
      <w:r>
        <w:rPr>
          <w:rFonts w:hint="eastAsia" w:ascii="方正仿宋_GBK" w:hAnsi="方正仿宋_GBK" w:eastAsia="方正仿宋_GBK" w:cs="方正仿宋_GBK"/>
          <w:sz w:val="32"/>
          <w:szCs w:val="32"/>
          <w:shd w:val="clear" w:fill="FFFFFF"/>
          <w:lang w:eastAsia="zh-CN"/>
        </w:rPr>
        <w:t>，主要原因是上级单位和其他区县来丰检查调研工作人次数有所增加、殡葬车辆下乡接运遗体运行维修维护费增加、流浪乞讨车辆开展排查护送流浪乞讨救助人次增加。</w:t>
      </w:r>
    </w:p>
    <w:p w14:paraId="3A98A664">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（二）“三公”经费分项支出情况</w:t>
      </w:r>
    </w:p>
    <w:p w14:paraId="6FAA38D4">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fill="FFFFFF"/>
          <w:lang w:eastAsia="zh-CN"/>
        </w:rPr>
        <w:t>本单位2022年度未发生因公出国（境）费用，与年初预算数、上年决算数持平。</w:t>
      </w:r>
    </w:p>
    <w:p w14:paraId="2079DC82">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eastAsia="zh-CN"/>
        </w:rPr>
      </w:pPr>
      <w:r>
        <w:rPr>
          <w:rFonts w:hint="eastAsia" w:ascii="方正仿宋_GBK" w:hAnsi="方正仿宋_GBK" w:eastAsia="方正仿宋_GBK" w:cs="方正仿宋_GBK"/>
          <w:sz w:val="32"/>
          <w:szCs w:val="32"/>
          <w:shd w:val="clear" w:fill="FFFFFF"/>
          <w:lang w:eastAsia="zh-CN"/>
        </w:rPr>
        <w:t>本单位2022年度未发生公务车购置费，与年初预算数、上年决算数持平。</w:t>
      </w:r>
    </w:p>
    <w:p w14:paraId="7067EED8">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fill="FFFFFF"/>
          <w:lang w:eastAsia="zh-CN"/>
        </w:rPr>
        <w:t>公务车运行维护费</w:t>
      </w:r>
      <w:r>
        <w:rPr>
          <w:rFonts w:hint="eastAsia" w:ascii="方正仿宋_GBK" w:hAnsi="方正仿宋_GBK" w:eastAsia="方正仿宋_GBK" w:cs="方正仿宋_GBK"/>
          <w:sz w:val="32"/>
          <w:szCs w:val="32"/>
          <w:shd w:val="clear" w:fill="FFFFFF"/>
          <w:lang w:val="en-US"/>
        </w:rPr>
        <w:t>15.96</w:t>
      </w:r>
      <w:r>
        <w:rPr>
          <w:rFonts w:hint="eastAsia" w:ascii="方正仿宋_GBK" w:hAnsi="方正仿宋_GBK" w:eastAsia="方正仿宋_GBK" w:cs="方正仿宋_GBK"/>
          <w:sz w:val="32"/>
          <w:szCs w:val="32"/>
          <w:shd w:val="clear" w:fill="FFFFFF"/>
          <w:lang w:eastAsia="zh-CN"/>
        </w:rPr>
        <w:t>万元，主要用于主要用于殡葬遗体接送、社会福利院孤寡老人接送、流浪乞讨救助人员护送、排查等。费用支出较年初预算数增加</w:t>
      </w:r>
      <w:r>
        <w:rPr>
          <w:rFonts w:hint="eastAsia" w:ascii="方正仿宋_GBK" w:hAnsi="方正仿宋_GBK" w:eastAsia="方正仿宋_GBK" w:cs="方正仿宋_GBK"/>
          <w:sz w:val="32"/>
          <w:szCs w:val="32"/>
          <w:shd w:val="clear" w:fill="FFFFFF"/>
          <w:lang w:val="en-US"/>
        </w:rPr>
        <w:t>3.96</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33%</w:t>
      </w:r>
      <w:r>
        <w:rPr>
          <w:rFonts w:hint="eastAsia" w:ascii="方正仿宋_GBK" w:hAnsi="方正仿宋_GBK" w:eastAsia="方正仿宋_GBK" w:cs="方正仿宋_GBK"/>
          <w:sz w:val="32"/>
          <w:szCs w:val="32"/>
          <w:shd w:val="clear" w:fill="FFFFFF"/>
          <w:lang w:eastAsia="zh-CN"/>
        </w:rPr>
        <w:t>，主要原因是殡葬车辆下乡接运遗体运行维修维护费增加。较上年支出数增加</w:t>
      </w:r>
      <w:r>
        <w:rPr>
          <w:rFonts w:hint="eastAsia" w:ascii="方正仿宋_GBK" w:hAnsi="方正仿宋_GBK" w:eastAsia="方正仿宋_GBK" w:cs="方正仿宋_GBK"/>
          <w:sz w:val="32"/>
          <w:szCs w:val="32"/>
          <w:shd w:val="clear" w:fill="FFFFFF"/>
          <w:lang w:val="en-US"/>
        </w:rPr>
        <w:t>3.53</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28.4%</w:t>
      </w:r>
      <w:r>
        <w:rPr>
          <w:rFonts w:hint="eastAsia" w:ascii="方正仿宋_GBK" w:hAnsi="方正仿宋_GBK" w:eastAsia="方正仿宋_GBK" w:cs="方正仿宋_GBK"/>
          <w:sz w:val="32"/>
          <w:szCs w:val="32"/>
          <w:shd w:val="clear" w:fill="FFFFFF"/>
          <w:lang w:eastAsia="zh-CN"/>
        </w:rPr>
        <w:t>，主要原因是</w:t>
      </w:r>
      <w:r>
        <w:rPr>
          <w:rFonts w:hint="eastAsia" w:ascii="方正仿宋_GBK" w:hAnsi="方正仿宋_GBK" w:eastAsia="方正仿宋_GBK" w:cs="方正仿宋_GBK"/>
          <w:sz w:val="32"/>
          <w:szCs w:val="32"/>
          <w:lang w:eastAsia="zh-CN"/>
        </w:rPr>
        <w:t>殡葬车辆下乡接运遗体运行维修维护费增加</w:t>
      </w:r>
      <w:r>
        <w:rPr>
          <w:rFonts w:hint="eastAsia" w:ascii="方正仿宋_GBK" w:hAnsi="方正仿宋_GBK" w:eastAsia="方正仿宋_GBK" w:cs="方正仿宋_GBK"/>
          <w:sz w:val="32"/>
          <w:szCs w:val="32"/>
          <w:shd w:val="clear" w:fill="FFFFFF"/>
          <w:lang w:eastAsia="zh-CN"/>
        </w:rPr>
        <w:t>、流浪乞讨车辆开展排查护送流浪乞讨救助人次增加。</w:t>
      </w:r>
    </w:p>
    <w:p w14:paraId="578F111E">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fill="FFFFFF"/>
          <w:lang w:eastAsia="zh-CN"/>
        </w:rPr>
        <w:t>公务接待费</w:t>
      </w:r>
      <w:r>
        <w:rPr>
          <w:rFonts w:hint="eastAsia" w:ascii="方正仿宋_GBK" w:hAnsi="方正仿宋_GBK" w:eastAsia="方正仿宋_GBK" w:cs="方正仿宋_GBK"/>
          <w:sz w:val="32"/>
          <w:szCs w:val="32"/>
          <w:shd w:val="clear" w:fill="FFFFFF"/>
          <w:lang w:val="en-US"/>
        </w:rPr>
        <w:t>2.92</w:t>
      </w:r>
      <w:r>
        <w:rPr>
          <w:rFonts w:hint="eastAsia" w:ascii="方正仿宋_GBK" w:hAnsi="方正仿宋_GBK" w:eastAsia="方正仿宋_GBK" w:cs="方正仿宋_GBK"/>
          <w:sz w:val="32"/>
          <w:szCs w:val="32"/>
          <w:shd w:val="clear" w:fill="FFFFFF"/>
          <w:lang w:eastAsia="zh-CN"/>
        </w:rPr>
        <w:t>万元，主要用于接待主要用于接待上级单位和其他区县来丰检查调研工作。费用支出较年初预算数减少</w:t>
      </w:r>
      <w:r>
        <w:rPr>
          <w:rFonts w:hint="eastAsia" w:ascii="方正仿宋_GBK" w:hAnsi="方正仿宋_GBK" w:eastAsia="方正仿宋_GBK" w:cs="方正仿宋_GBK"/>
          <w:sz w:val="32"/>
          <w:szCs w:val="32"/>
          <w:shd w:val="clear" w:fill="FFFFFF"/>
          <w:lang w:val="en-US"/>
        </w:rPr>
        <w:t>4.68</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61.6%</w:t>
      </w:r>
      <w:r>
        <w:rPr>
          <w:rFonts w:hint="eastAsia" w:ascii="方正仿宋_GBK" w:hAnsi="方正仿宋_GBK" w:eastAsia="方正仿宋_GBK" w:cs="方正仿宋_GBK"/>
          <w:sz w:val="32"/>
          <w:szCs w:val="32"/>
          <w:shd w:val="clear" w:fill="FFFFFF"/>
          <w:lang w:eastAsia="zh-CN"/>
        </w:rPr>
        <w:t>，主要原因是主要原因是严格执行中央八项规定精神、严格落实厉行节约等。较上年支出数增加</w:t>
      </w:r>
      <w:r>
        <w:rPr>
          <w:rFonts w:hint="eastAsia" w:ascii="方正仿宋_GBK" w:hAnsi="方正仿宋_GBK" w:eastAsia="方正仿宋_GBK" w:cs="方正仿宋_GBK"/>
          <w:sz w:val="32"/>
          <w:szCs w:val="32"/>
          <w:shd w:val="clear" w:fill="FFFFFF"/>
          <w:lang w:val="en-US"/>
        </w:rPr>
        <w:t>0.99</w:t>
      </w:r>
      <w:r>
        <w:rPr>
          <w:rFonts w:hint="eastAsia" w:ascii="方正仿宋_GBK" w:hAnsi="方正仿宋_GBK" w:eastAsia="方正仿宋_GBK" w:cs="方正仿宋_GBK"/>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rPr>
        <w:t>51.3%</w:t>
      </w:r>
      <w:r>
        <w:rPr>
          <w:rFonts w:hint="eastAsia" w:ascii="方正仿宋_GBK" w:hAnsi="方正仿宋_GBK" w:eastAsia="方正仿宋_GBK" w:cs="方正仿宋_GBK"/>
          <w:sz w:val="32"/>
          <w:szCs w:val="32"/>
          <w:shd w:val="clear" w:fill="FFFFFF"/>
          <w:lang w:eastAsia="zh-CN"/>
        </w:rPr>
        <w:t>，主要原因是主要原因是上级单位和其他区县来丰检查调研工作人次数有所增加。</w:t>
      </w:r>
    </w:p>
    <w:p w14:paraId="5B020286">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（三）“三公”经费实物量情况</w:t>
      </w:r>
    </w:p>
    <w:p w14:paraId="61F1FA5A">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年度本部门因公出国（境）共计</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个团组，</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人；公务用车购置</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辆，公务车保有量为</w:t>
      </w:r>
      <w:r>
        <w:rPr>
          <w:rFonts w:hint="eastAsia" w:ascii="方正仿宋_GBK" w:hAnsi="方正仿宋_GBK" w:eastAsia="方正仿宋_GBK" w:cs="方正仿宋_GBK"/>
          <w:sz w:val="32"/>
          <w:szCs w:val="32"/>
          <w:shd w:val="clear" w:fill="FFFFFF"/>
          <w:lang w:val="en-US"/>
        </w:rPr>
        <w:t>6</w:t>
      </w:r>
      <w:r>
        <w:rPr>
          <w:rFonts w:hint="eastAsia" w:ascii="方正仿宋_GBK" w:hAnsi="方正仿宋_GBK" w:eastAsia="方正仿宋_GBK" w:cs="方正仿宋_GBK"/>
          <w:sz w:val="32"/>
          <w:szCs w:val="32"/>
          <w:shd w:val="clear" w:fill="FFFFFF"/>
          <w:lang w:eastAsia="zh-CN"/>
        </w:rPr>
        <w:t>辆；国内公务接待</w:t>
      </w:r>
      <w:r>
        <w:rPr>
          <w:rFonts w:hint="eastAsia" w:ascii="方正仿宋_GBK" w:hAnsi="方正仿宋_GBK" w:eastAsia="方正仿宋_GBK" w:cs="方正仿宋_GBK"/>
          <w:sz w:val="32"/>
          <w:szCs w:val="32"/>
          <w:shd w:val="clear" w:fill="FFFFFF"/>
          <w:lang w:val="en-US"/>
        </w:rPr>
        <w:t>35</w:t>
      </w:r>
      <w:r>
        <w:rPr>
          <w:rFonts w:hint="eastAsia" w:ascii="方正仿宋_GBK" w:hAnsi="方正仿宋_GBK" w:eastAsia="方正仿宋_GBK" w:cs="方正仿宋_GBK"/>
          <w:sz w:val="32"/>
          <w:szCs w:val="32"/>
          <w:shd w:val="clear" w:fill="FFFFFF"/>
          <w:lang w:eastAsia="zh-CN"/>
        </w:rPr>
        <w:t>批次</w:t>
      </w:r>
      <w:r>
        <w:rPr>
          <w:rFonts w:hint="eastAsia" w:ascii="方正仿宋_GBK" w:hAnsi="方正仿宋_GBK" w:eastAsia="方正仿宋_GBK" w:cs="方正仿宋_GBK"/>
          <w:sz w:val="32"/>
          <w:szCs w:val="32"/>
          <w:shd w:val="clear" w:fill="FFFFFF"/>
          <w:lang w:val="en-US"/>
        </w:rPr>
        <w:t>285</w:t>
      </w:r>
      <w:r>
        <w:rPr>
          <w:rFonts w:hint="eastAsia" w:ascii="方正仿宋_GBK" w:hAnsi="方正仿宋_GBK" w:eastAsia="方正仿宋_GBK" w:cs="方正仿宋_GBK"/>
          <w:sz w:val="32"/>
          <w:szCs w:val="32"/>
          <w:shd w:val="clear" w:fill="FFFFFF"/>
          <w:lang w:eastAsia="zh-CN"/>
        </w:rPr>
        <w:t>人，其中：国内外事接待</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批次，</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人；国（境）外公务接待</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批次，</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人。</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年本部门人均接待费</w:t>
      </w:r>
      <w:r>
        <w:rPr>
          <w:rFonts w:hint="eastAsia" w:ascii="方正仿宋_GBK" w:hAnsi="方正仿宋_GBK" w:eastAsia="方正仿宋_GBK" w:cs="方正仿宋_GBK"/>
          <w:sz w:val="32"/>
          <w:szCs w:val="32"/>
          <w:shd w:val="clear" w:fill="FFFFFF"/>
          <w:lang w:val="en-US"/>
        </w:rPr>
        <w:t>102.46</w:t>
      </w:r>
      <w:r>
        <w:rPr>
          <w:rFonts w:hint="eastAsia" w:ascii="方正仿宋_GBK" w:hAnsi="方正仿宋_GBK" w:eastAsia="方正仿宋_GBK" w:cs="方正仿宋_GBK"/>
          <w:sz w:val="32"/>
          <w:szCs w:val="32"/>
          <w:shd w:val="clear" w:fill="FFFFFF"/>
          <w:lang w:eastAsia="zh-CN"/>
        </w:rPr>
        <w:t>元，车均购置费</w:t>
      </w:r>
      <w:r>
        <w:rPr>
          <w:rFonts w:hint="eastAsia" w:ascii="方正仿宋_GBK" w:hAnsi="方正仿宋_GBK" w:eastAsia="方正仿宋_GBK" w:cs="方正仿宋_GBK"/>
          <w:sz w:val="32"/>
          <w:szCs w:val="32"/>
          <w:shd w:val="clear" w:fill="FFFFFF"/>
          <w:lang w:val="en-US"/>
        </w:rPr>
        <w:t>0.00</w:t>
      </w:r>
      <w:r>
        <w:rPr>
          <w:rFonts w:hint="eastAsia" w:ascii="方正仿宋_GBK" w:hAnsi="方正仿宋_GBK" w:eastAsia="方正仿宋_GBK" w:cs="方正仿宋_GBK"/>
          <w:sz w:val="32"/>
          <w:szCs w:val="32"/>
          <w:shd w:val="clear" w:fill="FFFFFF"/>
          <w:lang w:eastAsia="zh-CN"/>
        </w:rPr>
        <w:t>万元，车均维护费</w:t>
      </w:r>
      <w:r>
        <w:rPr>
          <w:rFonts w:hint="eastAsia" w:ascii="方正仿宋_GBK" w:hAnsi="方正仿宋_GBK" w:eastAsia="方正仿宋_GBK" w:cs="方正仿宋_GBK"/>
          <w:sz w:val="32"/>
          <w:szCs w:val="32"/>
          <w:shd w:val="clear" w:fill="FFFFFF"/>
          <w:lang w:val="en-US"/>
        </w:rPr>
        <w:t>2.66</w:t>
      </w:r>
      <w:r>
        <w:rPr>
          <w:rFonts w:hint="eastAsia" w:ascii="方正仿宋_GBK" w:hAnsi="方正仿宋_GBK" w:eastAsia="方正仿宋_GBK" w:cs="方正仿宋_GBK"/>
          <w:sz w:val="32"/>
          <w:szCs w:val="32"/>
          <w:shd w:val="clear" w:fill="FFFFFF"/>
          <w:lang w:eastAsia="zh-CN"/>
        </w:rPr>
        <w:t>万元。</w:t>
      </w:r>
    </w:p>
    <w:p w14:paraId="2EC17B88">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四、其他需要说明的事项</w:t>
      </w:r>
    </w:p>
    <w:p w14:paraId="27722A36">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（一）财政拨款会议费和培训费情况说明</w:t>
      </w:r>
    </w:p>
    <w:p w14:paraId="5583694B">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本年度会议费支出</w:t>
      </w:r>
      <w:r>
        <w:rPr>
          <w:rFonts w:hint="eastAsia" w:ascii="方正仿宋_GBK" w:hAnsi="方正仿宋_GBK" w:eastAsia="方正仿宋_GBK" w:cs="方正仿宋_GBK"/>
          <w:sz w:val="32"/>
          <w:szCs w:val="32"/>
          <w:shd w:val="clear" w:fill="FFFFFF"/>
          <w:lang w:val="en-US"/>
        </w:rPr>
        <w:t>1.01</w:t>
      </w:r>
      <w:r>
        <w:rPr>
          <w:rFonts w:hint="eastAsia" w:ascii="方正仿宋_GBK" w:hAnsi="方正仿宋_GBK" w:eastAsia="方正仿宋_GBK" w:cs="方正仿宋_GBK"/>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0.22</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17.9%</w:t>
      </w:r>
      <w:r>
        <w:rPr>
          <w:rFonts w:hint="eastAsia" w:ascii="方正仿宋_GBK" w:hAnsi="方正仿宋_GBK" w:eastAsia="方正仿宋_GBK" w:cs="方正仿宋_GBK"/>
          <w:sz w:val="32"/>
          <w:szCs w:val="32"/>
          <w:shd w:val="clear" w:fill="FFFFFF"/>
          <w:lang w:eastAsia="zh-CN"/>
        </w:rPr>
        <w:t>，主要原因是减少会议频次、合并召开相关会议等。本年度培训费支出</w:t>
      </w:r>
      <w:r>
        <w:rPr>
          <w:rFonts w:hint="eastAsia" w:ascii="方正仿宋_GBK" w:hAnsi="方正仿宋_GBK" w:eastAsia="方正仿宋_GBK" w:cs="方正仿宋_GBK"/>
          <w:sz w:val="32"/>
          <w:szCs w:val="32"/>
          <w:shd w:val="clear" w:fill="FFFFFF"/>
          <w:lang w:val="en-US"/>
        </w:rPr>
        <w:t>2.92</w:t>
      </w:r>
      <w:r>
        <w:rPr>
          <w:rFonts w:hint="eastAsia" w:ascii="方正仿宋_GBK" w:hAnsi="方正仿宋_GBK" w:eastAsia="方正仿宋_GBK" w:cs="方正仿宋_GBK"/>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2.35</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44.6%</w:t>
      </w:r>
      <w:r>
        <w:rPr>
          <w:rFonts w:hint="eastAsia" w:ascii="方正仿宋_GBK" w:hAnsi="方正仿宋_GBK" w:eastAsia="方正仿宋_GBK" w:cs="方正仿宋_GBK"/>
          <w:sz w:val="32"/>
          <w:szCs w:val="32"/>
          <w:shd w:val="clear" w:fill="FFFFFF"/>
          <w:lang w:eastAsia="zh-CN"/>
        </w:rPr>
        <w:t>，主要原因是减少培训次数、外出参训减少。</w:t>
      </w:r>
    </w:p>
    <w:p w14:paraId="6FABD446">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（二）机关运行经费支出情况说明</w:t>
      </w:r>
    </w:p>
    <w:p w14:paraId="09296A03">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年度本部门机关运行经费支出</w:t>
      </w:r>
      <w:r>
        <w:rPr>
          <w:rFonts w:hint="eastAsia" w:ascii="方正仿宋_GBK" w:hAnsi="方正仿宋_GBK" w:eastAsia="方正仿宋_GBK" w:cs="方正仿宋_GBK"/>
          <w:sz w:val="32"/>
          <w:szCs w:val="32"/>
          <w:shd w:val="clear" w:fill="FFFFFF"/>
          <w:lang w:val="en-US"/>
        </w:rPr>
        <w:t>81.09</w:t>
      </w:r>
      <w:r>
        <w:rPr>
          <w:rFonts w:hint="eastAsia" w:ascii="方正仿宋_GBK" w:hAnsi="方正仿宋_GBK" w:eastAsia="方正仿宋_GBK" w:cs="方正仿宋_GBK"/>
          <w:sz w:val="32"/>
          <w:szCs w:val="32"/>
          <w:shd w:val="clear" w:fill="FFFFFF"/>
          <w:lang w:eastAsia="zh-CN"/>
        </w:rPr>
        <w:t>万元，主要用于开支主要用于开支主要用于保障单位运行用于购买货物和服务等的各项公用经费，包括办公及印刷费、邮电费、差旅费、会议费、福利费、日常维护费、一般设备购置费、办公用房水电费、办公用房物业管理费、公务用车运行维护费等。机关运行经费较上年决算数减少</w:t>
      </w:r>
      <w:r>
        <w:rPr>
          <w:rFonts w:hint="eastAsia" w:ascii="方正仿宋_GBK" w:hAnsi="方正仿宋_GBK" w:eastAsia="方正仿宋_GBK" w:cs="方正仿宋_GBK"/>
          <w:sz w:val="32"/>
          <w:szCs w:val="32"/>
          <w:shd w:val="clear" w:fill="FFFFFF"/>
          <w:lang w:val="en-US"/>
        </w:rPr>
        <w:t>110.55</w:t>
      </w:r>
      <w:r>
        <w:rPr>
          <w:rFonts w:hint="eastAsia" w:ascii="方正仿宋_GBK" w:hAnsi="方正仿宋_GBK" w:eastAsia="方正仿宋_GBK" w:cs="方正仿宋_GBK"/>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rPr>
        <w:t>57.7%</w:t>
      </w:r>
      <w:r>
        <w:rPr>
          <w:rFonts w:hint="eastAsia" w:ascii="方正仿宋_GBK" w:hAnsi="方正仿宋_GBK" w:eastAsia="方正仿宋_GBK" w:cs="方正仿宋_GBK"/>
          <w:sz w:val="32"/>
          <w:szCs w:val="32"/>
          <w:shd w:val="clear" w:fill="FFFFFF"/>
          <w:lang w:eastAsia="zh-CN"/>
        </w:rPr>
        <w:t>，主要原因是将社工劳务费等按口径要求纳入项目预算。</w:t>
      </w:r>
    </w:p>
    <w:p w14:paraId="11DFE6F2">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（三）国有资产占用情况说明</w:t>
      </w:r>
    </w:p>
    <w:p w14:paraId="39A4038C">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截至</w:t>
      </w: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z w:val="32"/>
          <w:szCs w:val="32"/>
          <w:shd w:val="clear" w:fill="FFFFFF"/>
          <w:lang w:eastAsia="zh-CN"/>
        </w:rPr>
        <w:t>月</w:t>
      </w:r>
      <w:r>
        <w:rPr>
          <w:rFonts w:hint="eastAsia" w:ascii="方正仿宋_GBK" w:hAnsi="方正仿宋_GBK" w:eastAsia="方正仿宋_GBK" w:cs="方正仿宋_GBK"/>
          <w:sz w:val="32"/>
          <w:szCs w:val="32"/>
          <w:shd w:val="clear" w:fill="FFFFFF"/>
          <w:lang w:val="en-US"/>
        </w:rPr>
        <w:t>31</w:t>
      </w:r>
      <w:r>
        <w:rPr>
          <w:rFonts w:hint="eastAsia" w:ascii="方正仿宋_GBK" w:hAnsi="方正仿宋_GBK" w:eastAsia="方正仿宋_GBK" w:cs="方正仿宋_GBK"/>
          <w:sz w:val="32"/>
          <w:szCs w:val="32"/>
          <w:shd w:val="clear" w:fill="FFFFFF"/>
          <w:lang w:eastAsia="zh-CN"/>
        </w:rPr>
        <w:t>日，本部门共有车辆</w:t>
      </w:r>
      <w:r>
        <w:rPr>
          <w:rFonts w:hint="eastAsia" w:ascii="方正仿宋_GBK" w:hAnsi="方正仿宋_GBK" w:eastAsia="方正仿宋_GBK" w:cs="方正仿宋_GBK"/>
          <w:sz w:val="32"/>
          <w:szCs w:val="32"/>
          <w:shd w:val="clear" w:fill="FFFFFF"/>
          <w:lang w:val="en-US"/>
        </w:rPr>
        <w:t>6</w:t>
      </w:r>
      <w:r>
        <w:rPr>
          <w:rFonts w:hint="eastAsia" w:ascii="方正仿宋_GBK" w:hAnsi="方正仿宋_GBK" w:eastAsia="方正仿宋_GBK" w:cs="方正仿宋_GBK"/>
          <w:sz w:val="32"/>
          <w:szCs w:val="32"/>
          <w:shd w:val="clear" w:fill="FFFFFF"/>
          <w:lang w:eastAsia="zh-CN"/>
        </w:rPr>
        <w:t>辆，其中，副部（省）级及以上领导用车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辆、主要领导干部用车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辆、机要通信用车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辆、应急保障用车</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辆、执法执勤用车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辆，特种专业技术用车</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辆，离退休干部用车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辆，其他用车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辆。单价</w:t>
      </w:r>
      <w:r>
        <w:rPr>
          <w:rFonts w:hint="eastAsia" w:ascii="方正仿宋_GBK" w:hAnsi="方正仿宋_GBK" w:eastAsia="方正仿宋_GBK" w:cs="方正仿宋_GBK"/>
          <w:sz w:val="32"/>
          <w:szCs w:val="32"/>
          <w:shd w:val="clear" w:fill="FFFFFF"/>
          <w:lang w:val="en-US"/>
        </w:rPr>
        <w:t>100</w:t>
      </w:r>
      <w:r>
        <w:rPr>
          <w:rFonts w:hint="eastAsia" w:ascii="方正仿宋_GBK" w:hAnsi="方正仿宋_GBK" w:eastAsia="方正仿宋_GBK" w:cs="方正仿宋_GBK"/>
          <w:sz w:val="32"/>
          <w:szCs w:val="32"/>
          <w:shd w:val="clear" w:fill="FFFFFF"/>
          <w:lang w:eastAsia="zh-CN"/>
        </w:rPr>
        <w:t>万元（含）以上设备（不含车辆）</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eastAsia="zh-CN"/>
        </w:rPr>
        <w:t>台（套）。</w:t>
      </w:r>
    </w:p>
    <w:p w14:paraId="6EDC18C2">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（四）政府采购支出说明</w:t>
      </w:r>
    </w:p>
    <w:p w14:paraId="628D9C0C">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val="en-US"/>
        </w:rPr>
        <w:t>2022</w:t>
      </w:r>
      <w:r>
        <w:rPr>
          <w:rFonts w:hint="eastAsia" w:ascii="方正仿宋_GBK" w:hAnsi="方正仿宋_GBK" w:eastAsia="方正仿宋_GBK" w:cs="方正仿宋_GBK"/>
          <w:sz w:val="32"/>
          <w:szCs w:val="32"/>
          <w:shd w:val="clear" w:fill="FFFFFF"/>
          <w:lang w:eastAsia="zh-CN"/>
        </w:rPr>
        <w:t>年度本部门政府采购支出总额</w:t>
      </w:r>
      <w:r>
        <w:rPr>
          <w:rFonts w:hint="eastAsia" w:ascii="方正仿宋_GBK" w:hAnsi="方正仿宋_GBK" w:eastAsia="方正仿宋_GBK" w:cs="方正仿宋_GBK"/>
          <w:sz w:val="32"/>
          <w:szCs w:val="32"/>
          <w:shd w:val="clear" w:fill="FFFFFF"/>
          <w:lang w:val="en-US"/>
        </w:rPr>
        <w:t>72.87</w:t>
      </w:r>
      <w:r>
        <w:rPr>
          <w:rFonts w:hint="eastAsia" w:ascii="方正仿宋_GBK" w:hAnsi="方正仿宋_GBK" w:eastAsia="方正仿宋_GBK" w:cs="方正仿宋_GBK"/>
          <w:sz w:val="32"/>
          <w:szCs w:val="32"/>
          <w:shd w:val="clear" w:fill="FFFFFF"/>
          <w:lang w:eastAsia="zh-CN"/>
        </w:rPr>
        <w:t>万元，其中：政府采购货物支出</w:t>
      </w:r>
      <w:r>
        <w:rPr>
          <w:rFonts w:hint="eastAsia" w:ascii="方正仿宋_GBK" w:hAnsi="方正仿宋_GBK" w:eastAsia="方正仿宋_GBK" w:cs="方正仿宋_GBK"/>
          <w:sz w:val="32"/>
          <w:szCs w:val="32"/>
          <w:shd w:val="clear" w:fill="FFFFFF"/>
          <w:lang w:val="en-US"/>
        </w:rPr>
        <w:t>2.87</w:t>
      </w:r>
      <w:r>
        <w:rPr>
          <w:rFonts w:hint="eastAsia" w:ascii="方正仿宋_GBK" w:hAnsi="方正仿宋_GBK" w:eastAsia="方正仿宋_GBK" w:cs="方正仿宋_GBK"/>
          <w:sz w:val="32"/>
          <w:szCs w:val="32"/>
          <w:shd w:val="clear" w:fill="FFFFFF"/>
          <w:lang w:eastAsia="zh-CN"/>
        </w:rPr>
        <w:t>万元、政府采购工程支出</w:t>
      </w:r>
      <w:r>
        <w:rPr>
          <w:rFonts w:hint="eastAsia" w:ascii="方正仿宋_GBK" w:hAnsi="方正仿宋_GBK" w:eastAsia="方正仿宋_GBK" w:cs="方正仿宋_GBK"/>
          <w:sz w:val="32"/>
          <w:szCs w:val="32"/>
          <w:shd w:val="clear" w:fill="FFFFFF"/>
          <w:lang w:val="en-US"/>
        </w:rPr>
        <w:t>0.00</w:t>
      </w:r>
      <w:r>
        <w:rPr>
          <w:rFonts w:hint="eastAsia" w:ascii="方正仿宋_GBK" w:hAnsi="方正仿宋_GBK" w:eastAsia="方正仿宋_GBK" w:cs="方正仿宋_GBK"/>
          <w:sz w:val="32"/>
          <w:szCs w:val="32"/>
          <w:shd w:val="clear" w:fill="FFFFFF"/>
          <w:lang w:eastAsia="zh-CN"/>
        </w:rPr>
        <w:t>万元、政府采购服务支出</w:t>
      </w:r>
      <w:r>
        <w:rPr>
          <w:rFonts w:hint="eastAsia" w:ascii="方正仿宋_GBK" w:hAnsi="方正仿宋_GBK" w:eastAsia="方正仿宋_GBK" w:cs="方正仿宋_GBK"/>
          <w:sz w:val="32"/>
          <w:szCs w:val="32"/>
          <w:shd w:val="clear" w:fill="FFFFFF"/>
          <w:lang w:val="en-US"/>
        </w:rPr>
        <w:t>70.00</w:t>
      </w:r>
      <w:r>
        <w:rPr>
          <w:rFonts w:hint="eastAsia" w:ascii="方正仿宋_GBK" w:hAnsi="方正仿宋_GBK" w:eastAsia="方正仿宋_GBK" w:cs="方正仿宋_GBK"/>
          <w:sz w:val="32"/>
          <w:szCs w:val="32"/>
          <w:shd w:val="clear" w:fill="FFFFFF"/>
          <w:lang w:eastAsia="zh-CN"/>
        </w:rPr>
        <w:t>万元。授予中小企业合同金额</w:t>
      </w:r>
      <w:r>
        <w:rPr>
          <w:rFonts w:hint="eastAsia" w:ascii="方正仿宋_GBK" w:hAnsi="方正仿宋_GBK" w:eastAsia="方正仿宋_GBK" w:cs="方正仿宋_GBK"/>
          <w:sz w:val="32"/>
          <w:szCs w:val="32"/>
          <w:shd w:val="clear" w:fill="FFFFFF"/>
          <w:lang w:val="en-US"/>
        </w:rPr>
        <w:t>2.87</w:t>
      </w:r>
      <w:r>
        <w:rPr>
          <w:rFonts w:hint="eastAsia" w:ascii="方正仿宋_GBK" w:hAnsi="方正仿宋_GBK" w:eastAsia="方正仿宋_GBK" w:cs="方正仿宋_GBK"/>
          <w:sz w:val="32"/>
          <w:szCs w:val="32"/>
          <w:shd w:val="clear" w:fill="FFFFFF"/>
          <w:lang w:eastAsia="zh-CN"/>
        </w:rPr>
        <w:t>万元，占政府采购支出总额的</w:t>
      </w:r>
      <w:r>
        <w:rPr>
          <w:rFonts w:hint="eastAsia" w:ascii="方正仿宋_GBK" w:hAnsi="方正仿宋_GBK" w:eastAsia="方正仿宋_GBK" w:cs="方正仿宋_GBK"/>
          <w:sz w:val="32"/>
          <w:szCs w:val="32"/>
          <w:shd w:val="clear" w:fill="FFFFFF"/>
          <w:lang w:val="en-US"/>
        </w:rPr>
        <w:t>3.9%</w:t>
      </w:r>
      <w:r>
        <w:rPr>
          <w:rFonts w:hint="eastAsia" w:ascii="方正仿宋_GBK" w:hAnsi="方正仿宋_GBK" w:eastAsia="方正仿宋_GBK" w:cs="方正仿宋_GBK"/>
          <w:sz w:val="32"/>
          <w:szCs w:val="32"/>
          <w:shd w:val="clear" w:fill="FFFFFF"/>
          <w:lang w:eastAsia="zh-CN"/>
        </w:rPr>
        <w:t>，其中：授予小微企业合同金额</w:t>
      </w:r>
      <w:r>
        <w:rPr>
          <w:rFonts w:hint="eastAsia" w:ascii="方正仿宋_GBK" w:hAnsi="方正仿宋_GBK" w:eastAsia="方正仿宋_GBK" w:cs="方正仿宋_GBK"/>
          <w:sz w:val="32"/>
          <w:szCs w:val="32"/>
          <w:shd w:val="clear" w:fill="FFFFFF"/>
          <w:lang w:val="en-US"/>
        </w:rPr>
        <w:t>2.87</w:t>
      </w:r>
      <w:r>
        <w:rPr>
          <w:rFonts w:hint="eastAsia" w:ascii="方正仿宋_GBK" w:hAnsi="方正仿宋_GBK" w:eastAsia="方正仿宋_GBK" w:cs="方正仿宋_GBK"/>
          <w:sz w:val="32"/>
          <w:szCs w:val="32"/>
          <w:shd w:val="clear" w:fill="FFFFFF"/>
          <w:lang w:eastAsia="zh-CN"/>
        </w:rPr>
        <w:t>万元，占政府采购支出总额的</w:t>
      </w:r>
      <w:r>
        <w:rPr>
          <w:rFonts w:hint="eastAsia" w:ascii="方正仿宋_GBK" w:hAnsi="方正仿宋_GBK" w:eastAsia="方正仿宋_GBK" w:cs="方正仿宋_GBK"/>
          <w:sz w:val="32"/>
          <w:szCs w:val="32"/>
          <w:shd w:val="clear" w:fill="FFFFFF"/>
          <w:lang w:val="en-US"/>
        </w:rPr>
        <w:t>3.9%</w:t>
      </w:r>
      <w:r>
        <w:rPr>
          <w:rFonts w:hint="eastAsia" w:ascii="方正仿宋_GBK" w:hAnsi="方正仿宋_GBK" w:eastAsia="方正仿宋_GBK" w:cs="方正仿宋_GBK"/>
          <w:sz w:val="32"/>
          <w:szCs w:val="32"/>
          <w:shd w:val="clear" w:fill="FFFFFF"/>
          <w:lang w:eastAsia="zh-CN"/>
        </w:rPr>
        <w:t>。主要用于采购采购办公电脑、打印机及购买社工服务等。</w:t>
      </w:r>
    </w:p>
    <w:p w14:paraId="6B66C997">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五、预算绩效管理情况说明</w:t>
      </w:r>
    </w:p>
    <w:p w14:paraId="5B5D483B">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（一）预算绩效管理工作开展情况</w:t>
      </w:r>
    </w:p>
    <w:p w14:paraId="479495BF">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根据预算绩效管理要求，我局对部门整体和</w:t>
      </w:r>
      <w:r>
        <w:rPr>
          <w:rFonts w:hint="eastAsia" w:ascii="方正仿宋_GBK" w:hAnsi="方正仿宋_GBK" w:eastAsia="方正仿宋_GBK" w:cs="方正仿宋_GBK"/>
          <w:sz w:val="32"/>
          <w:szCs w:val="32"/>
          <w:shd w:val="clear" w:fill="FFFFFF"/>
          <w:lang w:val="en-US"/>
        </w:rPr>
        <w:t>51</w:t>
      </w:r>
      <w:r>
        <w:rPr>
          <w:rFonts w:hint="eastAsia" w:ascii="方正仿宋_GBK" w:hAnsi="方正仿宋_GBK" w:eastAsia="方正仿宋_GBK" w:cs="方正仿宋_GBK"/>
          <w:sz w:val="32"/>
          <w:szCs w:val="32"/>
          <w:shd w:val="clear" w:fill="FFFFFF"/>
          <w:lang w:eastAsia="zh-CN"/>
        </w:rPr>
        <w:t>个项目开展了绩效自评，其中，以填报自评表形式开展自评</w:t>
      </w:r>
      <w:r>
        <w:rPr>
          <w:rFonts w:hint="eastAsia" w:ascii="方正仿宋_GBK" w:hAnsi="方正仿宋_GBK" w:eastAsia="方正仿宋_GBK" w:cs="方正仿宋_GBK"/>
          <w:sz w:val="32"/>
          <w:szCs w:val="32"/>
          <w:shd w:val="clear" w:fill="FFFFFF"/>
          <w:lang w:val="en-US"/>
        </w:rPr>
        <w:t>51</w:t>
      </w:r>
      <w:r>
        <w:rPr>
          <w:rFonts w:hint="eastAsia" w:ascii="方正仿宋_GBK" w:hAnsi="方正仿宋_GBK" w:eastAsia="方正仿宋_GBK" w:cs="方正仿宋_GBK"/>
          <w:sz w:val="32"/>
          <w:szCs w:val="32"/>
          <w:shd w:val="clear" w:fill="FFFFFF"/>
          <w:lang w:eastAsia="zh-CN"/>
        </w:rPr>
        <w:t>项，涉及资金</w:t>
      </w:r>
      <w:r>
        <w:rPr>
          <w:rFonts w:hint="eastAsia" w:ascii="方正仿宋_GBK" w:hAnsi="方正仿宋_GBK" w:eastAsia="方正仿宋_GBK" w:cs="方正仿宋_GBK"/>
          <w:sz w:val="32"/>
          <w:szCs w:val="32"/>
          <w:shd w:val="clear" w:fill="FFFFFF"/>
          <w:lang w:val="en-US"/>
        </w:rPr>
        <w:t>24637.51</w:t>
      </w:r>
      <w:r>
        <w:rPr>
          <w:rFonts w:hint="eastAsia" w:ascii="方正仿宋_GBK" w:hAnsi="方正仿宋_GBK" w:eastAsia="方正仿宋_GBK" w:cs="方正仿宋_GBK"/>
          <w:sz w:val="32"/>
          <w:szCs w:val="32"/>
          <w:shd w:val="clear" w:fill="FFFFFF"/>
          <w:lang w:eastAsia="zh-CN"/>
        </w:rPr>
        <w:t>万元；从评价情况来看，推动了民政惠民政策的全面落实，提升民政工作服务管理水平。</w:t>
      </w:r>
    </w:p>
    <w:p w14:paraId="471470D0">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lang w:val="en-US"/>
        </w:rPr>
      </w:pPr>
      <w:r>
        <w:rPr>
          <w:rStyle w:val="6"/>
          <w:rFonts w:hint="eastAsia" w:ascii="方正楷体_GBK" w:hAnsi="方正楷体_GBK" w:eastAsia="方正楷体_GBK" w:cs="方正楷体_GBK"/>
          <w:b w:val="0"/>
          <w:sz w:val="32"/>
          <w:szCs w:val="32"/>
          <w:shd w:val="clear" w:fill="FFFFFF"/>
          <w:lang w:eastAsia="zh-CN"/>
        </w:rPr>
        <w:t>（二）绩效自评结果</w:t>
      </w:r>
    </w:p>
    <w:p w14:paraId="620DA9AC">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lang w:val="en-US"/>
        </w:rPr>
      </w:pPr>
      <w:r>
        <w:rPr>
          <w:rStyle w:val="7"/>
          <w:rFonts w:hint="eastAsia" w:ascii="方正仿宋_GBK" w:hAnsi="方正仿宋_GBK" w:eastAsia="方正仿宋_GBK" w:cs="方正仿宋_GBK"/>
          <w:sz w:val="32"/>
          <w:szCs w:val="32"/>
          <w:shd w:val="clear" w:fill="FFFFFF"/>
          <w:lang w:val="en-US"/>
        </w:rPr>
        <w:t>1.</w:t>
      </w:r>
      <w:r>
        <w:rPr>
          <w:rStyle w:val="7"/>
          <w:rFonts w:hint="eastAsia" w:ascii="方正仿宋_GBK" w:hAnsi="方正仿宋_GBK" w:eastAsia="方正仿宋_GBK" w:cs="方正仿宋_GBK"/>
          <w:sz w:val="32"/>
          <w:szCs w:val="32"/>
          <w:shd w:val="clear" w:fill="FFFFFF"/>
          <w:lang w:eastAsia="zh-CN"/>
        </w:rPr>
        <w:t>绩效目标自评表</w:t>
      </w:r>
    </w:p>
    <w:p w14:paraId="69F2854B">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shd w:val="clear" w:fill="FFFFFF"/>
          <w:lang w:val="en-US"/>
        </w:rPr>
      </w:pPr>
      <w:r>
        <w:rPr>
          <w:rStyle w:val="7"/>
          <w:rFonts w:hint="eastAsia" w:ascii="方正仿宋_GBK" w:hAnsi="方正仿宋_GBK" w:eastAsia="方正仿宋_GBK" w:cs="方正仿宋_GBK"/>
          <w:sz w:val="32"/>
          <w:szCs w:val="32"/>
          <w:shd w:val="clear" w:fill="FFFFFF"/>
          <w:lang w:val="en-US"/>
        </w:rPr>
        <w:t xml:space="preserve"> </w:t>
      </w:r>
    </w:p>
    <w:tbl>
      <w:tblPr>
        <w:tblStyle w:val="3"/>
        <w:tblW w:w="8307" w:type="dxa"/>
        <w:jc w:val="center"/>
        <w:shd w:val="clear" w:color="auto" w:fill="auto"/>
        <w:tblLayout w:type="fixed"/>
        <w:tblCellMar>
          <w:top w:w="0" w:type="dxa"/>
          <w:left w:w="108" w:type="dxa"/>
          <w:bottom w:w="0" w:type="dxa"/>
          <w:right w:w="108" w:type="dxa"/>
        </w:tblCellMar>
      </w:tblPr>
      <w:tblGrid>
        <w:gridCol w:w="993"/>
        <w:gridCol w:w="441"/>
        <w:gridCol w:w="661"/>
        <w:gridCol w:w="772"/>
        <w:gridCol w:w="780"/>
        <w:gridCol w:w="433"/>
        <w:gridCol w:w="811"/>
        <w:gridCol w:w="551"/>
        <w:gridCol w:w="621"/>
        <w:gridCol w:w="709"/>
        <w:gridCol w:w="758"/>
        <w:gridCol w:w="777"/>
      </w:tblGrid>
      <w:tr w14:paraId="5D73DB58">
        <w:tblPrEx>
          <w:shd w:val="clear" w:color="auto" w:fill="auto"/>
          <w:tblCellMar>
            <w:top w:w="0" w:type="dxa"/>
            <w:left w:w="108" w:type="dxa"/>
            <w:bottom w:w="0" w:type="dxa"/>
            <w:right w:w="108" w:type="dxa"/>
          </w:tblCellMar>
        </w:tblPrEx>
        <w:trPr>
          <w:trHeight w:val="469" w:hRule="atLeast"/>
          <w:jc w:val="center"/>
        </w:trPr>
        <w:tc>
          <w:tcPr>
            <w:tcW w:w="83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21FFF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color w:val="000000"/>
                <w:lang w:val="en-US"/>
              </w:rPr>
            </w:pPr>
            <w:r>
              <w:rPr>
                <w:rFonts w:hint="eastAsia" w:ascii="方正仿宋_GBK" w:hAnsi="方正仿宋_GBK" w:eastAsia="方正仿宋_GBK" w:cs="Times New Roman"/>
                <w:b/>
                <w:color w:val="000000"/>
                <w:lang w:val="en-US"/>
              </w:rPr>
              <w:t>2022</w:t>
            </w:r>
            <w:r>
              <w:rPr>
                <w:rFonts w:hint="eastAsia" w:ascii="方正仿宋_GBK" w:hAnsi="方正仿宋_GBK" w:eastAsia="方正仿宋_GBK" w:cs="Times New Roman"/>
                <w:b/>
                <w:color w:val="000000"/>
              </w:rPr>
              <w:t>年度部门整体绩效自评表</w:t>
            </w:r>
          </w:p>
        </w:tc>
      </w:tr>
      <w:tr w14:paraId="19DD8D78">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10C8FD2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项目名称：</w:t>
            </w:r>
          </w:p>
        </w:tc>
        <w:tc>
          <w:tcPr>
            <w:tcW w:w="1102" w:type="dxa"/>
            <w:gridSpan w:val="2"/>
            <w:tcBorders>
              <w:top w:val="nil"/>
              <w:left w:val="nil"/>
              <w:bottom w:val="single" w:color="auto" w:sz="4" w:space="0"/>
              <w:right w:val="single" w:color="auto" w:sz="4" w:space="0"/>
            </w:tcBorders>
            <w:shd w:val="clear" w:color="auto" w:fill="auto"/>
            <w:vAlign w:val="center"/>
          </w:tcPr>
          <w:p w14:paraId="7851A5A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丰都县民政局部门整体绩效自评</w:t>
            </w:r>
          </w:p>
        </w:tc>
        <w:tc>
          <w:tcPr>
            <w:tcW w:w="772" w:type="dxa"/>
            <w:tcBorders>
              <w:top w:val="nil"/>
              <w:left w:val="nil"/>
              <w:bottom w:val="single" w:color="auto" w:sz="4" w:space="0"/>
              <w:right w:val="single" w:color="auto" w:sz="4" w:space="0"/>
            </w:tcBorders>
            <w:shd w:val="clear" w:color="auto" w:fill="auto"/>
            <w:vAlign w:val="center"/>
          </w:tcPr>
          <w:p w14:paraId="71B2B11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项目编码：</w:t>
            </w:r>
          </w:p>
        </w:tc>
        <w:tc>
          <w:tcPr>
            <w:tcW w:w="1213" w:type="dxa"/>
            <w:gridSpan w:val="2"/>
            <w:tcBorders>
              <w:top w:val="nil"/>
              <w:left w:val="nil"/>
              <w:bottom w:val="single" w:color="auto" w:sz="4" w:space="0"/>
              <w:right w:val="single" w:color="auto" w:sz="4" w:space="0"/>
            </w:tcBorders>
            <w:shd w:val="clear" w:color="auto" w:fill="auto"/>
            <w:vAlign w:val="center"/>
          </w:tcPr>
          <w:p w14:paraId="5BDD1B6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811" w:type="dxa"/>
            <w:tcBorders>
              <w:top w:val="nil"/>
              <w:left w:val="nil"/>
              <w:bottom w:val="single" w:color="auto" w:sz="4" w:space="0"/>
              <w:right w:val="single" w:color="auto" w:sz="4" w:space="0"/>
            </w:tcBorders>
            <w:shd w:val="clear" w:color="auto" w:fill="auto"/>
            <w:vAlign w:val="center"/>
          </w:tcPr>
          <w:p w14:paraId="7F0E93A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自评总分：</w:t>
            </w:r>
          </w:p>
        </w:tc>
        <w:tc>
          <w:tcPr>
            <w:tcW w:w="1172" w:type="dxa"/>
            <w:gridSpan w:val="2"/>
            <w:tcBorders>
              <w:top w:val="nil"/>
              <w:left w:val="nil"/>
              <w:bottom w:val="single" w:color="auto" w:sz="4" w:space="0"/>
              <w:right w:val="single" w:color="auto" w:sz="4" w:space="0"/>
            </w:tcBorders>
            <w:shd w:val="clear" w:color="auto" w:fill="auto"/>
            <w:vAlign w:val="center"/>
          </w:tcPr>
          <w:p w14:paraId="5ADBD63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709" w:type="dxa"/>
            <w:tcBorders>
              <w:top w:val="nil"/>
              <w:left w:val="nil"/>
              <w:bottom w:val="single" w:color="auto" w:sz="4" w:space="0"/>
              <w:right w:val="single" w:color="auto" w:sz="4" w:space="0"/>
            </w:tcBorders>
            <w:shd w:val="clear" w:color="auto" w:fill="auto"/>
            <w:vAlign w:val="center"/>
          </w:tcPr>
          <w:p w14:paraId="503C5E5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p>
        </w:tc>
        <w:tc>
          <w:tcPr>
            <w:tcW w:w="1535" w:type="dxa"/>
            <w:gridSpan w:val="2"/>
            <w:tcBorders>
              <w:top w:val="nil"/>
              <w:left w:val="nil"/>
              <w:bottom w:val="single" w:color="auto" w:sz="4" w:space="0"/>
              <w:right w:val="single" w:color="auto" w:sz="4" w:space="0"/>
            </w:tcBorders>
            <w:shd w:val="clear" w:color="auto" w:fill="auto"/>
            <w:vAlign w:val="center"/>
          </w:tcPr>
          <w:p w14:paraId="40A93F1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421B001F">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7F82D5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项目主管部门：</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5709CA5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丰都县民政局</w:t>
            </w:r>
          </w:p>
        </w:tc>
        <w:tc>
          <w:tcPr>
            <w:tcW w:w="772" w:type="dxa"/>
            <w:tcBorders>
              <w:top w:val="nil"/>
              <w:left w:val="nil"/>
              <w:bottom w:val="single" w:color="auto" w:sz="4" w:space="0"/>
              <w:right w:val="single" w:color="auto" w:sz="4" w:space="0"/>
            </w:tcBorders>
            <w:shd w:val="clear" w:color="auto" w:fill="auto"/>
            <w:vAlign w:val="center"/>
          </w:tcPr>
          <w:p w14:paraId="1B39447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财政归口处室：</w:t>
            </w:r>
          </w:p>
        </w:tc>
        <w:tc>
          <w:tcPr>
            <w:tcW w:w="1213" w:type="dxa"/>
            <w:gridSpan w:val="2"/>
            <w:tcBorders>
              <w:top w:val="single" w:color="auto" w:sz="4" w:space="0"/>
              <w:left w:val="nil"/>
              <w:bottom w:val="single" w:color="auto" w:sz="4" w:space="0"/>
              <w:right w:val="single" w:color="auto" w:sz="4" w:space="0"/>
            </w:tcBorders>
            <w:shd w:val="clear" w:color="auto" w:fill="auto"/>
            <w:vAlign w:val="center"/>
          </w:tcPr>
          <w:p w14:paraId="6CFA1BD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社保科</w:t>
            </w:r>
          </w:p>
        </w:tc>
        <w:tc>
          <w:tcPr>
            <w:tcW w:w="811" w:type="dxa"/>
            <w:tcBorders>
              <w:top w:val="nil"/>
              <w:left w:val="nil"/>
              <w:bottom w:val="single" w:color="auto" w:sz="4" w:space="0"/>
              <w:right w:val="single" w:color="auto" w:sz="4" w:space="0"/>
            </w:tcBorders>
            <w:shd w:val="clear" w:color="auto" w:fill="auto"/>
            <w:vAlign w:val="center"/>
          </w:tcPr>
          <w:p w14:paraId="484BFD6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部门</w:t>
            </w:r>
          </w:p>
          <w:p w14:paraId="6193D14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联系人：</w:t>
            </w:r>
          </w:p>
        </w:tc>
        <w:tc>
          <w:tcPr>
            <w:tcW w:w="1172" w:type="dxa"/>
            <w:gridSpan w:val="2"/>
            <w:tcBorders>
              <w:top w:val="single" w:color="auto" w:sz="4" w:space="0"/>
              <w:left w:val="nil"/>
              <w:bottom w:val="single" w:color="auto" w:sz="4" w:space="0"/>
              <w:right w:val="single" w:color="auto" w:sz="4" w:space="0"/>
            </w:tcBorders>
            <w:shd w:val="clear" w:color="auto" w:fill="auto"/>
            <w:vAlign w:val="center"/>
          </w:tcPr>
          <w:p w14:paraId="0829EB8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黄敬雅</w:t>
            </w:r>
          </w:p>
        </w:tc>
        <w:tc>
          <w:tcPr>
            <w:tcW w:w="709" w:type="dxa"/>
            <w:tcBorders>
              <w:top w:val="nil"/>
              <w:left w:val="nil"/>
              <w:bottom w:val="single" w:color="auto" w:sz="4" w:space="0"/>
              <w:right w:val="single" w:color="auto" w:sz="4" w:space="0"/>
            </w:tcBorders>
            <w:shd w:val="clear" w:color="auto" w:fill="auto"/>
            <w:vAlign w:val="center"/>
          </w:tcPr>
          <w:p w14:paraId="6FCDA7F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联系</w:t>
            </w:r>
          </w:p>
          <w:p w14:paraId="10FE810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电话</w:t>
            </w:r>
          </w:p>
        </w:tc>
        <w:tc>
          <w:tcPr>
            <w:tcW w:w="1535" w:type="dxa"/>
            <w:gridSpan w:val="2"/>
            <w:tcBorders>
              <w:top w:val="single" w:color="auto" w:sz="4" w:space="0"/>
              <w:left w:val="nil"/>
              <w:bottom w:val="single" w:color="auto" w:sz="4" w:space="0"/>
              <w:right w:val="single" w:color="auto" w:sz="4" w:space="0"/>
            </w:tcBorders>
            <w:shd w:val="clear" w:color="auto" w:fill="auto"/>
            <w:vAlign w:val="center"/>
          </w:tcPr>
          <w:p w14:paraId="7E46ED2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023-70605276</w:t>
            </w:r>
          </w:p>
        </w:tc>
      </w:tr>
      <w:tr w14:paraId="4B381E01">
        <w:tblPrEx>
          <w:tblCellMar>
            <w:top w:w="0" w:type="dxa"/>
            <w:left w:w="108" w:type="dxa"/>
            <w:bottom w:w="0" w:type="dxa"/>
            <w:right w:w="108" w:type="dxa"/>
          </w:tblCellMar>
        </w:tblPrEx>
        <w:trPr>
          <w:trHeight w:val="469" w:hRule="atLeast"/>
          <w:jc w:val="center"/>
        </w:trPr>
        <w:tc>
          <w:tcPr>
            <w:tcW w:w="83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15C7A16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资金情况</w:t>
            </w:r>
          </w:p>
        </w:tc>
      </w:tr>
      <w:tr w14:paraId="7BE48838">
        <w:tblPrEx>
          <w:tblCellMar>
            <w:top w:w="0" w:type="dxa"/>
            <w:left w:w="108" w:type="dxa"/>
            <w:bottom w:w="0" w:type="dxa"/>
            <w:right w:w="108" w:type="dxa"/>
          </w:tblCellMar>
        </w:tblPrEx>
        <w:trPr>
          <w:trHeight w:val="445" w:hRule="atLeast"/>
          <w:jc w:val="center"/>
        </w:trPr>
        <w:tc>
          <w:tcPr>
            <w:tcW w:w="143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28AC60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1433" w:type="dxa"/>
            <w:gridSpan w:val="2"/>
            <w:tcBorders>
              <w:top w:val="single" w:color="auto" w:sz="4" w:space="0"/>
              <w:left w:val="nil"/>
              <w:bottom w:val="single" w:color="auto" w:sz="4" w:space="0"/>
              <w:right w:val="single" w:color="000000" w:sz="4" w:space="0"/>
            </w:tcBorders>
            <w:shd w:val="clear" w:color="auto" w:fill="auto"/>
            <w:vAlign w:val="center"/>
          </w:tcPr>
          <w:p w14:paraId="5C89DE5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eastAsia="zh-CN"/>
              </w:rPr>
            </w:pPr>
            <w:r>
              <w:rPr>
                <w:rFonts w:hint="eastAsia" w:ascii="方正仿宋_GBK" w:hAnsi="方正仿宋_GBK" w:eastAsia="方正仿宋_GBK" w:cs="Times New Roman"/>
                <w:b/>
                <w:color w:val="000000"/>
              </w:rPr>
              <w:t>年初预算数</w:t>
            </w:r>
            <w:r>
              <w:rPr>
                <w:rFonts w:hint="eastAsia" w:ascii="方正仿宋_GBK" w:hAnsi="方正仿宋_GBK" w:eastAsia="方正仿宋_GBK" w:cs="Times New Roman"/>
                <w:b/>
                <w:color w:val="000000"/>
                <w:lang w:val="en-US" w:eastAsia="zh-CN"/>
              </w:rPr>
              <w:t>(万元)</w:t>
            </w:r>
          </w:p>
        </w:tc>
        <w:tc>
          <w:tcPr>
            <w:tcW w:w="1213" w:type="dxa"/>
            <w:gridSpan w:val="2"/>
            <w:tcBorders>
              <w:top w:val="single" w:color="auto" w:sz="4" w:space="0"/>
              <w:left w:val="nil"/>
              <w:bottom w:val="single" w:color="auto" w:sz="4" w:space="0"/>
              <w:right w:val="single" w:color="000000" w:sz="4" w:space="0"/>
            </w:tcBorders>
            <w:shd w:val="clear" w:color="auto" w:fill="auto"/>
            <w:vAlign w:val="center"/>
          </w:tcPr>
          <w:p w14:paraId="374E4A5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both"/>
              <w:outlineLvl w:val="9"/>
              <w:rPr>
                <w:rFonts w:hint="eastAsia" w:ascii="方正仿宋_GBK" w:hAnsi="方正仿宋_GBK" w:eastAsia="方正仿宋_GBK" w:cs="Times New Roman"/>
                <w:b/>
                <w:color w:val="000000"/>
                <w:lang w:val="en-US" w:eastAsia="zh-CN"/>
              </w:rPr>
            </w:pPr>
            <w:r>
              <w:rPr>
                <w:rFonts w:hint="eastAsia" w:ascii="方正仿宋_GBK" w:hAnsi="方正仿宋_GBK" w:eastAsia="方正仿宋_GBK" w:cs="Times New Roman"/>
                <w:b/>
                <w:color w:val="000000"/>
              </w:rPr>
              <w:t>全年</w:t>
            </w:r>
            <w:r>
              <w:rPr>
                <w:rFonts w:hint="eastAsia" w:ascii="方正仿宋_GBK" w:hAnsi="方正仿宋_GBK" w:eastAsia="方正仿宋_GBK" w:cs="Times New Roman"/>
                <w:b/>
                <w:color w:val="000000"/>
                <w:lang w:val="en-US"/>
              </w:rPr>
              <w:t>(</w:t>
            </w:r>
            <w:r>
              <w:rPr>
                <w:rFonts w:hint="eastAsia" w:ascii="方正仿宋_GBK" w:hAnsi="方正仿宋_GBK" w:eastAsia="方正仿宋_GBK" w:cs="Times New Roman"/>
                <w:b/>
                <w:color w:val="000000"/>
              </w:rPr>
              <w:t>调整</w:t>
            </w:r>
            <w:r>
              <w:rPr>
                <w:rFonts w:hint="eastAsia" w:ascii="方正仿宋_GBK" w:hAnsi="方正仿宋_GBK" w:eastAsia="方正仿宋_GBK" w:cs="Times New Roman"/>
                <w:b/>
                <w:color w:val="000000"/>
                <w:lang w:val="en-US"/>
              </w:rPr>
              <w:t>)</w:t>
            </w:r>
            <w:r>
              <w:rPr>
                <w:rFonts w:hint="eastAsia" w:ascii="方正仿宋_GBK" w:hAnsi="方正仿宋_GBK" w:eastAsia="方正仿宋_GBK" w:cs="Times New Roman"/>
                <w:b/>
                <w:color w:val="000000"/>
              </w:rPr>
              <w:t>预算数</w:t>
            </w:r>
            <w:r>
              <w:rPr>
                <w:rFonts w:hint="eastAsia" w:ascii="方正仿宋_GBK" w:hAnsi="方正仿宋_GBK" w:eastAsia="方正仿宋_GBK" w:cs="Times New Roman"/>
                <w:b/>
                <w:color w:val="000000"/>
                <w:lang w:eastAsia="zh-CN"/>
              </w:rPr>
              <w:t>（万元）</w:t>
            </w:r>
          </w:p>
        </w:tc>
        <w:tc>
          <w:tcPr>
            <w:tcW w:w="1362" w:type="dxa"/>
            <w:gridSpan w:val="2"/>
            <w:tcBorders>
              <w:top w:val="single" w:color="auto" w:sz="4" w:space="0"/>
              <w:left w:val="nil"/>
              <w:bottom w:val="single" w:color="auto" w:sz="4" w:space="0"/>
              <w:right w:val="single" w:color="000000" w:sz="4" w:space="0"/>
            </w:tcBorders>
            <w:shd w:val="clear" w:color="auto" w:fill="auto"/>
            <w:vAlign w:val="center"/>
          </w:tcPr>
          <w:p w14:paraId="3638515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eastAsia="zh-CN"/>
              </w:rPr>
            </w:pPr>
            <w:r>
              <w:rPr>
                <w:rFonts w:hint="eastAsia" w:ascii="方正仿宋_GBK" w:hAnsi="方正仿宋_GBK" w:eastAsia="方正仿宋_GBK" w:cs="Times New Roman"/>
                <w:b/>
                <w:color w:val="000000"/>
              </w:rPr>
              <w:t>全年执行数</w:t>
            </w:r>
            <w:r>
              <w:rPr>
                <w:rFonts w:hint="eastAsia" w:ascii="方正仿宋_GBK" w:hAnsi="方正仿宋_GBK" w:eastAsia="方正仿宋_GBK" w:cs="Times New Roman"/>
                <w:b/>
                <w:color w:val="000000"/>
                <w:lang w:eastAsia="zh-CN"/>
              </w:rPr>
              <w:t>（万元）</w:t>
            </w:r>
          </w:p>
        </w:tc>
        <w:tc>
          <w:tcPr>
            <w:tcW w:w="1330" w:type="dxa"/>
            <w:gridSpan w:val="2"/>
            <w:tcBorders>
              <w:top w:val="single" w:color="auto" w:sz="4" w:space="0"/>
              <w:left w:val="nil"/>
              <w:bottom w:val="single" w:color="auto" w:sz="4" w:space="0"/>
              <w:right w:val="single" w:color="000000" w:sz="4" w:space="0"/>
            </w:tcBorders>
            <w:shd w:val="clear" w:color="auto" w:fill="auto"/>
            <w:vAlign w:val="center"/>
          </w:tcPr>
          <w:p w14:paraId="3F3CC02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eastAsia="zh-CN"/>
              </w:rPr>
            </w:pPr>
            <w:r>
              <w:rPr>
                <w:rFonts w:hint="eastAsia" w:ascii="方正仿宋_GBK" w:hAnsi="方正仿宋_GBK" w:eastAsia="方正仿宋_GBK" w:cs="Times New Roman"/>
                <w:b/>
                <w:color w:val="000000"/>
              </w:rPr>
              <w:t>执行率</w:t>
            </w:r>
            <w:r>
              <w:rPr>
                <w:rFonts w:hint="eastAsia" w:ascii="方正仿宋_GBK" w:hAnsi="方正仿宋_GBK" w:eastAsia="方正仿宋_GBK" w:cs="Times New Roman"/>
                <w:b/>
                <w:color w:val="000000"/>
                <w:lang w:eastAsia="zh-CN"/>
              </w:rPr>
              <w:t>（</w:t>
            </w:r>
            <w:r>
              <w:rPr>
                <w:rFonts w:hint="eastAsia" w:ascii="方正仿宋_GBK" w:hAnsi="方正仿宋_GBK" w:eastAsia="方正仿宋_GBK" w:cs="Times New Roman"/>
                <w:b/>
                <w:color w:val="000000"/>
                <w:lang w:val="en-US" w:eastAsia="zh-CN"/>
              </w:rPr>
              <w:t>%</w:t>
            </w:r>
            <w:r>
              <w:rPr>
                <w:rFonts w:hint="eastAsia" w:ascii="方正仿宋_GBK" w:hAnsi="方正仿宋_GBK" w:eastAsia="方正仿宋_GBK" w:cs="Times New Roman"/>
                <w:b/>
                <w:color w:val="000000"/>
                <w:lang w:eastAsia="zh-CN"/>
              </w:rPr>
              <w:t>）</w:t>
            </w:r>
          </w:p>
        </w:tc>
        <w:tc>
          <w:tcPr>
            <w:tcW w:w="758" w:type="dxa"/>
            <w:tcBorders>
              <w:top w:val="nil"/>
              <w:left w:val="nil"/>
              <w:bottom w:val="single" w:color="auto" w:sz="4" w:space="0"/>
              <w:right w:val="single" w:color="auto" w:sz="4" w:space="0"/>
            </w:tcBorders>
            <w:shd w:val="clear" w:color="auto" w:fill="auto"/>
            <w:vAlign w:val="center"/>
          </w:tcPr>
          <w:p w14:paraId="218B05C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执行率</w:t>
            </w:r>
          </w:p>
          <w:p w14:paraId="71F06DA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权重</w:t>
            </w:r>
          </w:p>
        </w:tc>
        <w:tc>
          <w:tcPr>
            <w:tcW w:w="777" w:type="dxa"/>
            <w:tcBorders>
              <w:top w:val="nil"/>
              <w:left w:val="nil"/>
              <w:bottom w:val="single" w:color="auto" w:sz="4" w:space="0"/>
              <w:right w:val="single" w:color="auto" w:sz="4" w:space="0"/>
            </w:tcBorders>
            <w:shd w:val="clear" w:color="auto" w:fill="auto"/>
            <w:vAlign w:val="center"/>
          </w:tcPr>
          <w:p w14:paraId="34463F1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执行率</w:t>
            </w:r>
          </w:p>
          <w:p w14:paraId="562C668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得分</w:t>
            </w:r>
          </w:p>
        </w:tc>
      </w:tr>
      <w:tr w14:paraId="79556570">
        <w:tblPrEx>
          <w:tblCellMar>
            <w:top w:w="0" w:type="dxa"/>
            <w:left w:w="108" w:type="dxa"/>
            <w:bottom w:w="0" w:type="dxa"/>
            <w:right w:w="108" w:type="dxa"/>
          </w:tblCellMar>
        </w:tblPrEx>
        <w:trPr>
          <w:trHeight w:val="499" w:hRule="atLeast"/>
          <w:jc w:val="center"/>
        </w:trPr>
        <w:tc>
          <w:tcPr>
            <w:tcW w:w="1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EE9E4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年度总金额</w:t>
            </w:r>
          </w:p>
        </w:tc>
        <w:tc>
          <w:tcPr>
            <w:tcW w:w="1433" w:type="dxa"/>
            <w:gridSpan w:val="2"/>
            <w:tcBorders>
              <w:top w:val="single" w:color="auto" w:sz="4" w:space="0"/>
              <w:left w:val="nil"/>
              <w:bottom w:val="single" w:color="auto" w:sz="4" w:space="0"/>
              <w:right w:val="single" w:color="auto" w:sz="4" w:space="0"/>
            </w:tcBorders>
            <w:shd w:val="clear" w:color="auto" w:fill="auto"/>
            <w:vAlign w:val="center"/>
          </w:tcPr>
          <w:p w14:paraId="117E23A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22399.01</w:t>
            </w:r>
          </w:p>
        </w:tc>
        <w:tc>
          <w:tcPr>
            <w:tcW w:w="1213" w:type="dxa"/>
            <w:gridSpan w:val="2"/>
            <w:tcBorders>
              <w:top w:val="single" w:color="auto" w:sz="4" w:space="0"/>
              <w:left w:val="nil"/>
              <w:bottom w:val="single" w:color="auto" w:sz="4" w:space="0"/>
              <w:right w:val="single" w:color="auto" w:sz="4" w:space="0"/>
            </w:tcBorders>
            <w:shd w:val="clear" w:color="auto" w:fill="auto"/>
            <w:vAlign w:val="center"/>
          </w:tcPr>
          <w:p w14:paraId="02E3D83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lang w:val="en-US"/>
              </w:rPr>
              <w:t>24968.72</w:t>
            </w:r>
          </w:p>
        </w:tc>
        <w:tc>
          <w:tcPr>
            <w:tcW w:w="1362" w:type="dxa"/>
            <w:gridSpan w:val="2"/>
            <w:tcBorders>
              <w:top w:val="single" w:color="auto" w:sz="4" w:space="0"/>
              <w:left w:val="nil"/>
              <w:bottom w:val="single" w:color="auto" w:sz="4" w:space="0"/>
              <w:right w:val="single" w:color="auto" w:sz="4" w:space="0"/>
            </w:tcBorders>
            <w:shd w:val="clear" w:color="auto" w:fill="auto"/>
            <w:vAlign w:val="center"/>
          </w:tcPr>
          <w:p w14:paraId="232E983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lang w:val="en-US"/>
              </w:rPr>
              <w:t>24968.72</w:t>
            </w:r>
          </w:p>
        </w:tc>
        <w:tc>
          <w:tcPr>
            <w:tcW w:w="1330" w:type="dxa"/>
            <w:gridSpan w:val="2"/>
            <w:tcBorders>
              <w:top w:val="single" w:color="auto" w:sz="4" w:space="0"/>
              <w:left w:val="nil"/>
              <w:bottom w:val="single" w:color="auto" w:sz="4" w:space="0"/>
              <w:right w:val="single" w:color="auto" w:sz="4" w:space="0"/>
            </w:tcBorders>
            <w:shd w:val="clear" w:color="auto" w:fill="auto"/>
            <w:vAlign w:val="center"/>
          </w:tcPr>
          <w:p w14:paraId="507038F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758" w:type="dxa"/>
            <w:tcBorders>
              <w:top w:val="single" w:color="auto" w:sz="4" w:space="0"/>
              <w:left w:val="nil"/>
              <w:bottom w:val="single" w:color="auto" w:sz="4" w:space="0"/>
              <w:right w:val="single" w:color="auto" w:sz="4" w:space="0"/>
            </w:tcBorders>
            <w:shd w:val="clear" w:color="auto" w:fill="auto"/>
            <w:vAlign w:val="center"/>
          </w:tcPr>
          <w:p w14:paraId="4E229E2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lang w:val="en-US"/>
              </w:rPr>
              <w:t>10</w:t>
            </w:r>
          </w:p>
        </w:tc>
        <w:tc>
          <w:tcPr>
            <w:tcW w:w="777" w:type="dxa"/>
            <w:tcBorders>
              <w:top w:val="single" w:color="auto" w:sz="4" w:space="0"/>
              <w:left w:val="nil"/>
              <w:bottom w:val="single" w:color="auto" w:sz="4" w:space="0"/>
              <w:right w:val="single" w:color="auto" w:sz="4" w:space="0"/>
            </w:tcBorders>
            <w:shd w:val="clear" w:color="auto" w:fill="auto"/>
            <w:vAlign w:val="center"/>
          </w:tcPr>
          <w:p w14:paraId="4A3A579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lang w:val="en-US"/>
              </w:rPr>
              <w:t>10</w:t>
            </w:r>
          </w:p>
        </w:tc>
      </w:tr>
      <w:tr w14:paraId="45FF2C64">
        <w:tblPrEx>
          <w:tblCellMar>
            <w:top w:w="0" w:type="dxa"/>
            <w:left w:w="108" w:type="dxa"/>
            <w:bottom w:w="0" w:type="dxa"/>
            <w:right w:w="108" w:type="dxa"/>
          </w:tblCellMar>
        </w:tblPrEx>
        <w:trPr>
          <w:trHeight w:val="415" w:hRule="atLeast"/>
          <w:jc w:val="center"/>
        </w:trPr>
        <w:tc>
          <w:tcPr>
            <w:tcW w:w="14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E863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其中：财政拨款</w:t>
            </w:r>
          </w:p>
        </w:tc>
        <w:tc>
          <w:tcPr>
            <w:tcW w:w="1433" w:type="dxa"/>
            <w:gridSpan w:val="2"/>
            <w:tcBorders>
              <w:top w:val="single" w:color="auto" w:sz="4" w:space="0"/>
              <w:left w:val="nil"/>
              <w:bottom w:val="single" w:color="auto" w:sz="4" w:space="0"/>
              <w:right w:val="single" w:color="auto" w:sz="4" w:space="0"/>
            </w:tcBorders>
            <w:shd w:val="clear" w:color="auto" w:fill="auto"/>
            <w:vAlign w:val="center"/>
          </w:tcPr>
          <w:p w14:paraId="18BC0BF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lang w:val="en-US"/>
              </w:rPr>
              <w:t>22399.01</w:t>
            </w:r>
          </w:p>
        </w:tc>
        <w:tc>
          <w:tcPr>
            <w:tcW w:w="1213" w:type="dxa"/>
            <w:gridSpan w:val="2"/>
            <w:tcBorders>
              <w:top w:val="single" w:color="auto" w:sz="4" w:space="0"/>
              <w:left w:val="nil"/>
              <w:bottom w:val="single" w:color="auto" w:sz="4" w:space="0"/>
              <w:right w:val="single" w:color="auto" w:sz="4" w:space="0"/>
            </w:tcBorders>
            <w:shd w:val="clear" w:color="auto" w:fill="auto"/>
            <w:vAlign w:val="center"/>
          </w:tcPr>
          <w:p w14:paraId="4E52E7F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lang w:val="en-US"/>
              </w:rPr>
              <w:t>24968.72</w:t>
            </w:r>
          </w:p>
        </w:tc>
        <w:tc>
          <w:tcPr>
            <w:tcW w:w="1362" w:type="dxa"/>
            <w:gridSpan w:val="2"/>
            <w:tcBorders>
              <w:top w:val="single" w:color="auto" w:sz="4" w:space="0"/>
              <w:left w:val="nil"/>
              <w:bottom w:val="single" w:color="auto" w:sz="4" w:space="0"/>
              <w:right w:val="single" w:color="auto" w:sz="4" w:space="0"/>
            </w:tcBorders>
            <w:shd w:val="clear" w:color="auto" w:fill="auto"/>
            <w:vAlign w:val="center"/>
          </w:tcPr>
          <w:p w14:paraId="52AC117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lang w:val="en-US"/>
              </w:rPr>
              <w:t>24968.72</w:t>
            </w:r>
          </w:p>
        </w:tc>
        <w:tc>
          <w:tcPr>
            <w:tcW w:w="1330" w:type="dxa"/>
            <w:gridSpan w:val="2"/>
            <w:tcBorders>
              <w:top w:val="single" w:color="auto" w:sz="4" w:space="0"/>
              <w:left w:val="nil"/>
              <w:bottom w:val="single" w:color="auto" w:sz="4" w:space="0"/>
              <w:right w:val="single" w:color="auto" w:sz="4" w:space="0"/>
            </w:tcBorders>
            <w:shd w:val="clear" w:color="auto" w:fill="auto"/>
            <w:vAlign w:val="center"/>
          </w:tcPr>
          <w:p w14:paraId="20B026A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758" w:type="dxa"/>
            <w:tcBorders>
              <w:top w:val="nil"/>
              <w:left w:val="nil"/>
              <w:bottom w:val="single" w:color="auto" w:sz="4" w:space="0"/>
              <w:right w:val="single" w:color="auto" w:sz="4" w:space="0"/>
            </w:tcBorders>
            <w:shd w:val="clear" w:color="auto" w:fill="auto"/>
            <w:vAlign w:val="center"/>
          </w:tcPr>
          <w:p w14:paraId="6B1605C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lang w:val="en-US"/>
              </w:rPr>
              <w:t>10</w:t>
            </w:r>
          </w:p>
        </w:tc>
        <w:tc>
          <w:tcPr>
            <w:tcW w:w="777" w:type="dxa"/>
            <w:tcBorders>
              <w:top w:val="nil"/>
              <w:left w:val="nil"/>
              <w:bottom w:val="single" w:color="auto" w:sz="4" w:space="0"/>
              <w:right w:val="single" w:color="auto" w:sz="4" w:space="0"/>
            </w:tcBorders>
            <w:shd w:val="clear" w:color="auto" w:fill="auto"/>
            <w:vAlign w:val="center"/>
          </w:tcPr>
          <w:p w14:paraId="5EC4D18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lang w:val="en-US"/>
              </w:rPr>
              <w:t>10</w:t>
            </w:r>
          </w:p>
        </w:tc>
      </w:tr>
      <w:tr w14:paraId="32930C43">
        <w:tblPrEx>
          <w:tblCellMar>
            <w:top w:w="0" w:type="dxa"/>
            <w:left w:w="108" w:type="dxa"/>
            <w:bottom w:w="0" w:type="dxa"/>
            <w:right w:w="108" w:type="dxa"/>
          </w:tblCellMar>
        </w:tblPrEx>
        <w:trPr>
          <w:trHeight w:val="485" w:hRule="atLeast"/>
          <w:jc w:val="center"/>
        </w:trPr>
        <w:tc>
          <w:tcPr>
            <w:tcW w:w="83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3DB31D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绩效目标</w:t>
            </w:r>
          </w:p>
        </w:tc>
      </w:tr>
      <w:tr w14:paraId="7016B5AA">
        <w:tblPrEx>
          <w:tblCellMar>
            <w:top w:w="0" w:type="dxa"/>
            <w:left w:w="108" w:type="dxa"/>
            <w:bottom w:w="0" w:type="dxa"/>
            <w:right w:w="108" w:type="dxa"/>
          </w:tblCellMar>
        </w:tblPrEx>
        <w:trPr>
          <w:trHeight w:val="499" w:hRule="atLeast"/>
          <w:jc w:val="center"/>
        </w:trPr>
        <w:tc>
          <w:tcPr>
            <w:tcW w:w="28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BDE81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年初绩效目标</w:t>
            </w:r>
          </w:p>
        </w:tc>
        <w:tc>
          <w:tcPr>
            <w:tcW w:w="2575" w:type="dxa"/>
            <w:gridSpan w:val="4"/>
            <w:tcBorders>
              <w:top w:val="single" w:color="auto" w:sz="4" w:space="0"/>
              <w:left w:val="nil"/>
              <w:bottom w:val="single" w:color="auto" w:sz="4" w:space="0"/>
              <w:right w:val="single" w:color="auto" w:sz="4" w:space="0"/>
            </w:tcBorders>
            <w:shd w:val="clear" w:color="auto" w:fill="auto"/>
            <w:vAlign w:val="center"/>
          </w:tcPr>
          <w:p w14:paraId="06AD292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全年（调整）绩效目标</w:t>
            </w:r>
          </w:p>
        </w:tc>
        <w:tc>
          <w:tcPr>
            <w:tcW w:w="2865" w:type="dxa"/>
            <w:gridSpan w:val="4"/>
            <w:tcBorders>
              <w:top w:val="single" w:color="auto" w:sz="4" w:space="0"/>
              <w:left w:val="nil"/>
              <w:bottom w:val="single" w:color="auto" w:sz="4" w:space="0"/>
              <w:right w:val="single" w:color="auto" w:sz="4" w:space="0"/>
            </w:tcBorders>
            <w:shd w:val="clear" w:color="auto" w:fill="auto"/>
            <w:vAlign w:val="center"/>
          </w:tcPr>
          <w:p w14:paraId="5820E2F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全年目标实际完成情况</w:t>
            </w:r>
          </w:p>
        </w:tc>
      </w:tr>
      <w:tr w14:paraId="70BD5412">
        <w:tblPrEx>
          <w:shd w:val="clear" w:color="auto" w:fill="auto"/>
          <w:tblCellMar>
            <w:top w:w="0" w:type="dxa"/>
            <w:left w:w="108" w:type="dxa"/>
            <w:bottom w:w="0" w:type="dxa"/>
            <w:right w:w="108" w:type="dxa"/>
          </w:tblCellMar>
        </w:tblPrEx>
        <w:trPr>
          <w:trHeight w:val="1602" w:hRule="atLeast"/>
          <w:jc w:val="center"/>
        </w:trPr>
        <w:tc>
          <w:tcPr>
            <w:tcW w:w="286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B705BC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将认真贯彻</w:t>
            </w:r>
            <w:r>
              <w:rPr>
                <w:rFonts w:hint="eastAsia" w:ascii="方正仿宋_GBK" w:hAnsi="方正仿宋_GBK" w:eastAsia="方正仿宋_GBK" w:cs="Times New Roman"/>
                <w:color w:val="000000"/>
                <w:lang w:eastAsia="zh-CN"/>
              </w:rPr>
              <w:t>党的十九届六中全会精神</w:t>
            </w:r>
            <w:r>
              <w:rPr>
                <w:rFonts w:hint="eastAsia" w:ascii="方正仿宋_GBK" w:hAnsi="方正仿宋_GBK" w:eastAsia="方正仿宋_GBK" w:cs="Times New Roman"/>
                <w:color w:val="000000"/>
              </w:rPr>
              <w:t>，紧紧围绕实施乡村振兴这条主线，全力保障基本民生、创新基层社会治理、强化基本社会服务，守正创新、持续奋斗，走好新时代赶考路，推动全县民政事业高质量发展。</w:t>
            </w:r>
          </w:p>
        </w:tc>
        <w:tc>
          <w:tcPr>
            <w:tcW w:w="2575" w:type="dxa"/>
            <w:gridSpan w:val="4"/>
            <w:tcBorders>
              <w:top w:val="single" w:color="auto" w:sz="4" w:space="0"/>
              <w:left w:val="nil"/>
              <w:bottom w:val="single" w:color="auto" w:sz="4" w:space="0"/>
              <w:right w:val="single" w:color="auto" w:sz="4" w:space="0"/>
            </w:tcBorders>
            <w:shd w:val="clear" w:color="auto" w:fill="auto"/>
            <w:vAlign w:val="top"/>
          </w:tcPr>
          <w:p w14:paraId="67B52E5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及时足额落实我县困难群众（包括城乡低保、城乡特困、临时救助、孤儿等）救助资金；对我县公办和民办的</w:t>
            </w:r>
            <w:r>
              <w:rPr>
                <w:rFonts w:hint="eastAsia" w:ascii="方正仿宋_GBK" w:hAnsi="方正仿宋_GBK" w:eastAsia="方正仿宋_GBK" w:cs="Times New Roman"/>
                <w:color w:val="000000"/>
                <w:lang w:val="en-US"/>
              </w:rPr>
              <w:t>34</w:t>
            </w:r>
            <w:r>
              <w:rPr>
                <w:rFonts w:hint="eastAsia" w:ascii="方正仿宋_GBK" w:hAnsi="方正仿宋_GBK" w:eastAsia="方正仿宋_GBK" w:cs="Times New Roman"/>
                <w:color w:val="000000"/>
              </w:rPr>
              <w:t>家养老机构安装故障电弧探测器等智慧探测检修设备，落实孤儿福彩助学资金，支持实施社会工作服务项目。</w:t>
            </w:r>
          </w:p>
        </w:tc>
        <w:tc>
          <w:tcPr>
            <w:tcW w:w="2865" w:type="dxa"/>
            <w:gridSpan w:val="4"/>
            <w:tcBorders>
              <w:top w:val="single" w:color="auto" w:sz="4" w:space="0"/>
              <w:left w:val="nil"/>
              <w:bottom w:val="single" w:color="auto" w:sz="4" w:space="0"/>
              <w:right w:val="single" w:color="auto" w:sz="4" w:space="0"/>
            </w:tcBorders>
            <w:shd w:val="clear" w:color="auto" w:fill="auto"/>
            <w:vAlign w:val="top"/>
          </w:tcPr>
          <w:p w14:paraId="3C466A7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及时足额落实了我县困难群众（包括城乡低保、城乡特困、临时救助、孤儿等）救助资金；对我县公办和民办的</w:t>
            </w:r>
            <w:r>
              <w:rPr>
                <w:rFonts w:hint="eastAsia" w:ascii="方正仿宋_GBK" w:hAnsi="方正仿宋_GBK" w:eastAsia="方正仿宋_GBK" w:cs="Times New Roman"/>
                <w:color w:val="000000"/>
                <w:lang w:val="en-US"/>
              </w:rPr>
              <w:t>34</w:t>
            </w:r>
            <w:r>
              <w:rPr>
                <w:rFonts w:hint="eastAsia" w:ascii="方正仿宋_GBK" w:hAnsi="方正仿宋_GBK" w:eastAsia="方正仿宋_GBK" w:cs="Times New Roman"/>
                <w:color w:val="000000"/>
              </w:rPr>
              <w:t>家养老机构安装了故障电弧探测器等智慧探测检修设备，落实了孤儿福彩助学资金，支持实施了社会工作服务项目。</w:t>
            </w:r>
          </w:p>
        </w:tc>
      </w:tr>
      <w:tr w14:paraId="3F07EF18">
        <w:tblPrEx>
          <w:tblCellMar>
            <w:top w:w="0" w:type="dxa"/>
            <w:left w:w="108" w:type="dxa"/>
            <w:bottom w:w="0" w:type="dxa"/>
            <w:right w:w="108" w:type="dxa"/>
          </w:tblCellMar>
        </w:tblPrEx>
        <w:trPr>
          <w:trHeight w:val="395" w:hRule="atLeast"/>
          <w:jc w:val="center"/>
        </w:trPr>
        <w:tc>
          <w:tcPr>
            <w:tcW w:w="830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6D5399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绩效指标</w:t>
            </w:r>
          </w:p>
        </w:tc>
      </w:tr>
      <w:tr w14:paraId="176D31F8">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FAC3B3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w:t>
            </w:r>
          </w:p>
          <w:p w14:paraId="383E8AF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名称</w:t>
            </w:r>
          </w:p>
        </w:tc>
        <w:tc>
          <w:tcPr>
            <w:tcW w:w="441" w:type="dxa"/>
            <w:tcBorders>
              <w:top w:val="nil"/>
              <w:left w:val="nil"/>
              <w:bottom w:val="single" w:color="auto" w:sz="4" w:space="0"/>
              <w:right w:val="single" w:color="auto" w:sz="4" w:space="0"/>
            </w:tcBorders>
            <w:shd w:val="clear" w:color="auto" w:fill="auto"/>
            <w:vAlign w:val="center"/>
          </w:tcPr>
          <w:p w14:paraId="21FEB2D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计量单位</w:t>
            </w:r>
          </w:p>
        </w:tc>
        <w:tc>
          <w:tcPr>
            <w:tcW w:w="661" w:type="dxa"/>
            <w:tcBorders>
              <w:top w:val="nil"/>
              <w:left w:val="nil"/>
              <w:bottom w:val="single" w:color="auto" w:sz="4" w:space="0"/>
              <w:right w:val="single" w:color="auto" w:sz="4" w:space="0"/>
            </w:tcBorders>
            <w:shd w:val="clear" w:color="auto" w:fill="auto"/>
            <w:vAlign w:val="center"/>
          </w:tcPr>
          <w:p w14:paraId="2EA3BFA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w:t>
            </w:r>
          </w:p>
          <w:p w14:paraId="00799BD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性质</w:t>
            </w:r>
          </w:p>
        </w:tc>
        <w:tc>
          <w:tcPr>
            <w:tcW w:w="772" w:type="dxa"/>
            <w:tcBorders>
              <w:top w:val="nil"/>
              <w:left w:val="nil"/>
              <w:bottom w:val="single" w:color="auto" w:sz="4" w:space="0"/>
              <w:right w:val="single" w:color="auto" w:sz="4" w:space="0"/>
            </w:tcBorders>
            <w:shd w:val="clear" w:color="auto" w:fill="auto"/>
            <w:vAlign w:val="center"/>
          </w:tcPr>
          <w:p w14:paraId="0ABED6E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指标值</w:t>
            </w:r>
          </w:p>
        </w:tc>
        <w:tc>
          <w:tcPr>
            <w:tcW w:w="780" w:type="dxa"/>
            <w:tcBorders>
              <w:top w:val="nil"/>
              <w:left w:val="nil"/>
              <w:bottom w:val="single" w:color="auto" w:sz="4" w:space="0"/>
              <w:right w:val="single" w:color="auto" w:sz="4" w:space="0"/>
            </w:tcBorders>
            <w:shd w:val="clear" w:color="auto" w:fill="auto"/>
            <w:vAlign w:val="center"/>
          </w:tcPr>
          <w:p w14:paraId="31DF5C0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全年完成值</w:t>
            </w:r>
          </w:p>
        </w:tc>
        <w:tc>
          <w:tcPr>
            <w:tcW w:w="433" w:type="dxa"/>
            <w:tcBorders>
              <w:top w:val="nil"/>
              <w:left w:val="nil"/>
              <w:bottom w:val="single" w:color="auto" w:sz="4" w:space="0"/>
              <w:right w:val="single" w:color="auto" w:sz="4" w:space="0"/>
            </w:tcBorders>
            <w:shd w:val="clear" w:color="auto" w:fill="auto"/>
            <w:vAlign w:val="center"/>
          </w:tcPr>
          <w:p w14:paraId="07F32C9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偏离度</w:t>
            </w:r>
            <w:r>
              <w:rPr>
                <w:rFonts w:hint="eastAsia" w:ascii="方正仿宋_GBK" w:hAnsi="方正仿宋_GBK" w:eastAsia="方正仿宋_GBK" w:cs="Times New Roman"/>
                <w:b/>
                <w:color w:val="000000"/>
                <w:lang w:val="en-US"/>
              </w:rPr>
              <w:t>(%)</w:t>
            </w:r>
          </w:p>
        </w:tc>
        <w:tc>
          <w:tcPr>
            <w:tcW w:w="811" w:type="dxa"/>
            <w:tcBorders>
              <w:top w:val="nil"/>
              <w:left w:val="nil"/>
              <w:bottom w:val="single" w:color="auto" w:sz="4" w:space="0"/>
              <w:right w:val="single" w:color="auto" w:sz="4" w:space="0"/>
            </w:tcBorders>
            <w:shd w:val="clear" w:color="auto" w:fill="auto"/>
            <w:vAlign w:val="center"/>
          </w:tcPr>
          <w:p w14:paraId="62CF7F2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得分系数</w:t>
            </w:r>
            <w:r>
              <w:rPr>
                <w:rFonts w:hint="eastAsia" w:ascii="方正仿宋_GBK" w:hAnsi="方正仿宋_GBK" w:eastAsia="方正仿宋_GBK" w:cs="Times New Roman"/>
                <w:b/>
                <w:color w:val="000000"/>
                <w:lang w:val="en-US"/>
              </w:rPr>
              <w:t>(%)</w:t>
            </w:r>
          </w:p>
        </w:tc>
        <w:tc>
          <w:tcPr>
            <w:tcW w:w="551" w:type="dxa"/>
            <w:tcBorders>
              <w:top w:val="nil"/>
              <w:left w:val="nil"/>
              <w:bottom w:val="single" w:color="auto" w:sz="4" w:space="0"/>
              <w:right w:val="single" w:color="auto" w:sz="4" w:space="0"/>
            </w:tcBorders>
            <w:shd w:val="clear" w:color="auto" w:fill="auto"/>
            <w:vAlign w:val="center"/>
          </w:tcPr>
          <w:p w14:paraId="4957531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w:t>
            </w:r>
          </w:p>
          <w:p w14:paraId="2E2A907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权重</w:t>
            </w:r>
          </w:p>
        </w:tc>
        <w:tc>
          <w:tcPr>
            <w:tcW w:w="621" w:type="dxa"/>
            <w:tcBorders>
              <w:top w:val="nil"/>
              <w:left w:val="nil"/>
              <w:bottom w:val="single" w:color="auto" w:sz="4" w:space="0"/>
              <w:right w:val="single" w:color="auto" w:sz="4" w:space="0"/>
            </w:tcBorders>
            <w:shd w:val="clear" w:color="auto" w:fill="auto"/>
            <w:vAlign w:val="center"/>
          </w:tcPr>
          <w:p w14:paraId="6D1329D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w:t>
            </w:r>
          </w:p>
          <w:p w14:paraId="3E7D14C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得分</w:t>
            </w:r>
          </w:p>
        </w:tc>
        <w:tc>
          <w:tcPr>
            <w:tcW w:w="709" w:type="dxa"/>
            <w:tcBorders>
              <w:top w:val="nil"/>
              <w:left w:val="nil"/>
              <w:bottom w:val="single" w:color="auto" w:sz="4" w:space="0"/>
              <w:right w:val="single" w:color="auto" w:sz="4" w:space="0"/>
            </w:tcBorders>
            <w:shd w:val="clear" w:color="auto" w:fill="auto"/>
            <w:vAlign w:val="center"/>
          </w:tcPr>
          <w:p w14:paraId="5DF743B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是否核心指标</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43E2AEB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说明</w:t>
            </w:r>
          </w:p>
        </w:tc>
      </w:tr>
      <w:tr w14:paraId="574E8807">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EB0AE3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城乡低保对象</w:t>
            </w:r>
          </w:p>
        </w:tc>
        <w:tc>
          <w:tcPr>
            <w:tcW w:w="441" w:type="dxa"/>
            <w:tcBorders>
              <w:top w:val="nil"/>
              <w:left w:val="nil"/>
              <w:bottom w:val="single" w:color="auto" w:sz="4" w:space="0"/>
              <w:right w:val="single" w:color="auto" w:sz="4" w:space="0"/>
            </w:tcBorders>
            <w:shd w:val="clear" w:color="auto" w:fill="auto"/>
            <w:vAlign w:val="center"/>
          </w:tcPr>
          <w:p w14:paraId="5A187EC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w:t>
            </w:r>
          </w:p>
        </w:tc>
        <w:tc>
          <w:tcPr>
            <w:tcW w:w="661" w:type="dxa"/>
            <w:tcBorders>
              <w:top w:val="nil"/>
              <w:left w:val="nil"/>
              <w:bottom w:val="single" w:color="auto" w:sz="4" w:space="0"/>
              <w:right w:val="single" w:color="auto" w:sz="4" w:space="0"/>
            </w:tcBorders>
            <w:shd w:val="clear" w:color="auto" w:fill="auto"/>
            <w:vAlign w:val="center"/>
          </w:tcPr>
          <w:p w14:paraId="0C3745D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7EAF6D3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19000</w:t>
            </w:r>
          </w:p>
        </w:tc>
        <w:tc>
          <w:tcPr>
            <w:tcW w:w="780" w:type="dxa"/>
            <w:tcBorders>
              <w:top w:val="nil"/>
              <w:left w:val="nil"/>
              <w:bottom w:val="single" w:color="auto" w:sz="4" w:space="0"/>
              <w:right w:val="single" w:color="auto" w:sz="4" w:space="0"/>
            </w:tcBorders>
            <w:shd w:val="clear" w:color="auto" w:fill="auto"/>
            <w:vAlign w:val="center"/>
          </w:tcPr>
          <w:p w14:paraId="4E962AE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19978</w:t>
            </w:r>
          </w:p>
        </w:tc>
        <w:tc>
          <w:tcPr>
            <w:tcW w:w="433" w:type="dxa"/>
            <w:tcBorders>
              <w:top w:val="nil"/>
              <w:left w:val="nil"/>
              <w:bottom w:val="single" w:color="auto" w:sz="4" w:space="0"/>
              <w:right w:val="single" w:color="auto" w:sz="4" w:space="0"/>
            </w:tcBorders>
            <w:shd w:val="clear" w:color="auto" w:fill="auto"/>
            <w:vAlign w:val="center"/>
          </w:tcPr>
          <w:p w14:paraId="79EA249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47BB18E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4FD2CB8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02247D2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58C1918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5DD7CFD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0619CA8E">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1814BEC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特困人员对象</w:t>
            </w:r>
          </w:p>
        </w:tc>
        <w:tc>
          <w:tcPr>
            <w:tcW w:w="441" w:type="dxa"/>
            <w:tcBorders>
              <w:top w:val="nil"/>
              <w:left w:val="nil"/>
              <w:bottom w:val="single" w:color="auto" w:sz="4" w:space="0"/>
              <w:right w:val="single" w:color="auto" w:sz="4" w:space="0"/>
            </w:tcBorders>
            <w:shd w:val="clear" w:color="auto" w:fill="auto"/>
            <w:vAlign w:val="center"/>
          </w:tcPr>
          <w:p w14:paraId="5C908D9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w:t>
            </w:r>
          </w:p>
        </w:tc>
        <w:tc>
          <w:tcPr>
            <w:tcW w:w="661" w:type="dxa"/>
            <w:tcBorders>
              <w:top w:val="nil"/>
              <w:left w:val="nil"/>
              <w:bottom w:val="single" w:color="auto" w:sz="4" w:space="0"/>
              <w:right w:val="single" w:color="auto" w:sz="4" w:space="0"/>
            </w:tcBorders>
            <w:shd w:val="clear" w:color="auto" w:fill="auto"/>
            <w:vAlign w:val="center"/>
          </w:tcPr>
          <w:p w14:paraId="1290476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6FD642C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3800</w:t>
            </w:r>
          </w:p>
        </w:tc>
        <w:tc>
          <w:tcPr>
            <w:tcW w:w="780" w:type="dxa"/>
            <w:tcBorders>
              <w:top w:val="nil"/>
              <w:left w:val="nil"/>
              <w:bottom w:val="single" w:color="auto" w:sz="4" w:space="0"/>
              <w:right w:val="single" w:color="auto" w:sz="4" w:space="0"/>
            </w:tcBorders>
            <w:shd w:val="clear" w:color="auto" w:fill="auto"/>
            <w:vAlign w:val="center"/>
          </w:tcPr>
          <w:p w14:paraId="02B1231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3811</w:t>
            </w:r>
          </w:p>
        </w:tc>
        <w:tc>
          <w:tcPr>
            <w:tcW w:w="433" w:type="dxa"/>
            <w:tcBorders>
              <w:top w:val="nil"/>
              <w:left w:val="nil"/>
              <w:bottom w:val="single" w:color="auto" w:sz="4" w:space="0"/>
              <w:right w:val="single" w:color="auto" w:sz="4" w:space="0"/>
            </w:tcBorders>
            <w:shd w:val="clear" w:color="auto" w:fill="auto"/>
            <w:vAlign w:val="center"/>
          </w:tcPr>
          <w:p w14:paraId="3A8071F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53B5127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156FD7F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785D0B9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07695AB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0B12C4E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48D18040">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7AF8268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儿童福利保障对象</w:t>
            </w:r>
          </w:p>
        </w:tc>
        <w:tc>
          <w:tcPr>
            <w:tcW w:w="441" w:type="dxa"/>
            <w:tcBorders>
              <w:top w:val="nil"/>
              <w:left w:val="nil"/>
              <w:bottom w:val="single" w:color="auto" w:sz="4" w:space="0"/>
              <w:right w:val="single" w:color="auto" w:sz="4" w:space="0"/>
            </w:tcBorders>
            <w:shd w:val="clear" w:color="auto" w:fill="auto"/>
            <w:vAlign w:val="center"/>
          </w:tcPr>
          <w:p w14:paraId="45C60FD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w:t>
            </w:r>
          </w:p>
        </w:tc>
        <w:tc>
          <w:tcPr>
            <w:tcW w:w="661" w:type="dxa"/>
            <w:tcBorders>
              <w:top w:val="nil"/>
              <w:left w:val="nil"/>
              <w:bottom w:val="single" w:color="auto" w:sz="4" w:space="0"/>
              <w:right w:val="single" w:color="auto" w:sz="4" w:space="0"/>
            </w:tcBorders>
            <w:shd w:val="clear" w:color="auto" w:fill="auto"/>
            <w:vAlign w:val="center"/>
          </w:tcPr>
          <w:p w14:paraId="3C4EC7F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0138A99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160</w:t>
            </w:r>
          </w:p>
        </w:tc>
        <w:tc>
          <w:tcPr>
            <w:tcW w:w="780" w:type="dxa"/>
            <w:tcBorders>
              <w:top w:val="nil"/>
              <w:left w:val="nil"/>
              <w:bottom w:val="single" w:color="auto" w:sz="4" w:space="0"/>
              <w:right w:val="single" w:color="auto" w:sz="4" w:space="0"/>
            </w:tcBorders>
            <w:shd w:val="clear" w:color="auto" w:fill="auto"/>
            <w:vAlign w:val="center"/>
          </w:tcPr>
          <w:p w14:paraId="751C5F5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317</w:t>
            </w:r>
          </w:p>
        </w:tc>
        <w:tc>
          <w:tcPr>
            <w:tcW w:w="433" w:type="dxa"/>
            <w:tcBorders>
              <w:top w:val="nil"/>
              <w:left w:val="nil"/>
              <w:bottom w:val="single" w:color="auto" w:sz="4" w:space="0"/>
              <w:right w:val="single" w:color="auto" w:sz="4" w:space="0"/>
            </w:tcBorders>
            <w:shd w:val="clear" w:color="auto" w:fill="auto"/>
            <w:vAlign w:val="center"/>
          </w:tcPr>
          <w:p w14:paraId="3BC8662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6DDCCA6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6792112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006A698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72C9BB1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3A9DDE6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0A4219A7">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179412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养老机构安全整治</w:t>
            </w:r>
          </w:p>
        </w:tc>
        <w:tc>
          <w:tcPr>
            <w:tcW w:w="441" w:type="dxa"/>
            <w:tcBorders>
              <w:top w:val="nil"/>
              <w:left w:val="nil"/>
              <w:bottom w:val="single" w:color="auto" w:sz="4" w:space="0"/>
              <w:right w:val="single" w:color="auto" w:sz="4" w:space="0"/>
            </w:tcBorders>
            <w:shd w:val="clear" w:color="auto" w:fill="auto"/>
            <w:vAlign w:val="center"/>
          </w:tcPr>
          <w:p w14:paraId="0B0BA31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661" w:type="dxa"/>
            <w:tcBorders>
              <w:top w:val="nil"/>
              <w:left w:val="nil"/>
              <w:bottom w:val="single" w:color="auto" w:sz="4" w:space="0"/>
              <w:right w:val="single" w:color="auto" w:sz="4" w:space="0"/>
            </w:tcBorders>
            <w:shd w:val="clear" w:color="auto" w:fill="auto"/>
            <w:vAlign w:val="center"/>
          </w:tcPr>
          <w:p w14:paraId="4409FB8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定性</w:t>
            </w:r>
          </w:p>
        </w:tc>
        <w:tc>
          <w:tcPr>
            <w:tcW w:w="772" w:type="dxa"/>
            <w:tcBorders>
              <w:top w:val="nil"/>
              <w:left w:val="nil"/>
              <w:bottom w:val="single" w:color="auto" w:sz="4" w:space="0"/>
              <w:right w:val="single" w:color="auto" w:sz="4" w:space="0"/>
            </w:tcBorders>
            <w:shd w:val="clear" w:color="auto" w:fill="auto"/>
            <w:vAlign w:val="center"/>
          </w:tcPr>
          <w:p w14:paraId="7D063A2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全覆盖</w:t>
            </w:r>
          </w:p>
        </w:tc>
        <w:tc>
          <w:tcPr>
            <w:tcW w:w="780" w:type="dxa"/>
            <w:tcBorders>
              <w:top w:val="nil"/>
              <w:left w:val="nil"/>
              <w:bottom w:val="single" w:color="auto" w:sz="4" w:space="0"/>
              <w:right w:val="single" w:color="auto" w:sz="4" w:space="0"/>
            </w:tcBorders>
            <w:shd w:val="clear" w:color="auto" w:fill="auto"/>
            <w:vAlign w:val="center"/>
          </w:tcPr>
          <w:p w14:paraId="18F75ED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全覆盖</w:t>
            </w:r>
          </w:p>
        </w:tc>
        <w:tc>
          <w:tcPr>
            <w:tcW w:w="433" w:type="dxa"/>
            <w:tcBorders>
              <w:top w:val="nil"/>
              <w:left w:val="nil"/>
              <w:bottom w:val="single" w:color="auto" w:sz="4" w:space="0"/>
              <w:right w:val="single" w:color="auto" w:sz="4" w:space="0"/>
            </w:tcBorders>
            <w:shd w:val="clear" w:color="auto" w:fill="auto"/>
            <w:vAlign w:val="center"/>
          </w:tcPr>
          <w:p w14:paraId="40FE795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5D37A09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5C24335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337CD90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32C3C01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7A58BA3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7BF87413">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5E61C07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困难群众救助保障率</w:t>
            </w:r>
          </w:p>
        </w:tc>
        <w:tc>
          <w:tcPr>
            <w:tcW w:w="441" w:type="dxa"/>
            <w:tcBorders>
              <w:top w:val="nil"/>
              <w:left w:val="nil"/>
              <w:bottom w:val="single" w:color="auto" w:sz="4" w:space="0"/>
              <w:right w:val="single" w:color="auto" w:sz="4" w:space="0"/>
            </w:tcBorders>
            <w:shd w:val="clear" w:color="auto" w:fill="auto"/>
            <w:vAlign w:val="center"/>
          </w:tcPr>
          <w:p w14:paraId="2FD063E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w:t>
            </w:r>
          </w:p>
        </w:tc>
        <w:tc>
          <w:tcPr>
            <w:tcW w:w="661" w:type="dxa"/>
            <w:tcBorders>
              <w:top w:val="nil"/>
              <w:left w:val="nil"/>
              <w:bottom w:val="single" w:color="auto" w:sz="4" w:space="0"/>
              <w:right w:val="single" w:color="auto" w:sz="4" w:space="0"/>
            </w:tcBorders>
            <w:shd w:val="clear" w:color="auto" w:fill="auto"/>
            <w:vAlign w:val="center"/>
          </w:tcPr>
          <w:p w14:paraId="1A4AF36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w:t>
            </w:r>
          </w:p>
        </w:tc>
        <w:tc>
          <w:tcPr>
            <w:tcW w:w="772" w:type="dxa"/>
            <w:tcBorders>
              <w:top w:val="nil"/>
              <w:left w:val="nil"/>
              <w:bottom w:val="single" w:color="auto" w:sz="4" w:space="0"/>
              <w:right w:val="single" w:color="auto" w:sz="4" w:space="0"/>
            </w:tcBorders>
            <w:shd w:val="clear" w:color="auto" w:fill="auto"/>
            <w:vAlign w:val="center"/>
          </w:tcPr>
          <w:p w14:paraId="2DAA7CE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780" w:type="dxa"/>
            <w:tcBorders>
              <w:top w:val="nil"/>
              <w:left w:val="nil"/>
              <w:bottom w:val="single" w:color="auto" w:sz="4" w:space="0"/>
              <w:right w:val="single" w:color="auto" w:sz="4" w:space="0"/>
            </w:tcBorders>
            <w:shd w:val="clear" w:color="auto" w:fill="auto"/>
            <w:vAlign w:val="center"/>
          </w:tcPr>
          <w:p w14:paraId="35E5420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433" w:type="dxa"/>
            <w:tcBorders>
              <w:top w:val="nil"/>
              <w:left w:val="nil"/>
              <w:bottom w:val="single" w:color="auto" w:sz="4" w:space="0"/>
              <w:right w:val="single" w:color="auto" w:sz="4" w:space="0"/>
            </w:tcBorders>
            <w:shd w:val="clear" w:color="auto" w:fill="auto"/>
            <w:vAlign w:val="center"/>
          </w:tcPr>
          <w:p w14:paraId="509162A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19E11EB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5CBAA97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32D8446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3775DD8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7658D07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7F353494">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398C0F9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保障资金及时发放</w:t>
            </w:r>
          </w:p>
        </w:tc>
        <w:tc>
          <w:tcPr>
            <w:tcW w:w="441" w:type="dxa"/>
            <w:tcBorders>
              <w:top w:val="nil"/>
              <w:left w:val="nil"/>
              <w:bottom w:val="single" w:color="auto" w:sz="4" w:space="0"/>
              <w:right w:val="single" w:color="auto" w:sz="4" w:space="0"/>
            </w:tcBorders>
            <w:shd w:val="clear" w:color="auto" w:fill="auto"/>
            <w:vAlign w:val="center"/>
          </w:tcPr>
          <w:p w14:paraId="5022A25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661" w:type="dxa"/>
            <w:tcBorders>
              <w:top w:val="nil"/>
              <w:left w:val="nil"/>
              <w:bottom w:val="single" w:color="auto" w:sz="4" w:space="0"/>
              <w:right w:val="single" w:color="auto" w:sz="4" w:space="0"/>
            </w:tcBorders>
            <w:shd w:val="clear" w:color="auto" w:fill="auto"/>
            <w:vAlign w:val="center"/>
          </w:tcPr>
          <w:p w14:paraId="0F84FC3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定性</w:t>
            </w:r>
          </w:p>
        </w:tc>
        <w:tc>
          <w:tcPr>
            <w:tcW w:w="772" w:type="dxa"/>
            <w:tcBorders>
              <w:top w:val="nil"/>
              <w:left w:val="nil"/>
              <w:bottom w:val="single" w:color="auto" w:sz="4" w:space="0"/>
              <w:right w:val="single" w:color="auto" w:sz="4" w:space="0"/>
            </w:tcBorders>
            <w:shd w:val="clear" w:color="auto" w:fill="auto"/>
            <w:vAlign w:val="center"/>
          </w:tcPr>
          <w:p w14:paraId="76AF519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足额及时</w:t>
            </w:r>
          </w:p>
        </w:tc>
        <w:tc>
          <w:tcPr>
            <w:tcW w:w="780" w:type="dxa"/>
            <w:tcBorders>
              <w:top w:val="nil"/>
              <w:left w:val="nil"/>
              <w:bottom w:val="single" w:color="auto" w:sz="4" w:space="0"/>
              <w:right w:val="single" w:color="auto" w:sz="4" w:space="0"/>
            </w:tcBorders>
            <w:shd w:val="clear" w:color="auto" w:fill="auto"/>
            <w:vAlign w:val="center"/>
          </w:tcPr>
          <w:p w14:paraId="30E4424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全年及时足额发放</w:t>
            </w:r>
          </w:p>
        </w:tc>
        <w:tc>
          <w:tcPr>
            <w:tcW w:w="433" w:type="dxa"/>
            <w:tcBorders>
              <w:top w:val="nil"/>
              <w:left w:val="nil"/>
              <w:bottom w:val="single" w:color="auto" w:sz="4" w:space="0"/>
              <w:right w:val="single" w:color="auto" w:sz="4" w:space="0"/>
            </w:tcBorders>
            <w:shd w:val="clear" w:color="auto" w:fill="auto"/>
            <w:vAlign w:val="center"/>
          </w:tcPr>
          <w:p w14:paraId="309F46D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17A21FB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40087AD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471FBD0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61E8774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2DCD0B7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7FF57F7C">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29F35E7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困难群众救助保障标准</w:t>
            </w:r>
          </w:p>
        </w:tc>
        <w:tc>
          <w:tcPr>
            <w:tcW w:w="441" w:type="dxa"/>
            <w:tcBorders>
              <w:top w:val="nil"/>
              <w:left w:val="nil"/>
              <w:bottom w:val="single" w:color="auto" w:sz="4" w:space="0"/>
              <w:right w:val="single" w:color="auto" w:sz="4" w:space="0"/>
            </w:tcBorders>
            <w:shd w:val="clear" w:color="auto" w:fill="auto"/>
            <w:vAlign w:val="center"/>
          </w:tcPr>
          <w:p w14:paraId="2BC9E1F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661" w:type="dxa"/>
            <w:tcBorders>
              <w:top w:val="nil"/>
              <w:left w:val="nil"/>
              <w:bottom w:val="single" w:color="auto" w:sz="4" w:space="0"/>
              <w:right w:val="single" w:color="auto" w:sz="4" w:space="0"/>
            </w:tcBorders>
            <w:shd w:val="clear" w:color="auto" w:fill="auto"/>
            <w:vAlign w:val="center"/>
          </w:tcPr>
          <w:p w14:paraId="60A69C9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定性</w:t>
            </w:r>
          </w:p>
        </w:tc>
        <w:tc>
          <w:tcPr>
            <w:tcW w:w="772" w:type="dxa"/>
            <w:tcBorders>
              <w:top w:val="nil"/>
              <w:left w:val="nil"/>
              <w:bottom w:val="single" w:color="auto" w:sz="4" w:space="0"/>
              <w:right w:val="single" w:color="auto" w:sz="4" w:space="0"/>
            </w:tcBorders>
            <w:shd w:val="clear" w:color="auto" w:fill="auto"/>
            <w:vAlign w:val="center"/>
          </w:tcPr>
          <w:p w14:paraId="24C69C4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有所增加</w:t>
            </w:r>
          </w:p>
        </w:tc>
        <w:tc>
          <w:tcPr>
            <w:tcW w:w="780" w:type="dxa"/>
            <w:tcBorders>
              <w:top w:val="nil"/>
              <w:left w:val="nil"/>
              <w:bottom w:val="single" w:color="auto" w:sz="4" w:space="0"/>
              <w:right w:val="single" w:color="auto" w:sz="4" w:space="0"/>
            </w:tcBorders>
            <w:shd w:val="clear" w:color="auto" w:fill="auto"/>
            <w:vAlign w:val="center"/>
          </w:tcPr>
          <w:p w14:paraId="315BFE8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稳步提高</w:t>
            </w:r>
          </w:p>
        </w:tc>
        <w:tc>
          <w:tcPr>
            <w:tcW w:w="433" w:type="dxa"/>
            <w:tcBorders>
              <w:top w:val="nil"/>
              <w:left w:val="nil"/>
              <w:bottom w:val="single" w:color="auto" w:sz="4" w:space="0"/>
              <w:right w:val="single" w:color="auto" w:sz="4" w:space="0"/>
            </w:tcBorders>
            <w:shd w:val="clear" w:color="auto" w:fill="auto"/>
            <w:vAlign w:val="center"/>
          </w:tcPr>
          <w:p w14:paraId="545FEF0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376403A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5B6811D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35A06C5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32FF95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2C75051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02FC00C7">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390E5C3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儿童助学</w:t>
            </w:r>
          </w:p>
        </w:tc>
        <w:tc>
          <w:tcPr>
            <w:tcW w:w="441" w:type="dxa"/>
            <w:tcBorders>
              <w:top w:val="nil"/>
              <w:left w:val="nil"/>
              <w:bottom w:val="single" w:color="auto" w:sz="4" w:space="0"/>
              <w:right w:val="single" w:color="auto" w:sz="4" w:space="0"/>
            </w:tcBorders>
            <w:shd w:val="clear" w:color="auto" w:fill="auto"/>
            <w:vAlign w:val="center"/>
          </w:tcPr>
          <w:p w14:paraId="7002529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w:t>
            </w:r>
          </w:p>
        </w:tc>
        <w:tc>
          <w:tcPr>
            <w:tcW w:w="661" w:type="dxa"/>
            <w:tcBorders>
              <w:top w:val="nil"/>
              <w:left w:val="nil"/>
              <w:bottom w:val="single" w:color="auto" w:sz="4" w:space="0"/>
              <w:right w:val="single" w:color="auto" w:sz="4" w:space="0"/>
            </w:tcBorders>
            <w:shd w:val="clear" w:color="auto" w:fill="auto"/>
            <w:vAlign w:val="center"/>
          </w:tcPr>
          <w:p w14:paraId="4E6CFF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357A3BD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30</w:t>
            </w:r>
          </w:p>
        </w:tc>
        <w:tc>
          <w:tcPr>
            <w:tcW w:w="780" w:type="dxa"/>
            <w:tcBorders>
              <w:top w:val="nil"/>
              <w:left w:val="nil"/>
              <w:bottom w:val="single" w:color="auto" w:sz="4" w:space="0"/>
              <w:right w:val="single" w:color="auto" w:sz="4" w:space="0"/>
            </w:tcBorders>
            <w:shd w:val="clear" w:color="auto" w:fill="auto"/>
            <w:vAlign w:val="center"/>
          </w:tcPr>
          <w:p w14:paraId="203748B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45</w:t>
            </w:r>
          </w:p>
        </w:tc>
        <w:tc>
          <w:tcPr>
            <w:tcW w:w="433" w:type="dxa"/>
            <w:tcBorders>
              <w:top w:val="nil"/>
              <w:left w:val="nil"/>
              <w:bottom w:val="single" w:color="auto" w:sz="4" w:space="0"/>
              <w:right w:val="single" w:color="auto" w:sz="4" w:space="0"/>
            </w:tcBorders>
            <w:shd w:val="clear" w:color="auto" w:fill="auto"/>
            <w:vAlign w:val="center"/>
          </w:tcPr>
          <w:p w14:paraId="1739CE2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08DCEB4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2ADA877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6B08BD8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42B1960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0DE5674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758F92E6">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46D18C1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发放高龄失能养老补贴人数</w:t>
            </w:r>
          </w:p>
        </w:tc>
        <w:tc>
          <w:tcPr>
            <w:tcW w:w="441" w:type="dxa"/>
            <w:tcBorders>
              <w:top w:val="nil"/>
              <w:left w:val="nil"/>
              <w:bottom w:val="single" w:color="auto" w:sz="4" w:space="0"/>
              <w:right w:val="single" w:color="auto" w:sz="4" w:space="0"/>
            </w:tcBorders>
            <w:shd w:val="clear" w:color="auto" w:fill="auto"/>
            <w:vAlign w:val="center"/>
          </w:tcPr>
          <w:p w14:paraId="6418578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w:t>
            </w:r>
          </w:p>
        </w:tc>
        <w:tc>
          <w:tcPr>
            <w:tcW w:w="661" w:type="dxa"/>
            <w:tcBorders>
              <w:top w:val="nil"/>
              <w:left w:val="nil"/>
              <w:bottom w:val="single" w:color="auto" w:sz="4" w:space="0"/>
              <w:right w:val="single" w:color="auto" w:sz="4" w:space="0"/>
            </w:tcBorders>
            <w:shd w:val="clear" w:color="auto" w:fill="auto"/>
            <w:vAlign w:val="center"/>
          </w:tcPr>
          <w:p w14:paraId="1E629BF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1EA6F63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2800</w:t>
            </w:r>
          </w:p>
        </w:tc>
        <w:tc>
          <w:tcPr>
            <w:tcW w:w="780" w:type="dxa"/>
            <w:tcBorders>
              <w:top w:val="nil"/>
              <w:left w:val="nil"/>
              <w:bottom w:val="single" w:color="auto" w:sz="4" w:space="0"/>
              <w:right w:val="single" w:color="auto" w:sz="4" w:space="0"/>
            </w:tcBorders>
            <w:shd w:val="clear" w:color="auto" w:fill="auto"/>
            <w:vAlign w:val="center"/>
          </w:tcPr>
          <w:p w14:paraId="3EAD5A2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5221</w:t>
            </w:r>
          </w:p>
        </w:tc>
        <w:tc>
          <w:tcPr>
            <w:tcW w:w="433" w:type="dxa"/>
            <w:tcBorders>
              <w:top w:val="nil"/>
              <w:left w:val="nil"/>
              <w:bottom w:val="single" w:color="auto" w:sz="4" w:space="0"/>
              <w:right w:val="single" w:color="auto" w:sz="4" w:space="0"/>
            </w:tcBorders>
            <w:shd w:val="clear" w:color="auto" w:fill="auto"/>
            <w:vAlign w:val="center"/>
          </w:tcPr>
          <w:p w14:paraId="6397FAA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3126494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51" w:type="dxa"/>
            <w:tcBorders>
              <w:top w:val="nil"/>
              <w:left w:val="nil"/>
              <w:bottom w:val="single" w:color="auto" w:sz="4" w:space="0"/>
              <w:right w:val="single" w:color="auto" w:sz="4" w:space="0"/>
            </w:tcBorders>
            <w:shd w:val="clear" w:color="auto" w:fill="auto"/>
            <w:vAlign w:val="center"/>
          </w:tcPr>
          <w:p w14:paraId="5C81B20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621" w:type="dxa"/>
            <w:tcBorders>
              <w:top w:val="nil"/>
              <w:left w:val="nil"/>
              <w:bottom w:val="single" w:color="auto" w:sz="4" w:space="0"/>
              <w:right w:val="single" w:color="auto" w:sz="4" w:space="0"/>
            </w:tcBorders>
            <w:shd w:val="clear" w:color="auto" w:fill="auto"/>
            <w:vAlign w:val="center"/>
          </w:tcPr>
          <w:p w14:paraId="2471939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09" w:type="dxa"/>
            <w:tcBorders>
              <w:top w:val="nil"/>
              <w:left w:val="nil"/>
              <w:bottom w:val="single" w:color="auto" w:sz="4" w:space="0"/>
              <w:right w:val="single" w:color="auto" w:sz="4" w:space="0"/>
            </w:tcBorders>
            <w:shd w:val="clear" w:color="auto" w:fill="auto"/>
            <w:vAlign w:val="center"/>
          </w:tcPr>
          <w:p w14:paraId="0AAC4E6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否</w:t>
            </w:r>
          </w:p>
        </w:tc>
        <w:tc>
          <w:tcPr>
            <w:tcW w:w="1535" w:type="dxa"/>
            <w:gridSpan w:val="2"/>
            <w:tcBorders>
              <w:top w:val="single" w:color="auto" w:sz="4" w:space="0"/>
              <w:left w:val="nil"/>
              <w:bottom w:val="single" w:color="auto" w:sz="4" w:space="0"/>
              <w:right w:val="single" w:color="000000" w:sz="4" w:space="0"/>
            </w:tcBorders>
            <w:shd w:val="clear" w:color="auto" w:fill="auto"/>
            <w:vAlign w:val="center"/>
          </w:tcPr>
          <w:p w14:paraId="5AB59EB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bl>
    <w:p w14:paraId="242853C6">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280" w:lineRule="exact"/>
        <w:jc w:val="center"/>
        <w:outlineLvl w:val="9"/>
        <w:rPr>
          <w:rFonts w:hint="eastAsia" w:ascii="方正仿宋_GBK" w:hAnsi="方正仿宋_GBK" w:eastAsia="方正仿宋_GBK" w:cs="方正仿宋_GBK"/>
          <w:shd w:val="clear" w:fill="FFFFFF"/>
          <w:lang w:val="en-US"/>
        </w:rPr>
      </w:pPr>
      <w:r>
        <w:rPr>
          <w:rStyle w:val="7"/>
          <w:rFonts w:hint="eastAsia" w:ascii="方正仿宋_GBK" w:hAnsi="方正仿宋_GBK" w:eastAsia="方正仿宋_GBK" w:cs="方正仿宋_GBK"/>
          <w:shd w:val="clear" w:fill="FFFFFF"/>
          <w:lang w:val="en-US"/>
        </w:rPr>
        <w:t xml:space="preserve"> </w:t>
      </w:r>
    </w:p>
    <w:p w14:paraId="30FDC395">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280" w:lineRule="exact"/>
        <w:jc w:val="center"/>
        <w:outlineLvl w:val="9"/>
        <w:rPr>
          <w:rFonts w:hint="eastAsia" w:ascii="方正仿宋_GBK" w:hAnsi="方正仿宋_GBK" w:eastAsia="方正仿宋_GBK" w:cs="方正仿宋_GBK"/>
          <w:shd w:val="clear" w:fill="FFFFFF"/>
          <w:lang w:val="en-US"/>
        </w:rPr>
      </w:pPr>
      <w:r>
        <w:rPr>
          <w:rStyle w:val="7"/>
          <w:rFonts w:hint="eastAsia" w:ascii="方正仿宋_GBK" w:hAnsi="方正仿宋_GBK" w:eastAsia="方正仿宋_GBK" w:cs="方正仿宋_GBK"/>
          <w:shd w:val="clear" w:fill="FFFFFF"/>
          <w:lang w:val="en-US"/>
        </w:rPr>
        <w:t xml:space="preserve"> </w:t>
      </w:r>
    </w:p>
    <w:tbl>
      <w:tblPr>
        <w:tblStyle w:val="3"/>
        <w:tblW w:w="8311" w:type="dxa"/>
        <w:jc w:val="center"/>
        <w:shd w:val="clear" w:color="auto" w:fill="auto"/>
        <w:tblLayout w:type="fixed"/>
        <w:tblCellMar>
          <w:top w:w="0" w:type="dxa"/>
          <w:left w:w="108" w:type="dxa"/>
          <w:bottom w:w="0" w:type="dxa"/>
          <w:right w:w="108" w:type="dxa"/>
        </w:tblCellMar>
      </w:tblPr>
      <w:tblGrid>
        <w:gridCol w:w="993"/>
        <w:gridCol w:w="551"/>
        <w:gridCol w:w="552"/>
        <w:gridCol w:w="772"/>
        <w:gridCol w:w="607"/>
        <w:gridCol w:w="607"/>
        <w:gridCol w:w="811"/>
        <w:gridCol w:w="586"/>
        <w:gridCol w:w="586"/>
        <w:gridCol w:w="772"/>
        <w:gridCol w:w="737"/>
        <w:gridCol w:w="737"/>
      </w:tblGrid>
      <w:tr w14:paraId="5896A4A4">
        <w:tblPrEx>
          <w:tblCellMar>
            <w:top w:w="0" w:type="dxa"/>
            <w:left w:w="108" w:type="dxa"/>
            <w:bottom w:w="0" w:type="dxa"/>
            <w:right w:w="108" w:type="dxa"/>
          </w:tblCellMar>
        </w:tblPrEx>
        <w:trPr>
          <w:trHeight w:val="424"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F12567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color w:val="000000"/>
                <w:lang w:val="en-US"/>
              </w:rPr>
            </w:pPr>
            <w:r>
              <w:rPr>
                <w:rFonts w:hint="eastAsia" w:ascii="方正仿宋_GBK" w:hAnsi="方正仿宋_GBK" w:eastAsia="方正仿宋_GBK" w:cs="Times New Roman"/>
                <w:b/>
                <w:color w:val="000000"/>
                <w:lang w:val="en-US"/>
              </w:rPr>
              <w:t>2022</w:t>
            </w:r>
            <w:r>
              <w:rPr>
                <w:rFonts w:hint="eastAsia" w:ascii="方正仿宋_GBK" w:hAnsi="方正仿宋_GBK" w:eastAsia="方正仿宋_GBK" w:cs="Times New Roman"/>
                <w:b/>
                <w:color w:val="000000"/>
              </w:rPr>
              <w:t>年度项目绩效自评表</w:t>
            </w:r>
          </w:p>
        </w:tc>
      </w:tr>
      <w:tr w14:paraId="06B2DF27">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8BBBA9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项目名称：</w:t>
            </w:r>
          </w:p>
        </w:tc>
        <w:tc>
          <w:tcPr>
            <w:tcW w:w="1103" w:type="dxa"/>
            <w:gridSpan w:val="2"/>
            <w:tcBorders>
              <w:top w:val="nil"/>
              <w:left w:val="nil"/>
              <w:bottom w:val="single" w:color="auto" w:sz="4" w:space="0"/>
              <w:right w:val="single" w:color="auto" w:sz="4" w:space="0"/>
            </w:tcBorders>
            <w:shd w:val="clear" w:color="auto" w:fill="auto"/>
            <w:vAlign w:val="center"/>
          </w:tcPr>
          <w:p w14:paraId="7647532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孤儿基本生活费和事实无人抚养儿童</w:t>
            </w:r>
          </w:p>
        </w:tc>
        <w:tc>
          <w:tcPr>
            <w:tcW w:w="772" w:type="dxa"/>
            <w:tcBorders>
              <w:top w:val="nil"/>
              <w:left w:val="nil"/>
              <w:bottom w:val="single" w:color="auto" w:sz="4" w:space="0"/>
              <w:right w:val="single" w:color="auto" w:sz="4" w:space="0"/>
            </w:tcBorders>
            <w:shd w:val="clear" w:color="auto" w:fill="auto"/>
            <w:vAlign w:val="center"/>
          </w:tcPr>
          <w:p w14:paraId="093A25D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项目编码：</w:t>
            </w:r>
          </w:p>
        </w:tc>
        <w:tc>
          <w:tcPr>
            <w:tcW w:w="1214" w:type="dxa"/>
            <w:gridSpan w:val="2"/>
            <w:tcBorders>
              <w:top w:val="nil"/>
              <w:left w:val="nil"/>
              <w:bottom w:val="single" w:color="auto" w:sz="4" w:space="0"/>
              <w:right w:val="single" w:color="auto" w:sz="4" w:space="0"/>
            </w:tcBorders>
            <w:shd w:val="clear" w:color="auto" w:fill="auto"/>
            <w:vAlign w:val="center"/>
          </w:tcPr>
          <w:p w14:paraId="0CB5CFB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50023022T000000140192</w:t>
            </w:r>
          </w:p>
        </w:tc>
        <w:tc>
          <w:tcPr>
            <w:tcW w:w="811" w:type="dxa"/>
            <w:tcBorders>
              <w:top w:val="nil"/>
              <w:left w:val="nil"/>
              <w:bottom w:val="single" w:color="auto" w:sz="4" w:space="0"/>
              <w:right w:val="single" w:color="auto" w:sz="4" w:space="0"/>
            </w:tcBorders>
            <w:shd w:val="clear" w:color="auto" w:fill="auto"/>
            <w:vAlign w:val="center"/>
          </w:tcPr>
          <w:p w14:paraId="4132974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自评总分：</w:t>
            </w:r>
          </w:p>
        </w:tc>
        <w:tc>
          <w:tcPr>
            <w:tcW w:w="1172" w:type="dxa"/>
            <w:gridSpan w:val="2"/>
            <w:tcBorders>
              <w:top w:val="nil"/>
              <w:left w:val="nil"/>
              <w:bottom w:val="single" w:color="auto" w:sz="4" w:space="0"/>
              <w:right w:val="single" w:color="auto" w:sz="4" w:space="0"/>
            </w:tcBorders>
            <w:shd w:val="clear" w:color="auto" w:fill="auto"/>
            <w:vAlign w:val="center"/>
          </w:tcPr>
          <w:p w14:paraId="40C5291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100.00</w:t>
            </w:r>
          </w:p>
        </w:tc>
        <w:tc>
          <w:tcPr>
            <w:tcW w:w="772" w:type="dxa"/>
            <w:tcBorders>
              <w:top w:val="nil"/>
              <w:left w:val="nil"/>
              <w:bottom w:val="single" w:color="auto" w:sz="4" w:space="0"/>
              <w:right w:val="single" w:color="auto" w:sz="4" w:space="0"/>
            </w:tcBorders>
            <w:shd w:val="clear" w:color="auto" w:fill="auto"/>
            <w:vAlign w:val="center"/>
          </w:tcPr>
          <w:p w14:paraId="6571FFC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p>
        </w:tc>
        <w:tc>
          <w:tcPr>
            <w:tcW w:w="1474" w:type="dxa"/>
            <w:gridSpan w:val="2"/>
            <w:tcBorders>
              <w:top w:val="nil"/>
              <w:left w:val="nil"/>
              <w:bottom w:val="single" w:color="auto" w:sz="4" w:space="0"/>
              <w:right w:val="single" w:color="auto" w:sz="4" w:space="0"/>
            </w:tcBorders>
            <w:shd w:val="clear" w:color="auto" w:fill="auto"/>
            <w:vAlign w:val="center"/>
          </w:tcPr>
          <w:p w14:paraId="770D389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r>
      <w:tr w14:paraId="670D3B97">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66CB4CC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项目主管部门：</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14:paraId="7CB236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401-</w:t>
            </w:r>
            <w:r>
              <w:rPr>
                <w:rFonts w:hint="eastAsia" w:ascii="方正仿宋_GBK" w:hAnsi="方正仿宋_GBK" w:eastAsia="方正仿宋_GBK" w:cs="Times New Roman"/>
                <w:color w:val="000000"/>
              </w:rPr>
              <w:t>丰都县民政局</w:t>
            </w:r>
          </w:p>
        </w:tc>
        <w:tc>
          <w:tcPr>
            <w:tcW w:w="772" w:type="dxa"/>
            <w:tcBorders>
              <w:top w:val="nil"/>
              <w:left w:val="nil"/>
              <w:bottom w:val="single" w:color="auto" w:sz="4" w:space="0"/>
              <w:right w:val="single" w:color="auto" w:sz="4" w:space="0"/>
            </w:tcBorders>
            <w:shd w:val="clear" w:color="auto" w:fill="auto"/>
            <w:vAlign w:val="center"/>
          </w:tcPr>
          <w:p w14:paraId="2704A02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财政归口处室：</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14:paraId="0D370AB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004-</w:t>
            </w:r>
            <w:r>
              <w:rPr>
                <w:rFonts w:hint="eastAsia" w:ascii="方正仿宋_GBK" w:hAnsi="方正仿宋_GBK" w:eastAsia="方正仿宋_GBK" w:cs="Times New Roman"/>
                <w:color w:val="000000"/>
              </w:rPr>
              <w:t>社保科</w:t>
            </w:r>
          </w:p>
        </w:tc>
        <w:tc>
          <w:tcPr>
            <w:tcW w:w="811" w:type="dxa"/>
            <w:tcBorders>
              <w:top w:val="nil"/>
              <w:left w:val="nil"/>
              <w:bottom w:val="single" w:color="auto" w:sz="4" w:space="0"/>
              <w:right w:val="single" w:color="auto" w:sz="4" w:space="0"/>
            </w:tcBorders>
            <w:shd w:val="clear" w:color="auto" w:fill="auto"/>
            <w:vAlign w:val="center"/>
          </w:tcPr>
          <w:p w14:paraId="4CFE128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部门联系人：</w:t>
            </w:r>
          </w:p>
        </w:tc>
        <w:tc>
          <w:tcPr>
            <w:tcW w:w="1172" w:type="dxa"/>
            <w:gridSpan w:val="2"/>
            <w:tcBorders>
              <w:top w:val="single" w:color="auto" w:sz="4" w:space="0"/>
              <w:left w:val="nil"/>
              <w:bottom w:val="single" w:color="auto" w:sz="4" w:space="0"/>
              <w:right w:val="single" w:color="auto" w:sz="4" w:space="0"/>
            </w:tcBorders>
            <w:shd w:val="clear" w:color="auto" w:fill="auto"/>
            <w:vAlign w:val="center"/>
          </w:tcPr>
          <w:p w14:paraId="0B3C1D3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高杨</w:t>
            </w:r>
          </w:p>
        </w:tc>
        <w:tc>
          <w:tcPr>
            <w:tcW w:w="772" w:type="dxa"/>
            <w:tcBorders>
              <w:top w:val="nil"/>
              <w:left w:val="nil"/>
              <w:bottom w:val="single" w:color="auto" w:sz="4" w:space="0"/>
              <w:right w:val="single" w:color="auto" w:sz="4" w:space="0"/>
            </w:tcBorders>
            <w:shd w:val="clear" w:color="auto" w:fill="auto"/>
            <w:vAlign w:val="center"/>
          </w:tcPr>
          <w:p w14:paraId="4DF2807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联系电话：</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14:paraId="07F08ED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70605253</w:t>
            </w:r>
          </w:p>
        </w:tc>
      </w:tr>
      <w:tr w14:paraId="7A08F064">
        <w:tblPrEx>
          <w:tblCellMar>
            <w:top w:w="0" w:type="dxa"/>
            <w:left w:w="108" w:type="dxa"/>
            <w:bottom w:w="0" w:type="dxa"/>
            <w:right w:w="108" w:type="dxa"/>
          </w:tblCellMar>
        </w:tblPrEx>
        <w:trPr>
          <w:trHeight w:val="384"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9B32BC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资金情况</w:t>
            </w:r>
          </w:p>
        </w:tc>
      </w:tr>
      <w:tr w14:paraId="25BA90A3">
        <w:tblPrEx>
          <w:tblCellMar>
            <w:top w:w="0" w:type="dxa"/>
            <w:left w:w="108" w:type="dxa"/>
            <w:bottom w:w="0" w:type="dxa"/>
            <w:right w:w="108" w:type="dxa"/>
          </w:tblCellMar>
        </w:tblPrEx>
        <w:trPr>
          <w:trHeight w:val="445" w:hRule="atLeast"/>
          <w:jc w:val="center"/>
        </w:trPr>
        <w:tc>
          <w:tcPr>
            <w:tcW w:w="154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11CCE8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1324" w:type="dxa"/>
            <w:gridSpan w:val="2"/>
            <w:tcBorders>
              <w:top w:val="single" w:color="auto" w:sz="4" w:space="0"/>
              <w:left w:val="nil"/>
              <w:bottom w:val="single" w:color="auto" w:sz="4" w:space="0"/>
              <w:right w:val="single" w:color="000000" w:sz="4" w:space="0"/>
            </w:tcBorders>
            <w:shd w:val="clear" w:color="auto" w:fill="auto"/>
            <w:vAlign w:val="center"/>
          </w:tcPr>
          <w:p w14:paraId="628923E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年初预算数</w:t>
            </w:r>
          </w:p>
        </w:tc>
        <w:tc>
          <w:tcPr>
            <w:tcW w:w="1214" w:type="dxa"/>
            <w:gridSpan w:val="2"/>
            <w:tcBorders>
              <w:top w:val="single" w:color="auto" w:sz="4" w:space="0"/>
              <w:left w:val="nil"/>
              <w:bottom w:val="single" w:color="auto" w:sz="4" w:space="0"/>
              <w:right w:val="single" w:color="000000" w:sz="4" w:space="0"/>
            </w:tcBorders>
            <w:shd w:val="clear" w:color="auto" w:fill="auto"/>
            <w:vAlign w:val="center"/>
          </w:tcPr>
          <w:p w14:paraId="405BE39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全年（调整）预算数</w:t>
            </w:r>
          </w:p>
        </w:tc>
        <w:tc>
          <w:tcPr>
            <w:tcW w:w="1397" w:type="dxa"/>
            <w:gridSpan w:val="2"/>
            <w:tcBorders>
              <w:top w:val="single" w:color="auto" w:sz="4" w:space="0"/>
              <w:left w:val="nil"/>
              <w:bottom w:val="single" w:color="auto" w:sz="4" w:space="0"/>
              <w:right w:val="single" w:color="000000" w:sz="4" w:space="0"/>
            </w:tcBorders>
            <w:shd w:val="clear" w:color="auto" w:fill="auto"/>
            <w:vAlign w:val="center"/>
          </w:tcPr>
          <w:p w14:paraId="7BCE963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全年执行数</w:t>
            </w:r>
          </w:p>
        </w:tc>
        <w:tc>
          <w:tcPr>
            <w:tcW w:w="1358" w:type="dxa"/>
            <w:gridSpan w:val="2"/>
            <w:tcBorders>
              <w:top w:val="single" w:color="auto" w:sz="4" w:space="0"/>
              <w:left w:val="nil"/>
              <w:bottom w:val="single" w:color="auto" w:sz="4" w:space="0"/>
              <w:right w:val="single" w:color="000000" w:sz="4" w:space="0"/>
            </w:tcBorders>
            <w:shd w:val="clear" w:color="auto" w:fill="auto"/>
            <w:vAlign w:val="center"/>
          </w:tcPr>
          <w:p w14:paraId="323C9EA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执行率</w:t>
            </w:r>
          </w:p>
        </w:tc>
        <w:tc>
          <w:tcPr>
            <w:tcW w:w="737" w:type="dxa"/>
            <w:tcBorders>
              <w:top w:val="single" w:color="auto" w:sz="4" w:space="0"/>
              <w:left w:val="nil"/>
              <w:bottom w:val="single" w:color="auto" w:sz="4" w:space="0"/>
              <w:right w:val="single" w:color="auto" w:sz="4" w:space="0"/>
            </w:tcBorders>
            <w:shd w:val="clear" w:color="auto" w:fill="auto"/>
            <w:vAlign w:val="center"/>
          </w:tcPr>
          <w:p w14:paraId="3038426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执行率权重</w:t>
            </w:r>
          </w:p>
        </w:tc>
        <w:tc>
          <w:tcPr>
            <w:tcW w:w="737" w:type="dxa"/>
            <w:tcBorders>
              <w:top w:val="single" w:color="auto" w:sz="4" w:space="0"/>
              <w:left w:val="nil"/>
              <w:bottom w:val="single" w:color="auto" w:sz="4" w:space="0"/>
              <w:right w:val="single" w:color="auto" w:sz="4" w:space="0"/>
            </w:tcBorders>
            <w:shd w:val="clear" w:color="auto" w:fill="auto"/>
            <w:vAlign w:val="center"/>
          </w:tcPr>
          <w:p w14:paraId="25FB799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执行率得分</w:t>
            </w:r>
          </w:p>
        </w:tc>
      </w:tr>
      <w:tr w14:paraId="528D5CE8">
        <w:tblPrEx>
          <w:tblCellMar>
            <w:top w:w="0" w:type="dxa"/>
            <w:left w:w="108" w:type="dxa"/>
            <w:bottom w:w="0" w:type="dxa"/>
            <w:right w:w="108" w:type="dxa"/>
          </w:tblCellMar>
        </w:tblPrEx>
        <w:trPr>
          <w:trHeight w:val="499"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A209A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年度总金额</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14:paraId="7B654CF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398,800.00</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14:paraId="182AA185">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3,202,928.00</w:t>
            </w:r>
          </w:p>
        </w:tc>
        <w:tc>
          <w:tcPr>
            <w:tcW w:w="1397" w:type="dxa"/>
            <w:gridSpan w:val="2"/>
            <w:tcBorders>
              <w:top w:val="single" w:color="auto" w:sz="4" w:space="0"/>
              <w:left w:val="nil"/>
              <w:bottom w:val="single" w:color="auto" w:sz="4" w:space="0"/>
              <w:right w:val="single" w:color="auto" w:sz="4" w:space="0"/>
            </w:tcBorders>
            <w:shd w:val="clear" w:color="auto" w:fill="auto"/>
            <w:vAlign w:val="center"/>
          </w:tcPr>
          <w:p w14:paraId="53DBB43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3,191,910.00</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14:paraId="64F3F77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nil"/>
              <w:left w:val="nil"/>
              <w:bottom w:val="single" w:color="auto" w:sz="4" w:space="0"/>
              <w:right w:val="single" w:color="auto" w:sz="4" w:space="0"/>
            </w:tcBorders>
            <w:shd w:val="clear" w:color="auto" w:fill="auto"/>
            <w:vAlign w:val="center"/>
          </w:tcPr>
          <w:p w14:paraId="31B6246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c>
          <w:tcPr>
            <w:tcW w:w="737" w:type="dxa"/>
            <w:tcBorders>
              <w:top w:val="nil"/>
              <w:left w:val="nil"/>
              <w:bottom w:val="single" w:color="auto" w:sz="4" w:space="0"/>
              <w:right w:val="single" w:color="auto" w:sz="4" w:space="0"/>
            </w:tcBorders>
            <w:shd w:val="clear" w:color="auto" w:fill="auto"/>
            <w:vAlign w:val="center"/>
          </w:tcPr>
          <w:p w14:paraId="2B690BD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r>
      <w:tr w14:paraId="032D67D6">
        <w:tblPrEx>
          <w:tblCellMar>
            <w:top w:w="0" w:type="dxa"/>
            <w:left w:w="108" w:type="dxa"/>
            <w:bottom w:w="0" w:type="dxa"/>
            <w:right w:w="108" w:type="dxa"/>
          </w:tblCellMar>
        </w:tblPrEx>
        <w:trPr>
          <w:trHeight w:val="415"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F3C26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其中：财政拨款</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14:paraId="150063E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398,800.00</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14:paraId="48CEDAD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3,202,928.00</w:t>
            </w:r>
          </w:p>
        </w:tc>
        <w:tc>
          <w:tcPr>
            <w:tcW w:w="1397" w:type="dxa"/>
            <w:gridSpan w:val="2"/>
            <w:tcBorders>
              <w:top w:val="single" w:color="auto" w:sz="4" w:space="0"/>
              <w:left w:val="nil"/>
              <w:bottom w:val="single" w:color="auto" w:sz="4" w:space="0"/>
              <w:right w:val="single" w:color="auto" w:sz="4" w:space="0"/>
            </w:tcBorders>
            <w:shd w:val="clear" w:color="auto" w:fill="auto"/>
            <w:vAlign w:val="center"/>
          </w:tcPr>
          <w:p w14:paraId="5474CE5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3,191,910.00</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14:paraId="0435049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737" w:type="dxa"/>
            <w:tcBorders>
              <w:top w:val="nil"/>
              <w:left w:val="nil"/>
              <w:bottom w:val="single" w:color="auto" w:sz="4" w:space="0"/>
              <w:right w:val="single" w:color="auto" w:sz="4" w:space="0"/>
            </w:tcBorders>
            <w:shd w:val="clear" w:color="auto" w:fill="auto"/>
            <w:vAlign w:val="center"/>
          </w:tcPr>
          <w:p w14:paraId="17F23F9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color w:val="000000"/>
                <w:lang w:val="en-US"/>
              </w:rPr>
              <w:t>10.00</w:t>
            </w:r>
          </w:p>
        </w:tc>
        <w:tc>
          <w:tcPr>
            <w:tcW w:w="737" w:type="dxa"/>
            <w:tcBorders>
              <w:top w:val="nil"/>
              <w:left w:val="nil"/>
              <w:bottom w:val="single" w:color="auto" w:sz="4" w:space="0"/>
              <w:right w:val="single" w:color="auto" w:sz="4" w:space="0"/>
            </w:tcBorders>
            <w:shd w:val="clear" w:color="auto" w:fill="auto"/>
            <w:vAlign w:val="center"/>
          </w:tcPr>
          <w:p w14:paraId="7673818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color w:val="000000"/>
                <w:lang w:val="en-US"/>
              </w:rPr>
              <w:t>10.00</w:t>
            </w:r>
          </w:p>
        </w:tc>
      </w:tr>
      <w:tr w14:paraId="4FC7F19E">
        <w:tblPrEx>
          <w:tblCellMar>
            <w:top w:w="0" w:type="dxa"/>
            <w:left w:w="108" w:type="dxa"/>
            <w:bottom w:w="0" w:type="dxa"/>
            <w:right w:w="108" w:type="dxa"/>
          </w:tblCellMar>
        </w:tblPrEx>
        <w:trPr>
          <w:trHeight w:val="440"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5F16EB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绩效目标</w:t>
            </w:r>
          </w:p>
        </w:tc>
      </w:tr>
      <w:tr w14:paraId="30577EA0">
        <w:tblPrEx>
          <w:tblCellMar>
            <w:top w:w="0" w:type="dxa"/>
            <w:left w:w="108" w:type="dxa"/>
            <w:bottom w:w="0" w:type="dxa"/>
            <w:right w:w="108" w:type="dxa"/>
          </w:tblCellMar>
        </w:tblPrEx>
        <w:trPr>
          <w:trHeight w:val="374" w:hRule="atLeast"/>
          <w:jc w:val="center"/>
        </w:trPr>
        <w:tc>
          <w:tcPr>
            <w:tcW w:w="28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02096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年初绩效目标</w:t>
            </w:r>
          </w:p>
        </w:tc>
        <w:tc>
          <w:tcPr>
            <w:tcW w:w="2611" w:type="dxa"/>
            <w:gridSpan w:val="4"/>
            <w:tcBorders>
              <w:top w:val="single" w:color="auto" w:sz="4" w:space="0"/>
              <w:left w:val="nil"/>
              <w:bottom w:val="single" w:color="auto" w:sz="4" w:space="0"/>
              <w:right w:val="single" w:color="auto" w:sz="4" w:space="0"/>
            </w:tcBorders>
            <w:shd w:val="clear" w:color="auto" w:fill="auto"/>
            <w:vAlign w:val="center"/>
          </w:tcPr>
          <w:p w14:paraId="253772E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全年（调整）绩效目标</w:t>
            </w:r>
          </w:p>
        </w:tc>
        <w:tc>
          <w:tcPr>
            <w:tcW w:w="2832" w:type="dxa"/>
            <w:gridSpan w:val="4"/>
            <w:tcBorders>
              <w:top w:val="single" w:color="auto" w:sz="4" w:space="0"/>
              <w:left w:val="nil"/>
              <w:bottom w:val="single" w:color="auto" w:sz="4" w:space="0"/>
              <w:right w:val="single" w:color="auto" w:sz="4" w:space="0"/>
            </w:tcBorders>
            <w:shd w:val="clear" w:color="auto" w:fill="auto"/>
            <w:vAlign w:val="center"/>
          </w:tcPr>
          <w:p w14:paraId="22073C9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全年目标实际完成情况</w:t>
            </w:r>
          </w:p>
        </w:tc>
      </w:tr>
      <w:tr w14:paraId="54347833">
        <w:tblPrEx>
          <w:tblCellMar>
            <w:top w:w="0" w:type="dxa"/>
            <w:left w:w="108" w:type="dxa"/>
            <w:bottom w:w="0" w:type="dxa"/>
            <w:right w:w="108" w:type="dxa"/>
          </w:tblCellMar>
        </w:tblPrEx>
        <w:trPr>
          <w:trHeight w:val="2180" w:hRule="atLeast"/>
          <w:jc w:val="center"/>
        </w:trPr>
        <w:tc>
          <w:tcPr>
            <w:tcW w:w="2868"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2E9AA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top"/>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预计</w:t>
            </w:r>
            <w:r>
              <w:rPr>
                <w:rFonts w:hint="eastAsia" w:ascii="方正仿宋_GBK" w:hAnsi="方正仿宋_GBK" w:eastAsia="方正仿宋_GBK" w:cs="Times New Roman"/>
                <w:color w:val="000000"/>
                <w:lang w:val="en-US"/>
              </w:rPr>
              <w:t>2022</w:t>
            </w:r>
            <w:r>
              <w:rPr>
                <w:rFonts w:hint="eastAsia" w:ascii="方正仿宋_GBK" w:hAnsi="方正仿宋_GBK" w:eastAsia="方正仿宋_GBK" w:cs="Times New Roman"/>
                <w:color w:val="000000"/>
              </w:rPr>
              <w:t>年度，孤儿</w:t>
            </w:r>
            <w:r>
              <w:rPr>
                <w:rFonts w:hint="eastAsia" w:ascii="方正仿宋_GBK" w:hAnsi="方正仿宋_GBK" w:eastAsia="方正仿宋_GBK" w:cs="Times New Roman"/>
                <w:color w:val="000000"/>
                <w:lang w:val="en-US"/>
              </w:rPr>
              <w:t>75</w:t>
            </w:r>
            <w:r>
              <w:rPr>
                <w:rFonts w:hint="eastAsia" w:ascii="方正仿宋_GBK" w:hAnsi="方正仿宋_GBK" w:eastAsia="方正仿宋_GBK" w:cs="Times New Roman"/>
                <w:color w:val="000000"/>
              </w:rPr>
              <w:t>人，事实无人抚养儿童</w:t>
            </w:r>
            <w:r>
              <w:rPr>
                <w:rFonts w:hint="eastAsia" w:ascii="方正仿宋_GBK" w:hAnsi="方正仿宋_GBK" w:eastAsia="方正仿宋_GBK" w:cs="Times New Roman"/>
                <w:color w:val="000000"/>
                <w:lang w:val="en-US"/>
              </w:rPr>
              <w:t>85</w:t>
            </w:r>
            <w:r>
              <w:rPr>
                <w:rFonts w:hint="eastAsia" w:ascii="方正仿宋_GBK" w:hAnsi="方正仿宋_GBK" w:eastAsia="方正仿宋_GBK" w:cs="Times New Roman"/>
                <w:color w:val="000000"/>
              </w:rPr>
              <w:t>人，按照现目前未调标标准（孤儿每人每月</w:t>
            </w:r>
            <w:r>
              <w:rPr>
                <w:rFonts w:hint="eastAsia" w:ascii="方正仿宋_GBK" w:hAnsi="方正仿宋_GBK" w:eastAsia="方正仿宋_GBK" w:cs="Times New Roman"/>
                <w:color w:val="000000"/>
                <w:lang w:val="en-US"/>
              </w:rPr>
              <w:t>1277</w:t>
            </w:r>
            <w:r>
              <w:rPr>
                <w:rFonts w:hint="eastAsia" w:ascii="方正仿宋_GBK" w:hAnsi="方正仿宋_GBK" w:eastAsia="方正仿宋_GBK" w:cs="Times New Roman"/>
                <w:color w:val="000000"/>
              </w:rPr>
              <w:t>元、事实无人抚养儿童每人每月</w:t>
            </w:r>
            <w:r>
              <w:rPr>
                <w:rFonts w:hint="eastAsia" w:ascii="方正仿宋_GBK" w:hAnsi="方正仿宋_GBK" w:eastAsia="方正仿宋_GBK" w:cs="Times New Roman"/>
                <w:color w:val="000000"/>
                <w:lang w:val="en-US"/>
              </w:rPr>
              <w:t>1225</w:t>
            </w:r>
            <w:r>
              <w:rPr>
                <w:rFonts w:hint="eastAsia" w:ascii="方正仿宋_GBK" w:hAnsi="方正仿宋_GBK" w:eastAsia="方正仿宋_GBK" w:cs="Times New Roman"/>
                <w:color w:val="000000"/>
              </w:rPr>
              <w:t>元），共需资金</w:t>
            </w:r>
            <w:r>
              <w:rPr>
                <w:rFonts w:hint="eastAsia" w:ascii="方正仿宋_GBK" w:hAnsi="方正仿宋_GBK" w:eastAsia="方正仿宋_GBK" w:cs="Times New Roman"/>
                <w:color w:val="000000"/>
                <w:lang w:val="en-US"/>
              </w:rPr>
              <w:t>2398800</w:t>
            </w:r>
            <w:r>
              <w:rPr>
                <w:rFonts w:hint="eastAsia" w:ascii="方正仿宋_GBK" w:hAnsi="方正仿宋_GBK" w:eastAsia="方正仿宋_GBK" w:cs="Times New Roman"/>
                <w:color w:val="000000"/>
              </w:rPr>
              <w:t>元。</w:t>
            </w:r>
          </w:p>
        </w:tc>
        <w:tc>
          <w:tcPr>
            <w:tcW w:w="2611" w:type="dxa"/>
            <w:gridSpan w:val="4"/>
            <w:tcBorders>
              <w:top w:val="single" w:color="auto" w:sz="4" w:space="0"/>
              <w:left w:val="nil"/>
              <w:bottom w:val="single" w:color="auto" w:sz="4" w:space="0"/>
              <w:right w:val="single" w:color="auto" w:sz="4" w:space="0"/>
            </w:tcBorders>
            <w:shd w:val="clear" w:color="auto" w:fill="auto"/>
            <w:vAlign w:val="top"/>
          </w:tcPr>
          <w:p w14:paraId="02DF063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top"/>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落实孤儿、事实无人抚养儿童资金，保障按月、按规定的孤儿基本生活费、事实无人扶养儿童基本生活费的标准补差发放，及时通过银行打卡按月发放到享受孤儿、事实无人抚养儿童待遇的对象手中。</w:t>
            </w:r>
          </w:p>
        </w:tc>
        <w:tc>
          <w:tcPr>
            <w:tcW w:w="2832" w:type="dxa"/>
            <w:gridSpan w:val="4"/>
            <w:tcBorders>
              <w:top w:val="single" w:color="auto" w:sz="4" w:space="0"/>
              <w:left w:val="nil"/>
              <w:bottom w:val="single" w:color="auto" w:sz="4" w:space="0"/>
              <w:right w:val="single" w:color="auto" w:sz="4" w:space="0"/>
            </w:tcBorders>
            <w:shd w:val="clear" w:color="auto" w:fill="auto"/>
            <w:vAlign w:val="top"/>
          </w:tcPr>
          <w:p w14:paraId="23055D6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top"/>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落实孤儿、事实无人抚养儿童资金，保障按月、按规定的孤儿基本生活费、事实无人扶养儿童基本生活费的标准补差发放，及时通过银行打卡按月发放到享受孤儿、事实无人抚养儿童待遇的对象手中。</w:t>
            </w:r>
          </w:p>
        </w:tc>
      </w:tr>
      <w:tr w14:paraId="591CF909">
        <w:tblPrEx>
          <w:tblCellMar>
            <w:top w:w="0" w:type="dxa"/>
            <w:left w:w="108" w:type="dxa"/>
            <w:bottom w:w="0" w:type="dxa"/>
            <w:right w:w="108" w:type="dxa"/>
          </w:tblCellMar>
        </w:tblPrEx>
        <w:trPr>
          <w:trHeight w:val="440"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DD3EF5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808080"/>
                <w:lang w:val="en-US"/>
              </w:rPr>
            </w:pPr>
            <w:r>
              <w:rPr>
                <w:rFonts w:hint="eastAsia" w:ascii="方正仿宋_GBK" w:hAnsi="方正仿宋_GBK" w:eastAsia="方正仿宋_GBK" w:cs="Times New Roman"/>
                <w:b/>
                <w:color w:val="808080"/>
              </w:rPr>
              <w:t>绩效指标</w:t>
            </w:r>
          </w:p>
        </w:tc>
      </w:tr>
      <w:tr w14:paraId="2AC04290">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5CB096C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指标名称</w:t>
            </w:r>
          </w:p>
        </w:tc>
        <w:tc>
          <w:tcPr>
            <w:tcW w:w="551" w:type="dxa"/>
            <w:tcBorders>
              <w:top w:val="nil"/>
              <w:left w:val="nil"/>
              <w:bottom w:val="single" w:color="auto" w:sz="4" w:space="0"/>
              <w:right w:val="single" w:color="auto" w:sz="4" w:space="0"/>
            </w:tcBorders>
            <w:shd w:val="clear" w:color="auto" w:fill="auto"/>
            <w:vAlign w:val="center"/>
          </w:tcPr>
          <w:p w14:paraId="187228B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计量单位</w:t>
            </w:r>
          </w:p>
        </w:tc>
        <w:tc>
          <w:tcPr>
            <w:tcW w:w="552" w:type="dxa"/>
            <w:tcBorders>
              <w:top w:val="nil"/>
              <w:left w:val="nil"/>
              <w:bottom w:val="single" w:color="auto" w:sz="4" w:space="0"/>
              <w:right w:val="single" w:color="auto" w:sz="4" w:space="0"/>
            </w:tcBorders>
            <w:shd w:val="clear" w:color="auto" w:fill="auto"/>
            <w:vAlign w:val="center"/>
          </w:tcPr>
          <w:p w14:paraId="467B16D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指标性质</w:t>
            </w:r>
          </w:p>
        </w:tc>
        <w:tc>
          <w:tcPr>
            <w:tcW w:w="772" w:type="dxa"/>
            <w:tcBorders>
              <w:top w:val="nil"/>
              <w:left w:val="nil"/>
              <w:bottom w:val="single" w:color="auto" w:sz="4" w:space="0"/>
              <w:right w:val="single" w:color="auto" w:sz="4" w:space="0"/>
            </w:tcBorders>
            <w:shd w:val="clear" w:color="auto" w:fill="auto"/>
            <w:vAlign w:val="center"/>
          </w:tcPr>
          <w:p w14:paraId="364FE68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指标值</w:t>
            </w:r>
          </w:p>
        </w:tc>
        <w:tc>
          <w:tcPr>
            <w:tcW w:w="607" w:type="dxa"/>
            <w:tcBorders>
              <w:top w:val="nil"/>
              <w:left w:val="nil"/>
              <w:bottom w:val="single" w:color="auto" w:sz="4" w:space="0"/>
              <w:right w:val="single" w:color="auto" w:sz="4" w:space="0"/>
            </w:tcBorders>
            <w:shd w:val="clear" w:color="auto" w:fill="auto"/>
            <w:vAlign w:val="center"/>
          </w:tcPr>
          <w:p w14:paraId="7843FED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全年完成值</w:t>
            </w:r>
          </w:p>
        </w:tc>
        <w:tc>
          <w:tcPr>
            <w:tcW w:w="607" w:type="dxa"/>
            <w:tcBorders>
              <w:top w:val="nil"/>
              <w:left w:val="nil"/>
              <w:bottom w:val="single" w:color="auto" w:sz="4" w:space="0"/>
              <w:right w:val="single" w:color="auto" w:sz="4" w:space="0"/>
            </w:tcBorders>
            <w:shd w:val="clear" w:color="auto" w:fill="auto"/>
            <w:vAlign w:val="center"/>
          </w:tcPr>
          <w:p w14:paraId="683567C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偏离度</w:t>
            </w:r>
            <w:r>
              <w:rPr>
                <w:rFonts w:hint="eastAsia" w:ascii="方正仿宋_GBK" w:hAnsi="方正仿宋_GBK" w:eastAsia="方正仿宋_GBK" w:cs="Times New Roman"/>
                <w:b/>
                <w:color w:val="000000"/>
                <w:lang w:val="en-US"/>
              </w:rPr>
              <w:t>(%)</w:t>
            </w:r>
          </w:p>
        </w:tc>
        <w:tc>
          <w:tcPr>
            <w:tcW w:w="811" w:type="dxa"/>
            <w:tcBorders>
              <w:top w:val="nil"/>
              <w:left w:val="nil"/>
              <w:bottom w:val="single" w:color="auto" w:sz="4" w:space="0"/>
              <w:right w:val="single" w:color="auto" w:sz="4" w:space="0"/>
            </w:tcBorders>
            <w:shd w:val="clear" w:color="auto" w:fill="auto"/>
            <w:vAlign w:val="center"/>
          </w:tcPr>
          <w:p w14:paraId="2BA402C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得分系数</w:t>
            </w:r>
            <w:r>
              <w:rPr>
                <w:rFonts w:hint="eastAsia" w:ascii="方正仿宋_GBK" w:hAnsi="方正仿宋_GBK" w:eastAsia="方正仿宋_GBK" w:cs="Times New Roman"/>
                <w:b/>
                <w:color w:val="000000"/>
                <w:lang w:val="en-US"/>
              </w:rPr>
              <w:t>(%)</w:t>
            </w:r>
          </w:p>
        </w:tc>
        <w:tc>
          <w:tcPr>
            <w:tcW w:w="586" w:type="dxa"/>
            <w:tcBorders>
              <w:top w:val="nil"/>
              <w:left w:val="nil"/>
              <w:bottom w:val="single" w:color="auto" w:sz="4" w:space="0"/>
              <w:right w:val="single" w:color="auto" w:sz="4" w:space="0"/>
            </w:tcBorders>
            <w:shd w:val="clear" w:color="auto" w:fill="auto"/>
            <w:vAlign w:val="center"/>
          </w:tcPr>
          <w:p w14:paraId="54C869D2">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指标权重</w:t>
            </w:r>
          </w:p>
        </w:tc>
        <w:tc>
          <w:tcPr>
            <w:tcW w:w="586" w:type="dxa"/>
            <w:tcBorders>
              <w:top w:val="nil"/>
              <w:left w:val="nil"/>
              <w:bottom w:val="single" w:color="auto" w:sz="4" w:space="0"/>
              <w:right w:val="single" w:color="auto" w:sz="4" w:space="0"/>
            </w:tcBorders>
            <w:shd w:val="clear" w:color="auto" w:fill="auto"/>
            <w:vAlign w:val="center"/>
          </w:tcPr>
          <w:p w14:paraId="61A6099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指标得分</w:t>
            </w:r>
          </w:p>
        </w:tc>
        <w:tc>
          <w:tcPr>
            <w:tcW w:w="772" w:type="dxa"/>
            <w:tcBorders>
              <w:top w:val="nil"/>
              <w:left w:val="nil"/>
              <w:bottom w:val="single" w:color="auto" w:sz="4" w:space="0"/>
              <w:right w:val="single" w:color="auto" w:sz="4" w:space="0"/>
            </w:tcBorders>
            <w:shd w:val="clear" w:color="auto" w:fill="auto"/>
            <w:vAlign w:val="center"/>
          </w:tcPr>
          <w:p w14:paraId="37D634A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是否核心指标</w:t>
            </w:r>
          </w:p>
        </w:tc>
        <w:tc>
          <w:tcPr>
            <w:tcW w:w="737" w:type="dxa"/>
            <w:tcBorders>
              <w:top w:val="single" w:color="auto" w:sz="4" w:space="0"/>
              <w:left w:val="nil"/>
              <w:bottom w:val="single" w:color="auto" w:sz="4" w:space="0"/>
              <w:right w:val="single" w:color="000000" w:sz="4" w:space="0"/>
            </w:tcBorders>
            <w:shd w:val="clear" w:color="auto" w:fill="auto"/>
            <w:vAlign w:val="center"/>
          </w:tcPr>
          <w:p w14:paraId="6BAEFB7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b/>
                <w:color w:val="000000"/>
              </w:rPr>
              <w:t>说明</w:t>
            </w:r>
          </w:p>
        </w:tc>
        <w:tc>
          <w:tcPr>
            <w:tcW w:w="737" w:type="dxa"/>
            <w:tcBorders>
              <w:top w:val="single" w:color="auto" w:sz="4" w:space="0"/>
              <w:left w:val="nil"/>
              <w:bottom w:val="single" w:color="auto" w:sz="4" w:space="0"/>
              <w:right w:val="single" w:color="000000" w:sz="4" w:space="0"/>
            </w:tcBorders>
            <w:shd w:val="clear" w:color="auto" w:fill="auto"/>
            <w:vAlign w:val="center"/>
          </w:tcPr>
          <w:p w14:paraId="69F994D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lang w:val="en-US"/>
              </w:rPr>
            </w:pPr>
            <w:r>
              <w:rPr>
                <w:rFonts w:hint="eastAsia" w:ascii="方正仿宋_GBK" w:hAnsi="方正仿宋_GBK" w:eastAsia="方正仿宋_GBK" w:cs="Times New Roman"/>
                <w:b/>
                <w:color w:val="000000"/>
              </w:rPr>
              <w:t>市财政局建议</w:t>
            </w:r>
          </w:p>
        </w:tc>
      </w:tr>
      <w:tr w14:paraId="4B70ABFD">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116283E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rPr>
              <w:t>全县孤儿人数</w:t>
            </w:r>
          </w:p>
        </w:tc>
        <w:tc>
          <w:tcPr>
            <w:tcW w:w="551" w:type="dxa"/>
            <w:tcBorders>
              <w:top w:val="nil"/>
              <w:left w:val="nil"/>
              <w:bottom w:val="single" w:color="auto" w:sz="4" w:space="0"/>
              <w:right w:val="single" w:color="auto" w:sz="4" w:space="0"/>
            </w:tcBorders>
            <w:shd w:val="clear" w:color="auto" w:fill="auto"/>
            <w:vAlign w:val="center"/>
          </w:tcPr>
          <w:p w14:paraId="62D956E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rPr>
              <w:t>人数</w:t>
            </w:r>
          </w:p>
        </w:tc>
        <w:tc>
          <w:tcPr>
            <w:tcW w:w="552" w:type="dxa"/>
            <w:tcBorders>
              <w:top w:val="nil"/>
              <w:left w:val="nil"/>
              <w:bottom w:val="single" w:color="auto" w:sz="4" w:space="0"/>
              <w:right w:val="single" w:color="auto" w:sz="4" w:space="0"/>
            </w:tcBorders>
            <w:shd w:val="clear" w:color="auto" w:fill="auto"/>
            <w:vAlign w:val="center"/>
          </w:tcPr>
          <w:p w14:paraId="2FBF956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7E4F39A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70</w:t>
            </w:r>
          </w:p>
        </w:tc>
        <w:tc>
          <w:tcPr>
            <w:tcW w:w="607" w:type="dxa"/>
            <w:tcBorders>
              <w:top w:val="nil"/>
              <w:left w:val="nil"/>
              <w:bottom w:val="single" w:color="auto" w:sz="4" w:space="0"/>
              <w:right w:val="single" w:color="auto" w:sz="4" w:space="0"/>
            </w:tcBorders>
            <w:shd w:val="clear" w:color="auto" w:fill="auto"/>
            <w:vAlign w:val="center"/>
          </w:tcPr>
          <w:p w14:paraId="4F4F8D0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76</w:t>
            </w:r>
          </w:p>
        </w:tc>
        <w:tc>
          <w:tcPr>
            <w:tcW w:w="607" w:type="dxa"/>
            <w:tcBorders>
              <w:top w:val="nil"/>
              <w:left w:val="nil"/>
              <w:bottom w:val="single" w:color="auto" w:sz="4" w:space="0"/>
              <w:right w:val="single" w:color="auto" w:sz="4" w:space="0"/>
            </w:tcBorders>
            <w:shd w:val="clear" w:color="auto" w:fill="auto"/>
            <w:vAlign w:val="center"/>
          </w:tcPr>
          <w:p w14:paraId="0301569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17E99D2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100</w:t>
            </w:r>
          </w:p>
        </w:tc>
        <w:tc>
          <w:tcPr>
            <w:tcW w:w="586" w:type="dxa"/>
            <w:tcBorders>
              <w:top w:val="nil"/>
              <w:left w:val="nil"/>
              <w:bottom w:val="single" w:color="auto" w:sz="4" w:space="0"/>
              <w:right w:val="single" w:color="auto" w:sz="4" w:space="0"/>
            </w:tcBorders>
            <w:shd w:val="clear" w:color="auto" w:fill="auto"/>
            <w:vAlign w:val="center"/>
          </w:tcPr>
          <w:p w14:paraId="3F0CD99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20</w:t>
            </w:r>
          </w:p>
        </w:tc>
        <w:tc>
          <w:tcPr>
            <w:tcW w:w="586" w:type="dxa"/>
            <w:tcBorders>
              <w:top w:val="nil"/>
              <w:left w:val="nil"/>
              <w:bottom w:val="single" w:color="auto" w:sz="4" w:space="0"/>
              <w:right w:val="single" w:color="auto" w:sz="4" w:space="0"/>
            </w:tcBorders>
            <w:shd w:val="clear" w:color="auto" w:fill="auto"/>
            <w:vAlign w:val="center"/>
          </w:tcPr>
          <w:p w14:paraId="73C9B1C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b/>
                <w:color w:val="000000"/>
                <w:lang w:val="en-US"/>
              </w:rPr>
            </w:pPr>
            <w:r>
              <w:rPr>
                <w:rFonts w:hint="eastAsia" w:ascii="方正仿宋_GBK" w:hAnsi="方正仿宋_GBK" w:eastAsia="方正仿宋_GBK" w:cs="Times New Roman"/>
                <w:color w:val="000000"/>
                <w:lang w:val="en-US"/>
              </w:rPr>
              <w:t>20</w:t>
            </w:r>
          </w:p>
        </w:tc>
        <w:tc>
          <w:tcPr>
            <w:tcW w:w="772" w:type="dxa"/>
            <w:tcBorders>
              <w:top w:val="nil"/>
              <w:left w:val="nil"/>
              <w:bottom w:val="single" w:color="auto" w:sz="4" w:space="0"/>
              <w:right w:val="single" w:color="auto" w:sz="4" w:space="0"/>
            </w:tcBorders>
            <w:shd w:val="clear" w:color="auto" w:fill="auto"/>
            <w:vAlign w:val="center"/>
          </w:tcPr>
          <w:p w14:paraId="5C0D392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3A4DF14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b/>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7DD8B7F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r>
      <w:tr w14:paraId="3B95F663">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0F50910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全县事实无人抚养儿童人数</w:t>
            </w:r>
          </w:p>
        </w:tc>
        <w:tc>
          <w:tcPr>
            <w:tcW w:w="551" w:type="dxa"/>
            <w:tcBorders>
              <w:top w:val="nil"/>
              <w:left w:val="nil"/>
              <w:bottom w:val="single" w:color="auto" w:sz="4" w:space="0"/>
              <w:right w:val="single" w:color="auto" w:sz="4" w:space="0"/>
            </w:tcBorders>
            <w:shd w:val="clear" w:color="auto" w:fill="auto"/>
            <w:vAlign w:val="center"/>
          </w:tcPr>
          <w:p w14:paraId="7F3D775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人数</w:t>
            </w:r>
          </w:p>
        </w:tc>
        <w:tc>
          <w:tcPr>
            <w:tcW w:w="552" w:type="dxa"/>
            <w:tcBorders>
              <w:top w:val="nil"/>
              <w:left w:val="nil"/>
              <w:bottom w:val="single" w:color="auto" w:sz="4" w:space="0"/>
              <w:right w:val="single" w:color="auto" w:sz="4" w:space="0"/>
            </w:tcBorders>
            <w:shd w:val="clear" w:color="auto" w:fill="auto"/>
            <w:vAlign w:val="center"/>
          </w:tcPr>
          <w:p w14:paraId="5F8999D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w:t>
            </w:r>
          </w:p>
        </w:tc>
        <w:tc>
          <w:tcPr>
            <w:tcW w:w="772" w:type="dxa"/>
            <w:tcBorders>
              <w:top w:val="nil"/>
              <w:left w:val="nil"/>
              <w:bottom w:val="single" w:color="auto" w:sz="4" w:space="0"/>
              <w:right w:val="single" w:color="auto" w:sz="4" w:space="0"/>
            </w:tcBorders>
            <w:shd w:val="clear" w:color="auto" w:fill="auto"/>
            <w:vAlign w:val="center"/>
          </w:tcPr>
          <w:p w14:paraId="3C5A628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85</w:t>
            </w:r>
          </w:p>
        </w:tc>
        <w:tc>
          <w:tcPr>
            <w:tcW w:w="607" w:type="dxa"/>
            <w:tcBorders>
              <w:top w:val="nil"/>
              <w:left w:val="nil"/>
              <w:bottom w:val="single" w:color="auto" w:sz="4" w:space="0"/>
              <w:right w:val="single" w:color="auto" w:sz="4" w:space="0"/>
            </w:tcBorders>
            <w:shd w:val="clear" w:color="auto" w:fill="auto"/>
            <w:vAlign w:val="center"/>
          </w:tcPr>
          <w:p w14:paraId="093CA6B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241</w:t>
            </w:r>
          </w:p>
        </w:tc>
        <w:tc>
          <w:tcPr>
            <w:tcW w:w="607" w:type="dxa"/>
            <w:tcBorders>
              <w:top w:val="nil"/>
              <w:left w:val="nil"/>
              <w:bottom w:val="single" w:color="auto" w:sz="4" w:space="0"/>
              <w:right w:val="single" w:color="auto" w:sz="4" w:space="0"/>
            </w:tcBorders>
            <w:shd w:val="clear" w:color="auto" w:fill="auto"/>
            <w:vAlign w:val="center"/>
          </w:tcPr>
          <w:p w14:paraId="77A79B9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57BF9D6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86" w:type="dxa"/>
            <w:tcBorders>
              <w:top w:val="nil"/>
              <w:left w:val="nil"/>
              <w:bottom w:val="single" w:color="auto" w:sz="4" w:space="0"/>
              <w:right w:val="single" w:color="auto" w:sz="4" w:space="0"/>
            </w:tcBorders>
            <w:shd w:val="clear" w:color="auto" w:fill="auto"/>
            <w:vAlign w:val="center"/>
          </w:tcPr>
          <w:p w14:paraId="3BDF53E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30</w:t>
            </w:r>
          </w:p>
        </w:tc>
        <w:tc>
          <w:tcPr>
            <w:tcW w:w="586" w:type="dxa"/>
            <w:tcBorders>
              <w:top w:val="nil"/>
              <w:left w:val="nil"/>
              <w:bottom w:val="single" w:color="auto" w:sz="4" w:space="0"/>
              <w:right w:val="single" w:color="auto" w:sz="4" w:space="0"/>
            </w:tcBorders>
            <w:shd w:val="clear" w:color="auto" w:fill="auto"/>
            <w:vAlign w:val="center"/>
          </w:tcPr>
          <w:p w14:paraId="422FD82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30</w:t>
            </w:r>
          </w:p>
        </w:tc>
        <w:tc>
          <w:tcPr>
            <w:tcW w:w="772" w:type="dxa"/>
            <w:tcBorders>
              <w:top w:val="nil"/>
              <w:left w:val="nil"/>
              <w:bottom w:val="single" w:color="auto" w:sz="4" w:space="0"/>
              <w:right w:val="single" w:color="auto" w:sz="4" w:space="0"/>
            </w:tcBorders>
            <w:shd w:val="clear" w:color="auto" w:fill="auto"/>
            <w:vAlign w:val="center"/>
          </w:tcPr>
          <w:p w14:paraId="779639E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6E7BEC77">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702E7D5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r>
      <w:tr w14:paraId="2AFEE32A">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7FB9D90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保障孤儿、事实无人扶养儿童基本生活权利</w:t>
            </w:r>
          </w:p>
        </w:tc>
        <w:tc>
          <w:tcPr>
            <w:tcW w:w="551" w:type="dxa"/>
            <w:tcBorders>
              <w:top w:val="nil"/>
              <w:left w:val="nil"/>
              <w:bottom w:val="single" w:color="auto" w:sz="4" w:space="0"/>
              <w:right w:val="single" w:color="auto" w:sz="4" w:space="0"/>
            </w:tcBorders>
            <w:shd w:val="clear" w:color="auto" w:fill="auto"/>
            <w:vAlign w:val="center"/>
          </w:tcPr>
          <w:p w14:paraId="665FFE1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552" w:type="dxa"/>
            <w:tcBorders>
              <w:top w:val="nil"/>
              <w:left w:val="nil"/>
              <w:bottom w:val="single" w:color="auto" w:sz="4" w:space="0"/>
              <w:right w:val="single" w:color="auto" w:sz="4" w:space="0"/>
            </w:tcBorders>
            <w:shd w:val="clear" w:color="auto" w:fill="auto"/>
            <w:vAlign w:val="center"/>
          </w:tcPr>
          <w:p w14:paraId="4344DBB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定性</w:t>
            </w:r>
          </w:p>
        </w:tc>
        <w:tc>
          <w:tcPr>
            <w:tcW w:w="772" w:type="dxa"/>
            <w:tcBorders>
              <w:top w:val="nil"/>
              <w:left w:val="nil"/>
              <w:bottom w:val="single" w:color="auto" w:sz="4" w:space="0"/>
              <w:right w:val="single" w:color="auto" w:sz="4" w:space="0"/>
            </w:tcBorders>
            <w:shd w:val="clear" w:color="auto" w:fill="auto"/>
            <w:vAlign w:val="center"/>
          </w:tcPr>
          <w:p w14:paraId="6BCC8958">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好</w:t>
            </w:r>
          </w:p>
        </w:tc>
        <w:tc>
          <w:tcPr>
            <w:tcW w:w="607" w:type="dxa"/>
            <w:tcBorders>
              <w:top w:val="nil"/>
              <w:left w:val="nil"/>
              <w:bottom w:val="single" w:color="auto" w:sz="4" w:space="0"/>
              <w:right w:val="single" w:color="auto" w:sz="4" w:space="0"/>
            </w:tcBorders>
            <w:shd w:val="clear" w:color="auto" w:fill="auto"/>
            <w:vAlign w:val="center"/>
          </w:tcPr>
          <w:p w14:paraId="2EB7C8F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w:t>
            </w:r>
          </w:p>
        </w:tc>
        <w:tc>
          <w:tcPr>
            <w:tcW w:w="607" w:type="dxa"/>
            <w:tcBorders>
              <w:top w:val="nil"/>
              <w:left w:val="nil"/>
              <w:bottom w:val="single" w:color="auto" w:sz="4" w:space="0"/>
              <w:right w:val="single" w:color="auto" w:sz="4" w:space="0"/>
            </w:tcBorders>
            <w:shd w:val="clear" w:color="auto" w:fill="auto"/>
            <w:vAlign w:val="center"/>
          </w:tcPr>
          <w:p w14:paraId="5CC24DCA">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3EA3028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86" w:type="dxa"/>
            <w:tcBorders>
              <w:top w:val="nil"/>
              <w:left w:val="nil"/>
              <w:bottom w:val="single" w:color="auto" w:sz="4" w:space="0"/>
              <w:right w:val="single" w:color="auto" w:sz="4" w:space="0"/>
            </w:tcBorders>
            <w:shd w:val="clear" w:color="auto" w:fill="auto"/>
            <w:vAlign w:val="center"/>
          </w:tcPr>
          <w:p w14:paraId="62BB248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30</w:t>
            </w:r>
          </w:p>
        </w:tc>
        <w:tc>
          <w:tcPr>
            <w:tcW w:w="586" w:type="dxa"/>
            <w:tcBorders>
              <w:top w:val="nil"/>
              <w:left w:val="nil"/>
              <w:bottom w:val="single" w:color="auto" w:sz="4" w:space="0"/>
              <w:right w:val="single" w:color="auto" w:sz="4" w:space="0"/>
            </w:tcBorders>
            <w:shd w:val="clear" w:color="auto" w:fill="auto"/>
            <w:vAlign w:val="center"/>
          </w:tcPr>
          <w:p w14:paraId="5F8E1A3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30</w:t>
            </w:r>
          </w:p>
        </w:tc>
        <w:tc>
          <w:tcPr>
            <w:tcW w:w="772" w:type="dxa"/>
            <w:tcBorders>
              <w:top w:val="nil"/>
              <w:left w:val="nil"/>
              <w:bottom w:val="single" w:color="auto" w:sz="4" w:space="0"/>
              <w:right w:val="single" w:color="auto" w:sz="4" w:space="0"/>
            </w:tcBorders>
            <w:shd w:val="clear" w:color="auto" w:fill="auto"/>
            <w:vAlign w:val="center"/>
          </w:tcPr>
          <w:p w14:paraId="2E9D58C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61E822D3">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0B0B3624">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r>
      <w:tr w14:paraId="7A9ED6A0">
        <w:tblPrEx>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14:paraId="33BAB7E0">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救助对象满意度</w:t>
            </w:r>
          </w:p>
        </w:tc>
        <w:tc>
          <w:tcPr>
            <w:tcW w:w="551" w:type="dxa"/>
            <w:tcBorders>
              <w:top w:val="nil"/>
              <w:left w:val="nil"/>
              <w:bottom w:val="single" w:color="auto" w:sz="4" w:space="0"/>
              <w:right w:val="single" w:color="auto" w:sz="4" w:space="0"/>
            </w:tcBorders>
            <w:shd w:val="clear" w:color="auto" w:fill="auto"/>
            <w:vAlign w:val="center"/>
          </w:tcPr>
          <w:p w14:paraId="5641119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552" w:type="dxa"/>
            <w:tcBorders>
              <w:top w:val="nil"/>
              <w:left w:val="nil"/>
              <w:bottom w:val="single" w:color="auto" w:sz="4" w:space="0"/>
              <w:right w:val="single" w:color="auto" w:sz="4" w:space="0"/>
            </w:tcBorders>
            <w:shd w:val="clear" w:color="auto" w:fill="auto"/>
            <w:vAlign w:val="center"/>
          </w:tcPr>
          <w:p w14:paraId="49C4DB6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定性</w:t>
            </w:r>
          </w:p>
        </w:tc>
        <w:tc>
          <w:tcPr>
            <w:tcW w:w="772" w:type="dxa"/>
            <w:tcBorders>
              <w:top w:val="nil"/>
              <w:left w:val="nil"/>
              <w:bottom w:val="single" w:color="auto" w:sz="4" w:space="0"/>
              <w:right w:val="single" w:color="auto" w:sz="4" w:space="0"/>
            </w:tcBorders>
            <w:shd w:val="clear" w:color="auto" w:fill="auto"/>
            <w:vAlign w:val="center"/>
          </w:tcPr>
          <w:p w14:paraId="7C5DA10F">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rPr>
              <w:t>好</w:t>
            </w:r>
          </w:p>
        </w:tc>
        <w:tc>
          <w:tcPr>
            <w:tcW w:w="607" w:type="dxa"/>
            <w:tcBorders>
              <w:top w:val="nil"/>
              <w:left w:val="nil"/>
              <w:bottom w:val="single" w:color="auto" w:sz="4" w:space="0"/>
              <w:right w:val="single" w:color="auto" w:sz="4" w:space="0"/>
            </w:tcBorders>
            <w:shd w:val="clear" w:color="auto" w:fill="auto"/>
            <w:vAlign w:val="center"/>
          </w:tcPr>
          <w:p w14:paraId="75BECA6B">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w:t>
            </w:r>
          </w:p>
        </w:tc>
        <w:tc>
          <w:tcPr>
            <w:tcW w:w="607" w:type="dxa"/>
            <w:tcBorders>
              <w:top w:val="nil"/>
              <w:left w:val="nil"/>
              <w:bottom w:val="single" w:color="auto" w:sz="4" w:space="0"/>
              <w:right w:val="single" w:color="auto" w:sz="4" w:space="0"/>
            </w:tcBorders>
            <w:shd w:val="clear" w:color="auto" w:fill="auto"/>
            <w:vAlign w:val="center"/>
          </w:tcPr>
          <w:p w14:paraId="2B00815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0</w:t>
            </w:r>
          </w:p>
        </w:tc>
        <w:tc>
          <w:tcPr>
            <w:tcW w:w="811" w:type="dxa"/>
            <w:tcBorders>
              <w:top w:val="nil"/>
              <w:left w:val="nil"/>
              <w:bottom w:val="single" w:color="auto" w:sz="4" w:space="0"/>
              <w:right w:val="single" w:color="auto" w:sz="4" w:space="0"/>
            </w:tcBorders>
            <w:shd w:val="clear" w:color="auto" w:fill="auto"/>
            <w:vAlign w:val="center"/>
          </w:tcPr>
          <w:p w14:paraId="426CFB96">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100</w:t>
            </w:r>
          </w:p>
        </w:tc>
        <w:tc>
          <w:tcPr>
            <w:tcW w:w="586" w:type="dxa"/>
            <w:tcBorders>
              <w:top w:val="nil"/>
              <w:left w:val="nil"/>
              <w:bottom w:val="single" w:color="auto" w:sz="4" w:space="0"/>
              <w:right w:val="single" w:color="auto" w:sz="4" w:space="0"/>
            </w:tcBorders>
            <w:shd w:val="clear" w:color="auto" w:fill="auto"/>
            <w:vAlign w:val="center"/>
          </w:tcPr>
          <w:p w14:paraId="68ED3F2D">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586" w:type="dxa"/>
            <w:tcBorders>
              <w:top w:val="nil"/>
              <w:left w:val="nil"/>
              <w:bottom w:val="single" w:color="auto" w:sz="4" w:space="0"/>
              <w:right w:val="single" w:color="auto" w:sz="4" w:space="0"/>
            </w:tcBorders>
            <w:shd w:val="clear" w:color="auto" w:fill="auto"/>
            <w:vAlign w:val="center"/>
          </w:tcPr>
          <w:p w14:paraId="2A849B2C">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textAlignment w:val="center"/>
              <w:outlineLvl w:val="9"/>
              <w:rPr>
                <w:rFonts w:hint="eastAsia" w:ascii="方正仿宋_GBK" w:hAnsi="方正仿宋_GBK" w:eastAsia="方正仿宋_GBK" w:cs="Times New Roman"/>
                <w:color w:val="000000"/>
                <w:lang w:val="en-US"/>
              </w:rPr>
            </w:pPr>
            <w:r>
              <w:rPr>
                <w:rFonts w:hint="eastAsia" w:ascii="方正仿宋_GBK" w:hAnsi="方正仿宋_GBK" w:eastAsia="方正仿宋_GBK" w:cs="Times New Roman"/>
                <w:color w:val="000000"/>
                <w:lang w:val="en-US"/>
              </w:rPr>
              <w:t>10</w:t>
            </w:r>
          </w:p>
        </w:tc>
        <w:tc>
          <w:tcPr>
            <w:tcW w:w="772" w:type="dxa"/>
            <w:tcBorders>
              <w:top w:val="nil"/>
              <w:left w:val="nil"/>
              <w:bottom w:val="single" w:color="auto" w:sz="4" w:space="0"/>
              <w:right w:val="single" w:color="auto" w:sz="4" w:space="0"/>
            </w:tcBorders>
            <w:shd w:val="clear" w:color="auto" w:fill="auto"/>
            <w:vAlign w:val="center"/>
          </w:tcPr>
          <w:p w14:paraId="20E42439">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0B900BAE">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color w:val="000000"/>
                <w:lang w:val="en-US"/>
              </w:rPr>
            </w:pPr>
          </w:p>
        </w:tc>
        <w:tc>
          <w:tcPr>
            <w:tcW w:w="737" w:type="dxa"/>
            <w:tcBorders>
              <w:top w:val="single" w:color="auto" w:sz="4" w:space="0"/>
              <w:left w:val="nil"/>
              <w:bottom w:val="single" w:color="auto" w:sz="4" w:space="0"/>
              <w:right w:val="single" w:color="000000" w:sz="4" w:space="0"/>
            </w:tcBorders>
            <w:shd w:val="clear" w:color="auto" w:fill="auto"/>
            <w:vAlign w:val="center"/>
          </w:tcPr>
          <w:p w14:paraId="24AB8331">
            <w:pPr>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280" w:lineRule="exact"/>
              <w:jc w:val="center"/>
              <w:outlineLvl w:val="9"/>
              <w:rPr>
                <w:rFonts w:hint="eastAsia" w:ascii="方正仿宋_GBK" w:hAnsi="方正仿宋_GBK" w:eastAsia="方正仿宋_GBK" w:cs="Times New Roman"/>
                <w:lang w:val="en-US"/>
              </w:rPr>
            </w:pPr>
          </w:p>
        </w:tc>
      </w:tr>
    </w:tbl>
    <w:p w14:paraId="6E63769A">
      <w:pPr>
        <w:pStyle w:val="8"/>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b/>
          <w:sz w:val="32"/>
          <w:szCs w:val="32"/>
          <w:lang w:val="en-US"/>
        </w:rPr>
      </w:pPr>
      <w:r>
        <w:rPr>
          <w:rStyle w:val="9"/>
          <w:rFonts w:hint="eastAsia" w:ascii="方正仿宋_GBK" w:hAnsi="方正仿宋_GBK" w:eastAsia="方正仿宋_GBK" w:cs="方正仿宋_GBK"/>
          <w:sz w:val="32"/>
          <w:szCs w:val="32"/>
          <w:shd w:val="clear" w:fill="FFFFFF"/>
          <w:lang w:val="en-US"/>
        </w:rPr>
        <w:t>2.</w:t>
      </w:r>
      <w:r>
        <w:rPr>
          <w:rStyle w:val="9"/>
          <w:rFonts w:hint="eastAsia" w:ascii="方正仿宋_GBK" w:hAnsi="方正仿宋_GBK" w:eastAsia="方正仿宋_GBK" w:cs="方正仿宋_GBK"/>
          <w:sz w:val="32"/>
          <w:szCs w:val="32"/>
          <w:shd w:val="clear" w:fill="FFFFFF"/>
          <w:lang w:eastAsia="zh-CN"/>
        </w:rPr>
        <w:t>绩效自评报告或案例</w:t>
      </w:r>
    </w:p>
    <w:p w14:paraId="65A62077">
      <w:pPr>
        <w:pStyle w:val="8"/>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我单位未委托第三方开展绩效自评。</w:t>
      </w:r>
    </w:p>
    <w:p w14:paraId="3CBC1FA8">
      <w:pPr>
        <w:pStyle w:val="8"/>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9"/>
          <w:rFonts w:hint="eastAsia" w:ascii="方正仿宋_GBK" w:hAnsi="方正仿宋_GBK" w:eastAsia="方正仿宋_GBK" w:cs="方正仿宋_GBK"/>
          <w:sz w:val="32"/>
          <w:szCs w:val="32"/>
          <w:shd w:val="clear" w:fill="FFFFFF"/>
          <w:lang w:val="en-US"/>
        </w:rPr>
        <w:t>3.</w:t>
      </w:r>
      <w:r>
        <w:rPr>
          <w:rStyle w:val="9"/>
          <w:rFonts w:hint="eastAsia" w:ascii="方正仿宋_GBK" w:hAnsi="方正仿宋_GBK" w:eastAsia="方正仿宋_GBK" w:cs="方正仿宋_GBK"/>
          <w:sz w:val="32"/>
          <w:szCs w:val="32"/>
          <w:shd w:val="clear" w:fill="FFFFFF"/>
          <w:lang w:eastAsia="zh-CN"/>
        </w:rPr>
        <w:t>关于绩效自评结果的说明</w:t>
      </w:r>
    </w:p>
    <w:p w14:paraId="69067EED">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fill="FFFFFF"/>
          <w:lang w:eastAsia="zh-CN"/>
        </w:rPr>
        <w:t>我单位绩效自评均已完成年度绩效目标。</w:t>
      </w:r>
    </w:p>
    <w:p w14:paraId="3068CA04">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楷体_GBK" w:hAnsi="方正楷体_GBK" w:eastAsia="方正楷体_GBK" w:cs="方正楷体_GBK"/>
          <w:b w:val="0"/>
          <w:shd w:val="clear" w:fill="FFFFFF"/>
          <w:lang w:val="en-US"/>
        </w:rPr>
      </w:pPr>
      <w:r>
        <w:rPr>
          <w:rStyle w:val="6"/>
          <w:rFonts w:hint="eastAsia" w:ascii="方正楷体_GBK" w:hAnsi="方正楷体_GBK" w:eastAsia="方正楷体_GBK" w:cs="方正楷体_GBK"/>
          <w:b w:val="0"/>
          <w:sz w:val="32"/>
          <w:szCs w:val="32"/>
          <w:shd w:val="clear" w:fill="FFFFFF"/>
          <w:lang w:eastAsia="zh-CN"/>
        </w:rPr>
        <w:t>（三）重点绩效评价结果</w:t>
      </w:r>
    </w:p>
    <w:p w14:paraId="5ADA6A80">
      <w:pPr>
        <w:pStyle w:val="5"/>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lang w:val="en-US"/>
        </w:rPr>
      </w:pPr>
      <w:r>
        <w:rPr>
          <w:rFonts w:hint="eastAsia" w:ascii="方正仿宋_GBK" w:hAnsi="方正仿宋_GBK" w:eastAsia="方正仿宋_GBK" w:cs="方正仿宋_GBK"/>
          <w:sz w:val="32"/>
          <w:szCs w:val="32"/>
          <w:shd w:val="clear" w:fill="FFFFFF"/>
          <w:lang w:eastAsia="zh-CN"/>
        </w:rPr>
        <w:t>我单位未委托第三方开展重点绩效评价。</w:t>
      </w:r>
    </w:p>
    <w:p w14:paraId="79EB0C42">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六、专业名词解释</w:t>
      </w:r>
    </w:p>
    <w:p w14:paraId="652C4595">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（一）财政拨款收入</w:t>
      </w:r>
      <w:r>
        <w:rPr>
          <w:rFonts w:hint="eastAsia" w:ascii="方正仿宋_GBK" w:hAnsi="方正仿宋_GBK" w:eastAsia="方正仿宋_GBK" w:cs="方正仿宋_GBK"/>
          <w:sz w:val="32"/>
          <w:szCs w:val="32"/>
          <w:shd w:val="clear" w:fill="FFFFFF"/>
          <w:lang w:eastAsia="zh-CN"/>
        </w:rPr>
        <w:t>：指本年度从本级财政部门取得的财政拨款，包括一般公共预算财政拨款和政府性基金预算财政拨款。</w:t>
      </w:r>
    </w:p>
    <w:p w14:paraId="0AFFA279">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（二）事业收入</w:t>
      </w:r>
      <w:r>
        <w:rPr>
          <w:rFonts w:hint="eastAsia" w:ascii="方正仿宋_GBK" w:hAnsi="方正仿宋_GBK" w:eastAsia="方正仿宋_GBK" w:cs="方正仿宋_GBK"/>
          <w:sz w:val="32"/>
          <w:szCs w:val="32"/>
          <w:shd w:val="clear" w:fill="FFFFFF"/>
          <w:lang w:eastAsia="zh-CN"/>
        </w:rPr>
        <w:t>：指事业单位开展专业业务活动及其辅助活动取得的现金流入；事业单位收到的财政专户实际核拨的教育收费等资金在此反映。</w:t>
      </w:r>
    </w:p>
    <w:p w14:paraId="48099BD5">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（三）经营收入</w:t>
      </w:r>
      <w:r>
        <w:rPr>
          <w:rFonts w:hint="eastAsia" w:ascii="方正仿宋_GBK" w:hAnsi="方正仿宋_GBK" w:eastAsia="方正仿宋_GBK" w:cs="方正仿宋_GBK"/>
          <w:sz w:val="32"/>
          <w:szCs w:val="32"/>
          <w:shd w:val="clear" w:fill="FFFFFF"/>
          <w:lang w:eastAsia="zh-CN"/>
        </w:rPr>
        <w:t>：指事业单位在专业业务活动及其辅助活动之外开展非独立核算经营活动取得的现金流入。</w:t>
      </w:r>
    </w:p>
    <w:p w14:paraId="761EC7BD">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（四）其他收入</w:t>
      </w:r>
      <w:r>
        <w:rPr>
          <w:rFonts w:hint="eastAsia" w:ascii="方正仿宋_GBK" w:hAnsi="方正仿宋_GBK" w:eastAsia="方正仿宋_GBK" w:cs="方正仿宋_GBK"/>
          <w:sz w:val="32"/>
          <w:szCs w:val="32"/>
          <w:shd w:val="clear"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7A01F6">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（五）使用非财政拨款结余</w:t>
      </w:r>
      <w:r>
        <w:rPr>
          <w:rFonts w:hint="eastAsia" w:ascii="方正仿宋_GBK" w:hAnsi="方正仿宋_GBK" w:eastAsia="方正仿宋_GBK" w:cs="方正仿宋_GBK"/>
          <w:sz w:val="32"/>
          <w:szCs w:val="32"/>
          <w:shd w:val="clear" w:fill="FFFFFF"/>
          <w:lang w:eastAsia="zh-CN"/>
        </w:rPr>
        <w:t>：指单位在当年的“财政拨款收入”、“事业收入”、“经营收入”、“其他收入”等不足以安排当年支出的情况下，使用以前年度积累的非财政拨款结余弥补本年度收支缺口的资金。</w:t>
      </w:r>
    </w:p>
    <w:p w14:paraId="3262ADC4">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（六）年初结转和结余</w:t>
      </w:r>
      <w:r>
        <w:rPr>
          <w:rFonts w:hint="eastAsia" w:ascii="方正仿宋_GBK" w:hAnsi="方正仿宋_GBK" w:eastAsia="方正仿宋_GBK" w:cs="方正仿宋_GBK"/>
          <w:sz w:val="32"/>
          <w:szCs w:val="32"/>
          <w:shd w:val="clear" w:fill="FFFFFF"/>
          <w:lang w:eastAsia="zh-CN"/>
        </w:rPr>
        <w:t>：指单位上年结转本年使用的基本支出结转、项目支出结转和结余、经营结余。</w:t>
      </w:r>
    </w:p>
    <w:p w14:paraId="40967836">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（七）结余分配</w:t>
      </w:r>
      <w:r>
        <w:rPr>
          <w:rFonts w:hint="eastAsia" w:ascii="方正仿宋_GBK" w:hAnsi="方正仿宋_GBK" w:eastAsia="方正仿宋_GBK" w:cs="方正仿宋_GBK"/>
          <w:sz w:val="32"/>
          <w:szCs w:val="32"/>
          <w:shd w:val="clear" w:fill="FFFFFF"/>
          <w:lang w:eastAsia="zh-CN"/>
        </w:rPr>
        <w:t>：指单位按照国家有关规定，缴纳所得税、提取专用基金、转入非财政拨款结余等当年结余的分配情况。</w:t>
      </w:r>
    </w:p>
    <w:p w14:paraId="6938E7AF">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（八）年末结转和结余</w:t>
      </w:r>
      <w:r>
        <w:rPr>
          <w:rFonts w:hint="eastAsia" w:ascii="方正仿宋_GBK" w:hAnsi="方正仿宋_GBK" w:eastAsia="方正仿宋_GBK" w:cs="方正仿宋_GBK"/>
          <w:sz w:val="32"/>
          <w:szCs w:val="32"/>
          <w:shd w:val="clear" w:fill="FFFFFF"/>
          <w:lang w:eastAsia="zh-CN"/>
        </w:rPr>
        <w:t>：指单位结转下年的基本支出结转、项目支出结转和结余、经营结余。</w:t>
      </w:r>
    </w:p>
    <w:p w14:paraId="6BF89607">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（九）基本支出</w:t>
      </w:r>
      <w:r>
        <w:rPr>
          <w:rFonts w:hint="eastAsia" w:ascii="方正仿宋_GBK" w:hAnsi="方正仿宋_GBK" w:eastAsia="方正仿宋_GBK" w:cs="方正仿宋_GBK"/>
          <w:sz w:val="32"/>
          <w:szCs w:val="32"/>
          <w:shd w:val="clear"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EDF82E">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（十）项目支出</w:t>
      </w:r>
      <w:r>
        <w:rPr>
          <w:rFonts w:hint="eastAsia" w:ascii="方正仿宋_GBK" w:hAnsi="方正仿宋_GBK" w:eastAsia="方正仿宋_GBK" w:cs="方正仿宋_GBK"/>
          <w:sz w:val="32"/>
          <w:szCs w:val="32"/>
          <w:shd w:val="clear" w:fill="FFFFFF"/>
          <w:lang w:eastAsia="zh-CN"/>
        </w:rPr>
        <w:t>：指在基本支出之外为完成特定行政任务和事业发展目标所发生的支出。</w:t>
      </w:r>
    </w:p>
    <w:p w14:paraId="016A0C5B">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（十一）经营支出</w:t>
      </w:r>
      <w:r>
        <w:rPr>
          <w:rFonts w:hint="eastAsia" w:ascii="方正仿宋_GBK" w:hAnsi="方正仿宋_GBK" w:eastAsia="方正仿宋_GBK" w:cs="方正仿宋_GBK"/>
          <w:sz w:val="32"/>
          <w:szCs w:val="32"/>
          <w:shd w:val="clear" w:fill="FFFFFF"/>
          <w:lang w:eastAsia="zh-CN"/>
        </w:rPr>
        <w:t>：指事业单位在专业业务活动及其辅助活动之外开展非独立核算经营活动发生的支出。</w:t>
      </w:r>
    </w:p>
    <w:p w14:paraId="4D7617D6">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（十二）“三公”经费</w:t>
      </w:r>
      <w:r>
        <w:rPr>
          <w:rFonts w:hint="eastAsia" w:ascii="方正仿宋_GBK" w:hAnsi="方正仿宋_GBK" w:eastAsia="方正仿宋_GBK" w:cs="方正仿宋_GBK"/>
          <w:sz w:val="32"/>
          <w:szCs w:val="32"/>
          <w:shd w:val="clear" w:fill="FFFFFF"/>
          <w:lang w:eastAsia="zh-CN"/>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39AE4D">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（十三）机关运行经费</w:t>
      </w:r>
      <w:r>
        <w:rPr>
          <w:rFonts w:hint="eastAsia" w:ascii="方正仿宋_GBK" w:hAnsi="方正仿宋_GBK" w:eastAsia="方正仿宋_GBK" w:cs="方正仿宋_GBK"/>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9F8FB1">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（十四）工资福利支出（支出经济分类科目类级）</w:t>
      </w:r>
      <w:r>
        <w:rPr>
          <w:rFonts w:hint="eastAsia" w:ascii="方正仿宋_GBK" w:hAnsi="方正仿宋_GBK" w:eastAsia="方正仿宋_GBK" w:cs="方正仿宋_GBK"/>
          <w:sz w:val="32"/>
          <w:szCs w:val="32"/>
          <w:shd w:val="clear" w:fill="FFFFFF"/>
          <w:lang w:eastAsia="zh-CN"/>
        </w:rPr>
        <w:t>：反映单位开支的在职职工和编制外长期聘用人员的各类劳动报酬，以及为上述人员缴纳的各项社会保险费等。</w:t>
      </w:r>
    </w:p>
    <w:p w14:paraId="612C250C">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（十五）商品和服务支出（支出经济分类科目类级</w:t>
      </w:r>
      <w:r>
        <w:rPr>
          <w:rStyle w:val="7"/>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eastAsia="zh-CN"/>
        </w:rPr>
        <w:t>：反映单位购买商品和服务的支出（不包括用于购置固定资产的支出、战略性和应急储备支出）。</w:t>
      </w:r>
    </w:p>
    <w:p w14:paraId="4BEFB09A">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（十六）对个人和家庭的补助（支出经济分类科目类级）</w:t>
      </w:r>
      <w:r>
        <w:rPr>
          <w:rFonts w:hint="eastAsia" w:ascii="方正仿宋_GBK" w:hAnsi="方正仿宋_GBK" w:eastAsia="方正仿宋_GBK" w:cs="方正仿宋_GBK"/>
          <w:sz w:val="32"/>
          <w:szCs w:val="32"/>
          <w:shd w:val="clear" w:fill="FFFFFF"/>
          <w:lang w:eastAsia="zh-CN"/>
        </w:rPr>
        <w:t>：反映用于对个人和家庭的补助支出。</w:t>
      </w:r>
    </w:p>
    <w:p w14:paraId="7825A5A5">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3" w:firstLineChars="200"/>
        <w:outlineLvl w:val="9"/>
        <w:rPr>
          <w:rFonts w:hint="eastAsia" w:ascii="方正仿宋_GBK" w:hAnsi="方正仿宋_GBK" w:eastAsia="方正仿宋_GBK" w:cs="方正仿宋_GBK"/>
          <w:sz w:val="32"/>
          <w:szCs w:val="32"/>
          <w:lang w:val="en-US"/>
        </w:rPr>
      </w:pPr>
      <w:r>
        <w:rPr>
          <w:rStyle w:val="7"/>
          <w:rFonts w:hint="eastAsia" w:ascii="方正仿宋_GBK" w:hAnsi="方正仿宋_GBK" w:eastAsia="方正仿宋_GBK" w:cs="方正仿宋_GBK"/>
          <w:sz w:val="32"/>
          <w:szCs w:val="32"/>
          <w:shd w:val="clear" w:fill="FFFFFF"/>
          <w:lang w:eastAsia="zh-CN"/>
        </w:rPr>
        <w:t>（十七）其他资本性支出（支出经济分类科目类级</w:t>
      </w:r>
      <w:r>
        <w:rPr>
          <w:rStyle w:val="7"/>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14:paraId="747ACB41">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sz w:val="32"/>
          <w:szCs w:val="32"/>
          <w:lang w:val="en-US"/>
        </w:rPr>
      </w:pPr>
      <w:r>
        <w:rPr>
          <w:rStyle w:val="7"/>
          <w:rFonts w:hint="eastAsia" w:ascii="黑体" w:hAnsi="宋体" w:eastAsia="黑体" w:cs="黑体"/>
          <w:b w:val="0"/>
          <w:sz w:val="32"/>
          <w:szCs w:val="32"/>
          <w:shd w:val="clear" w:fill="FFFFFF"/>
          <w:lang w:eastAsia="zh-CN"/>
        </w:rPr>
        <w:t>七、决算公开联系方式及信息反馈渠道</w:t>
      </w:r>
    </w:p>
    <w:p w14:paraId="1F8BA050">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fill="FFFFFF"/>
          <w:lang w:eastAsia="zh-CN"/>
        </w:rPr>
        <w:t>本单位决算公开信息反馈和联系方式：</w:t>
      </w:r>
    </w:p>
    <w:p w14:paraId="67022271">
      <w:pPr>
        <w:pStyle w:val="2"/>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王小华</w:t>
      </w:r>
      <w:r>
        <w:rPr>
          <w:rFonts w:hint="eastAsia" w:ascii="方正仿宋_GBK" w:hAnsi="方正仿宋_GBK" w:eastAsia="方正仿宋_GBK" w:cs="方正仿宋_GBK"/>
          <w:sz w:val="32"/>
          <w:szCs w:val="32"/>
          <w:shd w:val="clear" w:fill="FFFFFF"/>
          <w:lang w:val="en-US"/>
        </w:rPr>
        <w:t xml:space="preserve">   023-70605276</w:t>
      </w:r>
    </w:p>
    <w:p w14:paraId="25139DEE">
      <w:pPr>
        <w:keepNext w:val="0"/>
        <w:keepLines w:val="0"/>
        <w:pageBreakBefore w:val="0"/>
        <w:kinsoku/>
        <w:wordWrap w:val="0"/>
        <w:overflowPunct/>
        <w:topLinePunct/>
        <w:autoSpaceDE/>
        <w:autoSpaceDN/>
        <w:bidi w:val="0"/>
        <w:adjustRightInd w:val="0"/>
        <w:snapToGrid w:val="0"/>
        <w:spacing w:beforeAutospacing="0" w:afterAutospacing="0" w:line="560" w:lineRule="exact"/>
        <w:outlineLvl w:val="9"/>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2C7C7EEE"/>
    <w:rsid w:val="3E525D76"/>
    <w:rsid w:val="65EE20A0"/>
    <w:rsid w:val="7579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6"/>
    <w:basedOn w:val="4"/>
    <w:qFormat/>
    <w:uiPriority w:val="0"/>
    <w:rPr>
      <w:rFonts w:hint="default" w:ascii="Times New Roman" w:hAnsi="Times New Roman" w:cs="Times New Roman"/>
      <w:b/>
    </w:rPr>
  </w:style>
  <w:style w:type="character" w:customStyle="1" w:styleId="7">
    <w:name w:val="15"/>
    <w:basedOn w:val="4"/>
    <w:qFormat/>
    <w:uiPriority w:val="0"/>
    <w:rPr>
      <w:rFonts w:hint="default" w:ascii="Times New Roman" w:hAnsi="Times New Roman" w:cs="Times New Roman"/>
      <w:b/>
    </w:rPr>
  </w:style>
  <w:style w:type="paragraph" w:customStyle="1" w:styleId="8">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7"/>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6827</Words>
  <Characters>7652</Characters>
  <Lines>0</Lines>
  <Paragraphs>0</Paragraphs>
  <TotalTime>4</TotalTime>
  <ScaleCrop>false</ScaleCrop>
  <LinksUpToDate>false</LinksUpToDate>
  <CharactersWithSpaces>7665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2024-12-25T10:00:51Z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EB04C9CEA305459AA796C86B5CA549B1_12</vt:lpwstr>
  </property>
  <property fmtid="{D5CDD505-2E9C-101B-9397-08002B2CF9AE}" pid="4" name="KSOTemplateDocerSaveRecord">
    <vt:lpwstr>eyJoZGlkIjoiZDRlMTI0ZmZkNWVkNDk2ZTg4NWYwOTQyMjQxMmY4NGEiLCJ1c2VySWQiOiIxMzIzODcwMDMzIn0=</vt:lpwstr>
  </property>
</Properties>
</file>