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丰都县民政局</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pacing w:before="0" w:beforeAutospacing="0" w:after="0" w:afterAutospacing="0" w:line="596" w:lineRule="exact"/>
        <w:rPr>
          <w:rFonts w:hint="default"/>
          <w:sz w:val="27"/>
          <w:szCs w:val="27"/>
          <w:shd w:val="clear" w:color="auto" w:fill="FFFF00"/>
        </w:rPr>
      </w:pPr>
    </w:p>
    <w:p>
      <w:pPr>
        <w:pStyle w:val="9"/>
        <w:shd w:val="clear" w:color="auto" w:fill="FFFFFF"/>
        <w:spacing w:before="0" w:beforeAutospacing="0" w:after="0" w:afterAutospacing="0" w:line="596" w:lineRule="exact"/>
        <w:ind w:firstLine="640" w:firstLineChars="200"/>
        <w:rPr>
          <w:rStyle w:val="11"/>
          <w:rFonts w:hint="default" w:ascii="黑体" w:hAnsi="黑体" w:eastAsia="黑体" w:cs="黑体"/>
          <w:b w:val="0"/>
          <w:sz w:val="32"/>
          <w:szCs w:val="32"/>
          <w:shd w:val="clear" w:color="auto" w:fill="FFFFFF"/>
        </w:rPr>
      </w:pPr>
      <w:r>
        <w:rPr>
          <w:rStyle w:val="11"/>
          <w:rFonts w:ascii="黑体" w:hAnsi="黑体" w:eastAsia="黑体" w:cs="黑体"/>
          <w:b w:val="0"/>
          <w:sz w:val="32"/>
          <w:szCs w:val="32"/>
          <w:shd w:val="clear" w:color="auto" w:fill="FFFFFF"/>
        </w:rPr>
        <w:t>一、部门基本情况</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b/>
          <w:sz w:val="32"/>
          <w:szCs w:val="32"/>
        </w:rPr>
      </w:pPr>
      <w:r>
        <w:rPr>
          <w:rStyle w:val="11"/>
          <w:rFonts w:ascii="楷体" w:hAnsi="楷体" w:eastAsia="楷体" w:cs="楷体"/>
          <w:b w:val="0"/>
          <w:sz w:val="32"/>
          <w:szCs w:val="32"/>
          <w:shd w:val="clear" w:color="auto" w:fill="FFFFFF"/>
        </w:rPr>
        <w:t>（一）职能职责</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1.贯彻执行国家和重庆市关于民政工作的方针、政策和法律、法规，研究提出民政事业发展规划，制定民政工作的近期改革与发展计划并负责组织实施。 </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2.负责全县社团组织和民办非企业单位的登记和年检；指导、监督各社会团体规范管理，在法律、法规范围内活动，查处社团组织的违法行为和未经登记而以社团名义开展活动的非法组织。</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3.统筹社会救助体系建设，落实社会救助政策、标准，负责城乡居民最低生活保障、特困人员救助供养、临时救助、生活无着流浪乞讨人员救助工作。</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4.拟订全县行政区划总体规划；负责乡、镇、村（居）委、村（居）民小组的设立、撤销、调整、更名和界线变更及政府驻地迁移的审核报批。 </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5.承办自然地理实体的地名、更名的审批，指导地名标志的设置和管理；负责全县标准地名图书资料的审核绘制。</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6.负责行政区域界线的勘定工作；指导边界争议的调处。</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7.指导实施全县婚姻管理政策，推进婚俗改革。</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8.组织实施殡葬管理政策、服务规范，推行火葬，改革土葬，推进殡葬改革。</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统筹推进、督促指导、监督管理养老服务工作，组织实施养老服务体系建设规划、政策、标准，负责拟订全县社会福利事业发展规划，指导、协调、管理社会福利企事业单位，组织农村敬老院建设和管理，承担老年人福利和特殊困难老年人救助工作。</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10.落实贫困残疾人生活补贴、重度残疾人护理补贴发放工作，实施经济困难高龄失能老人养老服务补贴政策，保障特殊困难群体的基本生活权益。</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11.组织实施儿童福利、孤弃儿童保障、儿童收养、儿童救助保护政策、标准，健全农村留守儿童关爱服务体系和困境儿童保障制度。</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12.指导实施促进慈善事业发展政策，指导社会捐助工作，组织福利彩票发行工作，管理和分配本级福利彩票公益金。</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13.负责局机关和所属单位的党的建设、宣传思想、安全监管、信访稳定和民政扶贫工作。 </w:t>
      </w:r>
    </w:p>
    <w:p>
      <w:pPr>
        <w:wordWrap w:val="0"/>
        <w:topLinePunct/>
        <w:autoSpaceDE w:val="0"/>
        <w:adjustRightInd w:val="0"/>
        <w:snapToGrid w:val="0"/>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14.</w:t>
      </w:r>
      <w:r>
        <w:rPr>
          <w:rFonts w:eastAsia="方正仿宋_GBK"/>
          <w:snapToGrid w:val="0"/>
          <w:color w:val="000000"/>
          <w:sz w:val="32"/>
          <w:szCs w:val="32"/>
        </w:rPr>
        <w:t xml:space="preserve"> 组织拟订应对人口老龄化政策措施。</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15.完成县委、县政府交办的其他任务。</w:t>
      </w:r>
    </w:p>
    <w:p>
      <w:pPr>
        <w:pStyle w:val="9"/>
        <w:widowControl w:val="0"/>
        <w:shd w:val="clear" w:color="auto" w:fill="FFFFFF"/>
        <w:spacing w:before="0" w:beforeAutospacing="0" w:after="0" w:afterAutospacing="0" w:line="596" w:lineRule="exact"/>
        <w:ind w:firstLine="640" w:firstLineChars="200"/>
        <w:rPr>
          <w:rFonts w:hint="default" w:ascii="楷体" w:hAnsi="楷体" w:eastAsia="楷体" w:cs="楷体"/>
          <w:b/>
          <w:sz w:val="32"/>
          <w:szCs w:val="32"/>
        </w:rPr>
      </w:pPr>
      <w:r>
        <w:rPr>
          <w:rStyle w:val="11"/>
          <w:rFonts w:ascii="楷体" w:hAnsi="楷体" w:eastAsia="楷体" w:cs="楷体"/>
          <w:b w:val="0"/>
          <w:sz w:val="32"/>
          <w:szCs w:val="32"/>
          <w:shd w:val="clear" w:color="auto" w:fill="FFFFFF"/>
        </w:rPr>
        <w:t>（二）机构设置</w:t>
      </w:r>
    </w:p>
    <w:p>
      <w:pPr>
        <w:pStyle w:val="9"/>
        <w:widowControl w:val="0"/>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丰都县民政局下设6个内设机构：办公室、财务审计科、社会事务福利科、社会救助和儿童福利科、行政审批服务科（区划地名科）、老龄服务科（安全监督科）。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下属非独立核算参公事业单位3个：县救助管理站、县民政局婚姻登记中心、县最低生活保障中心；独立核算事业单位2个：丰都县社会福利院、丰都县殡仪馆。另：根据2024年县机构改革相关文件精神，丰都县老龄工作事务中心为丰都县民政局所属正科级财政全额拨款公益一类事业单位，其财务预决算均为县一级预算单位，故丰都县民政局不包含丰都县老龄工作事务中心决算数据。</w:t>
      </w:r>
    </w:p>
    <w:p>
      <w:pPr>
        <w:pStyle w:val="9"/>
        <w:shd w:val="clear" w:color="auto" w:fill="FFFFFF"/>
        <w:spacing w:before="0" w:beforeAutospacing="0" w:after="0" w:afterAutospacing="0" w:line="596" w:lineRule="exact"/>
        <w:ind w:firstLine="640" w:firstLineChars="200"/>
        <w:rPr>
          <w:rStyle w:val="11"/>
          <w:rFonts w:hint="default" w:ascii="黑体" w:hAnsi="黑体" w:eastAsia="黑体" w:cs="黑体"/>
          <w:b w:val="0"/>
          <w:sz w:val="32"/>
          <w:szCs w:val="32"/>
          <w:shd w:val="clear" w:color="auto" w:fill="FFFFFF"/>
        </w:rPr>
      </w:pPr>
      <w:r>
        <w:rPr>
          <w:rStyle w:val="11"/>
          <w:rFonts w:ascii="黑体" w:hAnsi="黑体" w:eastAsia="黑体" w:cs="黑体"/>
          <w:b w:val="0"/>
          <w:sz w:val="32"/>
          <w:szCs w:val="32"/>
          <w:shd w:val="clear" w:color="auto" w:fill="FFFFFF"/>
        </w:rPr>
        <w:t>二、部门决算收支情况说明</w:t>
      </w:r>
    </w:p>
    <w:p>
      <w:pPr>
        <w:pStyle w:val="14"/>
        <w:autoSpaceDE w:val="0"/>
        <w:spacing w:line="596" w:lineRule="exact"/>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29791.16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收、支与2023年度相比，增加1793.82万元，增长6.4%</w:t>
      </w:r>
      <w:r>
        <w:rPr>
          <w:rFonts w:ascii="方正仿宋_GBK" w:hAnsi="方正仿宋_GBK" w:eastAsia="方正仿宋_GBK" w:cs="方正仿宋_GBK"/>
          <w:sz w:val="32"/>
          <w:szCs w:val="32"/>
          <w:shd w:val="clear" w:color="auto" w:fill="FFFFFF"/>
        </w:rPr>
        <w:t>，主要原因是民政保障对象在逐年增加及保障标准在增长</w:t>
      </w:r>
      <w:r>
        <w:rPr>
          <w:rFonts w:hint="eastAsia" w:ascii="方正仿宋_GBK" w:hAnsi="方正仿宋_GBK" w:eastAsia="方正仿宋_GBK" w:cs="方正仿宋_GBK"/>
          <w:sz w:val="32"/>
          <w:szCs w:val="32"/>
          <w:shd w:val="clear" w:color="auto" w:fill="FFFFFF"/>
          <w:lang w:eastAsia="zh-CN"/>
        </w:rPr>
        <w:t>，相应的增加了低保、特困、临时救助等民生保障资金</w:t>
      </w:r>
      <w:r>
        <w:rPr>
          <w:rFonts w:ascii="方正仿宋_GBK" w:hAnsi="方正仿宋_GBK" w:eastAsia="方正仿宋_GBK" w:cs="方正仿宋_GBK"/>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29730.58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与2023年度相比，增加1942.41万元，增长7.0%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仿宋_GB2312" w:hAnsi="仿宋" w:eastAsia="仿宋_GB2312"/>
          <w:sz w:val="32"/>
          <w:szCs w:val="32"/>
          <w:lang w:eastAsia="zh-CN"/>
        </w:rPr>
        <w:t>民生保障资金如低保、特困、临时救助</w:t>
      </w:r>
      <w:r>
        <w:rPr>
          <w:rFonts w:ascii="仿宋_GB2312" w:hAnsi="仿宋" w:eastAsia="仿宋_GB2312"/>
          <w:sz w:val="32"/>
          <w:szCs w:val="32"/>
        </w:rPr>
        <w:t>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29140.96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589.62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60.58</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29633.52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与2023年度相比，增加1663.06万元，增长6.0%</w:t>
      </w:r>
      <w:r>
        <w:rPr>
          <w:rFonts w:ascii="方正仿宋_GBK" w:hAnsi="方正仿宋_GBK" w:eastAsia="方正仿宋_GBK" w:cs="方正仿宋_GBK"/>
          <w:sz w:val="32"/>
          <w:szCs w:val="32"/>
          <w:shd w:val="clear" w:color="auto" w:fill="FFFFFF"/>
        </w:rPr>
        <w:t>，主要原因是民政保障对象</w:t>
      </w:r>
      <w:r>
        <w:rPr>
          <w:rFonts w:hint="eastAsia" w:ascii="方正仿宋_GBK" w:hAnsi="方正仿宋_GBK" w:eastAsia="方正仿宋_GBK" w:cs="方正仿宋_GBK"/>
          <w:sz w:val="32"/>
          <w:szCs w:val="32"/>
          <w:shd w:val="clear" w:color="auto" w:fill="FFFFFF"/>
          <w:lang w:eastAsia="zh-CN"/>
        </w:rPr>
        <w:t>的</w:t>
      </w:r>
      <w:r>
        <w:rPr>
          <w:rFonts w:ascii="方正仿宋_GBK" w:hAnsi="方正仿宋_GBK" w:eastAsia="方正仿宋_GBK" w:cs="方正仿宋_GBK"/>
          <w:sz w:val="32"/>
          <w:szCs w:val="32"/>
          <w:shd w:val="clear" w:color="auto" w:fill="FFFFFF"/>
        </w:rPr>
        <w:t>保障标准在增长</w:t>
      </w:r>
      <w:r>
        <w:rPr>
          <w:rFonts w:hint="eastAsia" w:ascii="方正仿宋_GBK" w:hAnsi="方正仿宋_GBK" w:eastAsia="方正仿宋_GBK" w:cs="方正仿宋_GBK"/>
          <w:sz w:val="32"/>
          <w:szCs w:val="32"/>
          <w:shd w:val="clear" w:color="auto" w:fill="FFFFFF"/>
          <w:lang w:eastAsia="zh-CN"/>
        </w:rPr>
        <w:t>，</w:t>
      </w:r>
      <w:r>
        <w:rPr>
          <w:rFonts w:hint="eastAsia" w:ascii="仿宋_GB2312" w:hAnsi="仿宋" w:eastAsia="仿宋_GB2312"/>
          <w:sz w:val="32"/>
          <w:szCs w:val="32"/>
          <w:lang w:eastAsia="zh-CN"/>
        </w:rPr>
        <w:t>低保、特困、临时救助等民生保障资金支出相应的增加了</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2164.70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27468.82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157.64</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w:t>
      </w:r>
      <w:r>
        <w:rPr>
          <w:rFonts w:ascii="Times New Roman" w:hAnsi="Times New Roman" w:eastAsia="方正仿宋_GBK"/>
          <w:sz w:val="32"/>
          <w:szCs w:val="32"/>
          <w:shd w:val="clear" w:color="auto" w:fill="FFFFFF"/>
        </w:rPr>
        <w:t>持平</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29201.54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财政拨款收、支总计各增加1515.85万元，增长5.5%</w:t>
      </w:r>
      <w:r>
        <w:rPr>
          <w:rFonts w:ascii="方正仿宋_GBK" w:hAnsi="方正仿宋_GBK" w:eastAsia="方正仿宋_GBK" w:cs="方正仿宋_GBK"/>
          <w:sz w:val="32"/>
          <w:szCs w:val="32"/>
          <w:shd w:val="clear" w:color="auto" w:fill="FFFFFF"/>
        </w:rPr>
        <w:t>。主要原因是民政保障对象在逐年增加及保障标准在增长</w:t>
      </w:r>
      <w:r>
        <w:rPr>
          <w:rFonts w:hint="eastAsia" w:ascii="方正仿宋_GBK" w:hAnsi="方正仿宋_GBK" w:eastAsia="方正仿宋_GBK" w:cs="方正仿宋_GBK"/>
          <w:sz w:val="32"/>
          <w:szCs w:val="32"/>
          <w:shd w:val="clear" w:color="auto" w:fill="FFFFFF"/>
          <w:lang w:eastAsia="zh-CN"/>
        </w:rPr>
        <w:t>，相应的增加了低保、特困、临时救助等民生保障资金</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28918.66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与2023年度相比，增加1618.83万元，增长5.9%</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低保、特困、临时救助等民生保障资金收入增加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较年初预算数增加1013.70万元，增长3.6%</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是年度内增加上级资金。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60.58</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28979.24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与2023年度相比，增加1470.94万元，增长5.4%</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主要原因是民政保障对象</w:t>
      </w:r>
      <w:r>
        <w:rPr>
          <w:rFonts w:hint="eastAsia" w:ascii="Times New Roman" w:hAnsi="Times New Roman" w:eastAsia="方正仿宋_GBK"/>
          <w:sz w:val="32"/>
          <w:szCs w:val="32"/>
          <w:shd w:val="clear" w:color="auto" w:fill="FFFFFF"/>
          <w:lang w:eastAsia="zh-CN"/>
        </w:rPr>
        <w:t>的</w:t>
      </w:r>
      <w:r>
        <w:rPr>
          <w:rFonts w:ascii="Times New Roman" w:hAnsi="Times New Roman" w:eastAsia="方正仿宋_GBK"/>
          <w:sz w:val="32"/>
          <w:szCs w:val="32"/>
          <w:shd w:val="clear" w:color="auto" w:fill="FFFFFF"/>
        </w:rPr>
        <w:t>保障标准在增长</w:t>
      </w:r>
      <w:r>
        <w:rPr>
          <w:rFonts w:hint="eastAsia" w:ascii="Times New Roman" w:hAnsi="Times New Roman" w:eastAsia="方正仿宋_GBK"/>
          <w:sz w:val="32"/>
          <w:szCs w:val="32"/>
          <w:shd w:val="clear" w:color="auto" w:fill="FFFFFF"/>
          <w:lang w:eastAsia="zh-CN"/>
        </w:rPr>
        <w:t>，低保、特困、临时救助等民生保障资金支出相应的增加了</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较年初预算数增加1074.28万元，增长3.9%</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rPr>
        <w:t>是增加了上级转移支付资金。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28679.73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较年初预算数增加900.78万元，增长3.2%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低保、特困、临时救助等保障性资金支出增加</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89.44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较年初预算数增加22.47万元，增长33.6%</w:t>
      </w:r>
      <w:r>
        <w:rPr>
          <w:rFonts w:ascii="方正仿宋_GBK" w:hAnsi="方正仿宋_GBK" w:eastAsia="方正仿宋_GBK" w:cs="方正仿宋_GBK"/>
          <w:sz w:val="32"/>
          <w:szCs w:val="32"/>
          <w:shd w:val="clear" w:color="auto" w:fill="FFFFFF"/>
        </w:rPr>
        <w:t>，主要原因是人员增加，相应的增加了医疗保险等费用。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126.00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较年初预算数增加126.00万元，增长100.0%</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主要原因是本年殡仪馆新建工程项目是以前年度的，年初未纳入预算。</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84.07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较年初预算数增加25.03万元，增长42.4%</w:t>
      </w:r>
      <w:r>
        <w:rPr>
          <w:rFonts w:ascii="方正仿宋_GBK" w:hAnsi="方正仿宋_GBK" w:eastAsia="方正仿宋_GBK" w:cs="方正仿宋_GBK"/>
          <w:sz w:val="32"/>
          <w:szCs w:val="32"/>
          <w:shd w:val="clear" w:color="auto" w:fill="FFFFFF"/>
        </w:rPr>
        <w:t>，主要原因是人员增加，相应的增加了住房公积金等费用。</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w:t>
      </w:r>
      <w:r>
        <w:rPr>
          <w:rFonts w:ascii="Times New Roman" w:hAnsi="Times New Roman" w:eastAsia="方正仿宋_GBK"/>
          <w:sz w:val="32"/>
          <w:szCs w:val="32"/>
          <w:shd w:val="clear" w:color="auto" w:fill="FFFFFF"/>
        </w:rPr>
        <w:t>持平。</w:t>
      </w:r>
    </w:p>
    <w:p>
      <w:pPr>
        <w:pStyle w:val="14"/>
        <w:autoSpaceDE w:val="0"/>
        <w:spacing w:line="596"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1732.71</w:t>
      </w:r>
      <w:r>
        <w:rPr>
          <w:rFonts w:ascii="方正仿宋_GBK" w:hAnsi="方正仿宋_GBK" w:eastAsia="方正仿宋_GBK" w:cs="方正仿宋_GBK"/>
          <w:sz w:val="32"/>
          <w:szCs w:val="32"/>
          <w:shd w:val="clear" w:color="auto" w:fill="FFFFFF"/>
        </w:rPr>
        <w:t>万元。其中：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1505.68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与2023年度相比，增加19.33万元，增长1.3%</w:t>
      </w:r>
      <w:r>
        <w:rPr>
          <w:rFonts w:ascii="方正仿宋_GBK" w:hAnsi="方正仿宋_GBK" w:eastAsia="方正仿宋_GBK" w:cs="方正仿宋_GBK"/>
          <w:sz w:val="32"/>
          <w:szCs w:val="32"/>
          <w:shd w:val="clear" w:color="auto" w:fill="FFFFFF"/>
        </w:rPr>
        <w:t>，主要原因是人员有新增变动等。人员经费用途主要包括</w:t>
      </w:r>
      <w:r>
        <w:rPr>
          <w:rFonts w:ascii="Times New Roman" w:hAnsi="Times New Roman" w:eastAsia="方正仿宋_GBK"/>
          <w:sz w:val="32"/>
          <w:szCs w:val="32"/>
        </w:rPr>
        <w:t>基本工资、津贴补贴等支出</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227.03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与2023年度相比，增加33.04万元，增长17.0%</w:t>
      </w:r>
      <w:r>
        <w:rPr>
          <w:rFonts w:ascii="方正仿宋_GBK" w:hAnsi="方正仿宋_GBK" w:eastAsia="方正仿宋_GBK" w:cs="方正仿宋_GBK"/>
          <w:sz w:val="32"/>
          <w:szCs w:val="32"/>
          <w:shd w:val="clear" w:color="auto" w:fill="FFFFFF"/>
        </w:rPr>
        <w:t>，主要原因是人员变动后公用经费相应变动。公用经费用途主要包括</w:t>
      </w:r>
      <w:r>
        <w:rPr>
          <w:rFonts w:ascii="Times New Roman" w:hAnsi="Times New Roman" w:eastAsia="方正仿宋_GBK"/>
          <w:sz w:val="32"/>
          <w:szCs w:val="32"/>
        </w:rPr>
        <w:t>办公费、邮电费、手续费等支出</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222.30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与2023年度相比，增加45.38万元，增长25.7%</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主要原因是福利院本年增加养老服务设施提升和消防改造项目等。本年支出</w:t>
      </w:r>
      <w:r>
        <w:rPr>
          <w:rFonts w:hint="default" w:ascii="Times New Roman" w:hAnsi="Times New Roman" w:eastAsia="方正仿宋_GBK"/>
          <w:sz w:val="32"/>
          <w:szCs w:val="32"/>
          <w:shd w:val="clear" w:color="auto" w:fill="FFFFFF"/>
        </w:rPr>
        <w:t>222.30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与2023年度相比，增加44.92万元，增长25.3%</w:t>
      </w:r>
      <w:r>
        <w:rPr>
          <w:rFonts w:ascii="方正仿宋_GBK" w:hAnsi="方正仿宋_GBK" w:eastAsia="方正仿宋_GBK" w:cs="方正仿宋_GBK"/>
          <w:sz w:val="32"/>
          <w:szCs w:val="32"/>
          <w:shd w:val="clear" w:color="auto" w:fill="FFFFFF"/>
        </w:rPr>
        <w:t>，主要原因是福利院本年增加养老服务设施提升和消防改造项目等。</w:t>
      </w:r>
    </w:p>
    <w:p>
      <w:pPr>
        <w:pStyle w:val="14"/>
        <w:autoSpaceDE w:val="0"/>
        <w:spacing w:line="596"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shd w:val="clear" w:color="auto" w:fill="FFFFFF"/>
        <w:spacing w:before="0" w:beforeAutospacing="0" w:after="0" w:afterAutospacing="0" w:line="596" w:lineRule="exact"/>
        <w:ind w:firstLine="640" w:firstLineChars="200"/>
        <w:rPr>
          <w:rStyle w:val="11"/>
          <w:rFonts w:hint="default" w:ascii="黑体" w:hAnsi="黑体" w:eastAsia="黑体" w:cs="黑体"/>
          <w:b w:val="0"/>
          <w:sz w:val="32"/>
          <w:szCs w:val="32"/>
          <w:shd w:val="clear" w:color="auto" w:fill="FFFFFF"/>
        </w:rPr>
      </w:pPr>
      <w:r>
        <w:rPr>
          <w:rStyle w:val="11"/>
          <w:rFonts w:ascii="黑体" w:hAnsi="黑体" w:eastAsia="黑体" w:cs="黑体"/>
          <w:b w:val="0"/>
          <w:sz w:val="32"/>
          <w:szCs w:val="32"/>
          <w:shd w:val="clear" w:color="auto" w:fill="FFFFFF"/>
        </w:rPr>
        <w:t>三、财政拨款“三公”经费情况说明</w:t>
      </w:r>
    </w:p>
    <w:p>
      <w:pPr>
        <w:pStyle w:val="14"/>
        <w:autoSpaceDE w:val="0"/>
        <w:spacing w:line="596" w:lineRule="exact"/>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14.49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较年初预算数增加1.69万元，增长13.2%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较上年支出数减少35.66万元，下降71.1%</w:t>
      </w:r>
      <w:r>
        <w:rPr>
          <w:rFonts w:ascii="方正仿宋_GBK" w:hAnsi="方正仿宋_GBK" w:eastAsia="方正仿宋_GBK" w:cs="方正仿宋_GBK"/>
          <w:sz w:val="32"/>
          <w:szCs w:val="32"/>
          <w:shd w:val="clear" w:color="auto" w:fill="FFFFFF"/>
        </w:rPr>
        <w:t>，主要原因是严格落实中央八项规定精神、严格落实厉行节约等，2023年度有购置公务用车、2024年未购置公务用车。</w:t>
      </w:r>
    </w:p>
    <w:p>
      <w:pPr>
        <w:pStyle w:val="14"/>
        <w:autoSpaceDE w:val="0"/>
        <w:spacing w:line="596" w:lineRule="exact"/>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ascii="Times New Roman" w:hAnsi="Times New Roman" w:eastAsia="方正仿宋_GBK"/>
          <w:sz w:val="32"/>
          <w:szCs w:val="32"/>
          <w:shd w:val="clear" w:color="auto" w:fill="FFFFFF"/>
        </w:rPr>
        <w:t>与</w:t>
      </w:r>
      <w:r>
        <w:rPr>
          <w:rFonts w:hint="default" w:ascii="Times New Roman" w:hAnsi="Times New Roman" w:eastAsia="方正仿宋_GBK"/>
          <w:sz w:val="32"/>
          <w:szCs w:val="32"/>
          <w:shd w:val="clear" w:color="auto" w:fill="FFFFFF"/>
        </w:rPr>
        <w:t>年初预算数</w:t>
      </w:r>
      <w:r>
        <w:rPr>
          <w:rFonts w:ascii="Times New Roman" w:hAnsi="Times New Roman" w:eastAsia="方正仿宋_GBK"/>
          <w:sz w:val="32"/>
          <w:szCs w:val="32"/>
          <w:shd w:val="clear" w:color="auto" w:fill="FFFFFF"/>
        </w:rPr>
        <w:t>持平</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较上年支出数减少25.50万元，下降100.0%</w:t>
      </w:r>
      <w:r>
        <w:rPr>
          <w:rFonts w:ascii="方正仿宋_GBK" w:hAnsi="方正仿宋_GBK" w:eastAsia="方正仿宋_GBK" w:cs="方正仿宋_GBK"/>
          <w:sz w:val="32"/>
          <w:szCs w:val="32"/>
          <w:shd w:val="clear" w:color="auto" w:fill="FFFFFF"/>
        </w:rPr>
        <w:t>，主要原因是2023年度有购置公务用车、2024年未购置公务用车。</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方正仿宋_GBK" w:hAnsi="方正仿宋_GBK" w:eastAsia="方正仿宋_GBK" w:cs="方正仿宋_GBK"/>
          <w:sz w:val="32"/>
          <w:szCs w:val="32"/>
          <w:shd w:val="clear" w:color="auto" w:fill="FFFFFF"/>
        </w:rPr>
        <w:t>11.95</w:t>
      </w:r>
      <w:r>
        <w:rPr>
          <w:rFonts w:ascii="方正仿宋_GBK" w:hAnsi="方正仿宋_GBK" w:eastAsia="方正仿宋_GBK" w:cs="方正仿宋_GBK"/>
          <w:sz w:val="32"/>
          <w:szCs w:val="32"/>
          <w:shd w:val="clear" w:color="auto" w:fill="FFFFFF"/>
        </w:rPr>
        <w:t>万元，主要用于流浪乞讨救助人员排查护送、社会福利院孤寡老人接送、殡葬遗体接运等。费用支出</w:t>
      </w:r>
      <w:r>
        <w:rPr>
          <w:rFonts w:hint="default" w:ascii="Times New Roman" w:hAnsi="Times New Roman" w:eastAsia="方正仿宋_GBK"/>
          <w:sz w:val="32"/>
          <w:szCs w:val="32"/>
          <w:shd w:val="clear" w:color="auto" w:fill="FFFFFF"/>
        </w:rPr>
        <w:t>较年初预算数增加3.85万元，增长47.5%</w:t>
      </w:r>
      <w:r>
        <w:rPr>
          <w:rFonts w:ascii="方正仿宋_GBK" w:hAnsi="方正仿宋_GBK" w:eastAsia="方正仿宋_GBK" w:cs="方正仿宋_GBK"/>
          <w:sz w:val="32"/>
          <w:szCs w:val="32"/>
          <w:shd w:val="clear" w:color="auto" w:fill="FFFFFF"/>
        </w:rPr>
        <w:t>，主要原因是本年殡仪车辆新增殡仪车辆运行维修费。</w:t>
      </w:r>
      <w:r>
        <w:rPr>
          <w:rFonts w:hint="default" w:ascii="Times New Roman" w:hAnsi="Times New Roman" w:eastAsia="方正仿宋_GBK"/>
          <w:sz w:val="32"/>
          <w:szCs w:val="32"/>
          <w:shd w:val="clear" w:color="auto" w:fill="FFFFFF"/>
        </w:rPr>
        <w:t>较上年支出数减少9.41万元，下降44.1%</w:t>
      </w:r>
      <w:r>
        <w:rPr>
          <w:rFonts w:ascii="方正仿宋_GBK" w:hAnsi="方正仿宋_GBK" w:eastAsia="方正仿宋_GBK" w:cs="方正仿宋_GBK"/>
          <w:sz w:val="32"/>
          <w:szCs w:val="32"/>
          <w:shd w:val="clear" w:color="auto" w:fill="FFFFFF"/>
        </w:rPr>
        <w:t>，主要原因是殡仪车辆维护费较上年减少等。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2.55</w:t>
      </w:r>
      <w:r>
        <w:rPr>
          <w:rFonts w:ascii="方正仿宋_GBK" w:hAnsi="方正仿宋_GBK" w:eastAsia="方正仿宋_GBK" w:cs="方正仿宋_GBK"/>
          <w:sz w:val="32"/>
          <w:szCs w:val="32"/>
          <w:shd w:val="clear" w:color="auto" w:fill="FFFFFF"/>
        </w:rPr>
        <w:t>万元，主要用于接待上级单位及其他区县来丰检查调研工作等。费用支出</w:t>
      </w:r>
      <w:r>
        <w:rPr>
          <w:rFonts w:hint="default" w:ascii="Times New Roman" w:hAnsi="Times New Roman" w:eastAsia="方正仿宋_GBK"/>
          <w:sz w:val="32"/>
          <w:szCs w:val="32"/>
          <w:shd w:val="clear" w:color="auto" w:fill="FFFFFF"/>
        </w:rPr>
        <w:t>较年初预算数减少2.15万元，下降45.7%</w:t>
      </w:r>
      <w:r>
        <w:rPr>
          <w:rFonts w:ascii="方正仿宋_GBK" w:hAnsi="方正仿宋_GBK" w:eastAsia="方正仿宋_GBK" w:cs="方正仿宋_GBK"/>
          <w:sz w:val="32"/>
          <w:szCs w:val="32"/>
          <w:shd w:val="clear" w:color="auto" w:fill="FFFFFF"/>
        </w:rPr>
        <w:t>，主要原因是严格落实中央八项规定精神、严格落实厉行节约等。</w:t>
      </w:r>
      <w:r>
        <w:rPr>
          <w:rFonts w:hint="default" w:ascii="Times New Roman" w:hAnsi="Times New Roman" w:eastAsia="方正仿宋_GBK"/>
          <w:sz w:val="32"/>
          <w:szCs w:val="32"/>
          <w:shd w:val="clear" w:color="auto" w:fill="FFFFFF"/>
        </w:rPr>
        <w:t>较上年支出数减少0.74万元，下降22.5%</w:t>
      </w:r>
      <w:r>
        <w:rPr>
          <w:rFonts w:ascii="方正仿宋_GBK" w:hAnsi="方正仿宋_GBK" w:eastAsia="方正仿宋_GBK" w:cs="方正仿宋_GBK"/>
          <w:sz w:val="32"/>
          <w:szCs w:val="32"/>
          <w:shd w:val="clear" w:color="auto" w:fill="FFFFFF"/>
        </w:rPr>
        <w:t>，主要原因是其他区县来丰考察学习较上年减少。</w:t>
      </w:r>
    </w:p>
    <w:p>
      <w:pPr>
        <w:pStyle w:val="14"/>
        <w:autoSpaceDE w:val="0"/>
        <w:spacing w:line="596" w:lineRule="exact"/>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276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92.21</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1.49</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0" w:firstLineChars="200"/>
        <w:rPr>
          <w:rStyle w:val="11"/>
          <w:rFonts w:hint="default" w:ascii="黑体" w:hAnsi="黑体" w:eastAsia="黑体" w:cs="黑体"/>
          <w:b w:val="0"/>
          <w:sz w:val="32"/>
          <w:szCs w:val="32"/>
          <w:shd w:val="clear" w:color="auto" w:fill="FFFFFF"/>
        </w:rPr>
      </w:pPr>
      <w:r>
        <w:rPr>
          <w:rStyle w:val="11"/>
          <w:rFonts w:ascii="黑体" w:hAnsi="黑体" w:eastAsia="黑体" w:cs="黑体"/>
          <w:b w:val="0"/>
          <w:sz w:val="32"/>
          <w:szCs w:val="32"/>
          <w:shd w:val="clear" w:color="auto" w:fill="FFFFFF"/>
        </w:rPr>
        <w:t>四、其他需要说明的事项</w:t>
      </w:r>
    </w:p>
    <w:p>
      <w:pPr>
        <w:pStyle w:val="9"/>
        <w:shd w:val="clear" w:color="auto" w:fill="FFFFFF"/>
        <w:spacing w:before="0" w:beforeAutospacing="0" w:after="0" w:afterAutospacing="0" w:line="596" w:lineRule="exact"/>
        <w:ind w:firstLine="640" w:firstLineChars="200"/>
        <w:jc w:val="both"/>
        <w:rPr>
          <w:rFonts w:hint="default" w:ascii="楷体" w:hAnsi="楷体" w:eastAsia="楷体" w:cs="楷体"/>
          <w:bCs/>
          <w:sz w:val="32"/>
          <w:szCs w:val="32"/>
          <w:shd w:val="clear" w:color="auto" w:fill="FFFFFF"/>
        </w:rPr>
      </w:pPr>
      <w:r>
        <w:rPr>
          <w:rFonts w:ascii="楷体" w:hAnsi="楷体" w:eastAsia="楷体" w:cs="楷体"/>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与2023年度相比，减少0.05万元，下降2.4%</w:t>
      </w:r>
      <w:r>
        <w:rPr>
          <w:rFonts w:ascii="方正仿宋_GBK" w:hAnsi="方正仿宋_GBK" w:eastAsia="方正仿宋_GBK" w:cs="方正仿宋_GBK"/>
          <w:sz w:val="32"/>
          <w:szCs w:val="32"/>
          <w:shd w:val="clear" w:color="auto" w:fill="FFFFFF"/>
        </w:rPr>
        <w:t>，主要原因是控制会议次数、减少会议成本。本年度培训费支出</w:t>
      </w:r>
      <w:r>
        <w:rPr>
          <w:rFonts w:hint="default" w:ascii="方正仿宋_GBK" w:hAnsi="方正仿宋_GBK" w:eastAsia="方正仿宋_GBK" w:cs="方正仿宋_GBK"/>
          <w:sz w:val="32"/>
          <w:szCs w:val="32"/>
          <w:shd w:val="clear" w:color="auto" w:fill="FFFFFF"/>
        </w:rPr>
        <w:t>5.97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与2023年度相比，减少1.53万元，下降20.4%</w:t>
      </w:r>
      <w:r>
        <w:rPr>
          <w:rFonts w:ascii="方正仿宋_GBK" w:hAnsi="方正仿宋_GBK" w:eastAsia="方正仿宋_GBK" w:cs="方正仿宋_GBK"/>
          <w:sz w:val="32"/>
          <w:szCs w:val="32"/>
          <w:shd w:val="clear" w:color="auto" w:fill="FFFFFF"/>
        </w:rPr>
        <w:t>，主要原因是控制培训次数、减少培训成本。本年度差旅费支出</w:t>
      </w:r>
      <w:r>
        <w:rPr>
          <w:rFonts w:hint="default" w:ascii="方正仿宋_GBK" w:hAnsi="方正仿宋_GBK" w:eastAsia="方正仿宋_GBK" w:cs="方正仿宋_GBK"/>
          <w:sz w:val="32"/>
          <w:szCs w:val="32"/>
          <w:shd w:val="clear" w:color="auto" w:fill="FFFFFF"/>
        </w:rPr>
        <w:t>25.59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与2023年度相比，减少3.24万元，下降11.2%</w:t>
      </w:r>
      <w:r>
        <w:rPr>
          <w:rFonts w:ascii="Times New Roman" w:hAnsi="Times New Roman" w:eastAsia="方正仿宋_GBK"/>
          <w:sz w:val="32"/>
          <w:szCs w:val="32"/>
          <w:shd w:val="clear" w:color="auto" w:fill="FFFFFF"/>
        </w:rPr>
        <w:t>，主要原因是严格执行各类财经纪律，严格审批出差时间、次数等</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133.52</w:t>
      </w:r>
      <w:r>
        <w:rPr>
          <w:rFonts w:ascii="方正仿宋_GBK" w:hAnsi="方正仿宋_GBK" w:eastAsia="方正仿宋_GBK" w:cs="方正仿宋_GBK"/>
          <w:sz w:val="32"/>
          <w:szCs w:val="32"/>
          <w:shd w:val="clear" w:color="auto" w:fill="FFFFFF"/>
        </w:rPr>
        <w:t>万元，机关运行经费主要用于开支购买货物和服务等的各项公用经费，包括办公费及印刷费、邮电费、差旅费、会议费、福利费、日常维护费、一般设备购置费、办公用房水电费、办公用房物业管理费、公务用车运行维护费等。机关运行经费</w:t>
      </w:r>
      <w:r>
        <w:rPr>
          <w:rFonts w:hint="default" w:ascii="Times New Roman" w:hAnsi="Times New Roman" w:eastAsia="方正仿宋_GBK"/>
          <w:sz w:val="32"/>
          <w:szCs w:val="32"/>
          <w:shd w:val="clear" w:color="auto" w:fill="FFFFFF"/>
        </w:rPr>
        <w:t>较上年支出数增加34.20万元，增长34.4%</w:t>
      </w:r>
      <w:r>
        <w:rPr>
          <w:rFonts w:ascii="Times New Roman" w:hAnsi="Times New Roman" w:eastAsia="方正仿宋_GBK"/>
          <w:sz w:val="32"/>
          <w:szCs w:val="32"/>
          <w:shd w:val="clear" w:color="auto" w:fill="FFFFFF"/>
        </w:rPr>
        <w:t>，主要原因是人员变动后相应的增加了设备购置等办公经费</w:t>
      </w:r>
      <w:r>
        <w:rPr>
          <w:rFonts w:ascii="方正仿宋_GBK" w:hAnsi="方正仿宋_GBK" w:eastAsia="方正仿宋_GBK" w:cs="方正仿宋_GBK"/>
          <w:sz w:val="32"/>
          <w:szCs w:val="32"/>
          <w:shd w:val="clear" w:color="auto" w:fill="FFFFFF"/>
        </w:rPr>
        <w:t>。</w:t>
      </w:r>
    </w:p>
    <w:p>
      <w:pPr>
        <w:pStyle w:val="14"/>
        <w:autoSpaceDE w:val="0"/>
        <w:spacing w:line="596"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797.35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5.35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792.00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796.70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99.9%</w:t>
      </w:r>
      <w:r>
        <w:rPr>
          <w:rFonts w:ascii="方正仿宋_GBK" w:hAnsi="方正仿宋_GBK" w:eastAsia="方正仿宋_GBK" w:cs="方正仿宋_GBK"/>
          <w:sz w:val="32"/>
          <w:szCs w:val="32"/>
          <w:shd w:val="clear" w:color="auto" w:fill="FFFFFF"/>
        </w:rPr>
        <w:t>，其中：授予小微企业合同金额</w:t>
      </w:r>
      <w:r>
        <w:rPr>
          <w:rFonts w:hint="default" w:ascii="方正仿宋_GBK" w:hAnsi="方正仿宋_GBK" w:eastAsia="方正仿宋_GBK" w:cs="方正仿宋_GBK"/>
          <w:sz w:val="32"/>
          <w:szCs w:val="32"/>
          <w:shd w:val="clear" w:color="auto" w:fill="FFFFFF"/>
        </w:rPr>
        <w:t>4.70</w:t>
      </w:r>
      <w:r>
        <w:rPr>
          <w:rFonts w:ascii="方正仿宋_GBK" w:hAnsi="方正仿宋_GBK" w:eastAsia="方正仿宋_GBK" w:cs="方正仿宋_GBK"/>
          <w:sz w:val="32"/>
          <w:szCs w:val="32"/>
          <w:shd w:val="clear" w:color="auto" w:fill="FFFFFF"/>
        </w:rPr>
        <w:t>万元，占政府采购支出总额的</w:t>
      </w:r>
      <w:r>
        <w:rPr>
          <w:rFonts w:hint="default" w:ascii="方正仿宋_GBK" w:hAnsi="方正仿宋_GBK" w:eastAsia="方正仿宋_GBK" w:cs="方正仿宋_GBK"/>
          <w:sz w:val="32"/>
          <w:szCs w:val="32"/>
          <w:shd w:val="clear" w:color="auto" w:fill="FFFFFF"/>
        </w:rPr>
        <w:t>0.6 %</w:t>
      </w:r>
      <w:r>
        <w:rPr>
          <w:rFonts w:ascii="方正仿宋_GBK" w:hAnsi="方正仿宋_GBK" w:eastAsia="方正仿宋_GBK" w:cs="方正仿宋_GBK"/>
          <w:sz w:val="32"/>
          <w:szCs w:val="32"/>
          <w:shd w:val="clear" w:color="auto" w:fill="FFFFFF"/>
        </w:rPr>
        <w:t>。主要用于采购全县分散特困供养人员照料护理服务、采购电脑打印机等。</w:t>
      </w:r>
    </w:p>
    <w:p>
      <w:pPr>
        <w:pStyle w:val="15"/>
        <w:spacing w:before="0" w:beforeAutospacing="0" w:after="0" w:afterAutospacing="0" w:line="596" w:lineRule="exact"/>
        <w:ind w:firstLine="640" w:firstLineChars="200"/>
        <w:rPr>
          <w:rStyle w:val="11"/>
          <w:rFonts w:ascii="黑体" w:hAnsi="黑体" w:eastAsia="黑体" w:cs="黑体"/>
          <w:b w:val="0"/>
          <w:sz w:val="32"/>
          <w:szCs w:val="32"/>
          <w:shd w:val="clear" w:color="auto" w:fill="FFFFFF"/>
        </w:rPr>
      </w:pPr>
      <w:r>
        <w:rPr>
          <w:rStyle w:val="11"/>
          <w:rFonts w:hint="eastAsia" w:ascii="黑体" w:hAnsi="黑体" w:eastAsia="黑体" w:cs="黑体"/>
          <w:b w:val="0"/>
          <w:sz w:val="32"/>
          <w:szCs w:val="32"/>
          <w:shd w:val="clear" w:color="auto" w:fill="FFFFFF"/>
        </w:rPr>
        <w:t>五、2024年度预算绩效管理情况说明</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Cs/>
          <w:sz w:val="32"/>
          <w:szCs w:val="32"/>
          <w:shd w:val="clear" w:color="auto" w:fill="FFFFFF"/>
        </w:rPr>
        <w:t>（一）</w:t>
      </w:r>
      <w:r>
        <w:rPr>
          <w:rFonts w:hint="eastAsia" w:ascii="楷体" w:hAnsi="楷体" w:eastAsia="楷体" w:cs="楷体"/>
          <w:bCs/>
          <w:sz w:val="32"/>
          <w:szCs w:val="32"/>
          <w:shd w:val="clear" w:color="auto" w:fill="FFFFFF"/>
          <w:lang w:eastAsia="zh-CN"/>
        </w:rPr>
        <w:t>部门</w:t>
      </w:r>
      <w:r>
        <w:rPr>
          <w:rFonts w:hint="eastAsia" w:ascii="楷体" w:hAnsi="楷体" w:eastAsia="楷体" w:cs="楷体"/>
          <w:bCs/>
          <w:sz w:val="32"/>
          <w:szCs w:val="32"/>
          <w:shd w:val="clear" w:color="auto" w:fill="FFFFFF"/>
        </w:rPr>
        <w:t>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根据预算绩效管理要求，我部门对部门整体和5</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个二级项目开展了绩效自</w:t>
      </w:r>
      <w:bookmarkStart w:id="0" w:name="_GoBack"/>
      <w:bookmarkEnd w:id="0"/>
      <w:r>
        <w:rPr>
          <w:rFonts w:hint="eastAsia" w:ascii="方正仿宋_GBK" w:hAnsi="方正仿宋_GBK" w:eastAsia="方正仿宋_GBK" w:cs="方正仿宋_GBK"/>
          <w:sz w:val="32"/>
          <w:szCs w:val="32"/>
          <w:shd w:val="clear" w:color="auto" w:fill="FFFFFF"/>
        </w:rPr>
        <w:t>评，涉及财政拨款项目支出资金2</w:t>
      </w:r>
      <w:r>
        <w:rPr>
          <w:rFonts w:hint="eastAsia" w:ascii="方正仿宋_GBK" w:hAnsi="方正仿宋_GBK" w:eastAsia="方正仿宋_GBK" w:cs="方正仿宋_GBK"/>
          <w:sz w:val="32"/>
          <w:szCs w:val="32"/>
          <w:shd w:val="clear" w:color="auto" w:fill="FFFFFF"/>
          <w:lang w:val="en-US" w:eastAsia="zh-CN"/>
        </w:rPr>
        <w:t>6579.58</w:t>
      </w:r>
      <w:r>
        <w:rPr>
          <w:rFonts w:hint="eastAsia" w:ascii="方正仿宋_GBK" w:hAnsi="方正仿宋_GBK" w:eastAsia="方正仿宋_GBK" w:cs="方正仿宋_GBK"/>
          <w:sz w:val="32"/>
          <w:szCs w:val="32"/>
          <w:shd w:val="clear" w:color="auto" w:fill="FFFFFF"/>
        </w:rPr>
        <w:t>万元。绩效自评表见附件。</w:t>
      </w:r>
    </w:p>
    <w:p>
      <w:pPr>
        <w:pStyle w:val="15"/>
        <w:autoSpaceDE w:val="0"/>
        <w:spacing w:before="0" w:beforeAutospacing="0" w:after="0" w:afterAutospacing="0" w:line="596" w:lineRule="exact"/>
        <w:ind w:firstLine="640" w:firstLineChars="20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（二）部门绩效评价情况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我部门未组织开展绩效评价。</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楷体" w:hAnsi="楷体" w:eastAsia="楷体" w:cs="楷体"/>
          <w:bCs/>
          <w:sz w:val="32"/>
          <w:szCs w:val="32"/>
          <w:shd w:val="clear" w:color="auto" w:fill="FFFFFF"/>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县财政局未委托第三方对我部门开展绩效评价。</w:t>
      </w:r>
    </w:p>
    <w:p>
      <w:pPr>
        <w:pStyle w:val="15"/>
        <w:autoSpaceDE w:val="0"/>
        <w:spacing w:before="0" w:beforeAutospacing="0" w:after="0" w:afterAutospacing="0" w:line="596" w:lineRule="exact"/>
        <w:ind w:firstLine="643" w:firstLineChars="200"/>
        <w:rPr>
          <w:rFonts w:ascii="方正仿宋_GBK" w:hAnsi="方正仿宋_GBK" w:eastAsia="方正仿宋_GBK" w:cs="方正仿宋_GBK"/>
          <w:b/>
          <w:sz w:val="32"/>
          <w:szCs w:val="32"/>
        </w:rPr>
      </w:pPr>
      <w:r>
        <w:rPr>
          <w:rStyle w:val="11"/>
          <w:rFonts w:hint="eastAsia" w:ascii="黑体" w:hAnsi="黑体" w:eastAsia="黑体" w:cs="黑体"/>
          <w:sz w:val="32"/>
          <w:szCs w:val="32"/>
          <w:shd w:val="clear" w:color="auto" w:fill="FFFFFF"/>
        </w:rPr>
        <w:t xml:space="preserve"> </w:t>
      </w:r>
      <w:r>
        <w:rPr>
          <w:rStyle w:val="11"/>
          <w:rFonts w:hint="eastAsia" w:ascii="黑体" w:hAnsi="黑体" w:eastAsia="黑体" w:cs="黑体"/>
          <w:b w:val="0"/>
          <w:sz w:val="32"/>
          <w:szCs w:val="32"/>
          <w:shd w:val="clear" w:color="auto" w:fill="FFFFFF"/>
        </w:rPr>
        <w:t>六、专业名词解释</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王小华   023-70605276</w:t>
      </w:r>
    </w:p>
    <w:p>
      <w:pPr>
        <w:pStyle w:val="14"/>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丰都县民政局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28,918.66</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222.30</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589.62</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29,111.72</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84.07</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215.55</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29,730.58</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29,633.52</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60.58</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29,791.16</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29,791.16</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丰都县民政局</w:t>
            </w:r>
          </w:p>
        </w:tc>
        <w:tc>
          <w:tcPr>
            <w:tcW w:w="14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29,730.58</w:t>
            </w:r>
          </w:p>
        </w:tc>
        <w:tc>
          <w:tcPr>
            <w:tcW w:w="1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29,140.96</w:t>
            </w:r>
          </w:p>
        </w:tc>
        <w:tc>
          <w:tcPr>
            <w:tcW w:w="1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589.62</w:t>
            </w:r>
          </w:p>
        </w:tc>
        <w:tc>
          <w:tcPr>
            <w:tcW w:w="13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29,208.77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28,619.15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589.62</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887.14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887.14</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273.60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273.60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344.38</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344.38</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71.97</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3,688.22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3,098.60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589.62</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1,077.90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1,077.90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943.35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653.31</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290.05</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837.08</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537.50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299.57</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1,708.93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1,708.93</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1,692.31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1,692.31</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14,267.30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14,267.30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3,780.92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3,780.92</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10,486.37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10,486.37</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1,429.29</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1,429.29</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1,416.70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1,416.70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5,147.69</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5,147.69</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1,262.25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1,262.25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3,885.44</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1,735.83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1,735.83</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330.21</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330.21</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1,405.62</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1,405.62</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84.07</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215.55</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215.55</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193.06</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193.06</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丰都县民政局</w:t>
            </w:r>
          </w:p>
        </w:tc>
        <w:tc>
          <w:tcPr>
            <w:tcW w:w="17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8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8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29,633.52</w:t>
            </w:r>
          </w:p>
        </w:tc>
        <w:tc>
          <w:tcPr>
            <w:tcW w:w="17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2,164.70</w:t>
            </w:r>
          </w:p>
        </w:tc>
        <w:tc>
          <w:tcPr>
            <w:tcW w:w="1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27,468.82</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29,111.72</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1,991.19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27,120.52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906.12</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372.12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292.58</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292.58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344.38</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344.38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71.97</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71.97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3,572.19</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1,112.81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2,459.38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1,077.90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1,077.90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803.79</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505.18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819.01</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1,708.93</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1,708.93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1,692.31</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1,692.31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14,267.30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14,267.30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3,780.92</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3,780.92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10,486.37</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10,486.37</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1,429.29</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1,429.29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1,416.70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1,416.70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12.58</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5,147.69</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5,147.69</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1,262.25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1,262.25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3,885.44</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3,885.44</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1,735.83</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1,735.83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330.21</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330.21</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1,405.62</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1,405.62</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84.07</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215.55</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215.55</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193.06</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193.06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丰都县民政局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28,918.66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222.30</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28,679.73</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28,679.73</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215.55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215.55</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29,140.96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29,201.54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28,979.24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60.58</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60.58</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29,201.54</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29,201.54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28,979.24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222.30</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丰都县民政局</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28,979.24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1,732.71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27,246.52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28,679.73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1,559.21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27,120.52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372.12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292.58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344.38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344.38</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62.10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127.89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127.89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71.97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25.51</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3,140.20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680.83</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2,459.38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643.65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643.65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1,077.90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1,077.90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653.31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148.12</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505.18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537.50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532.70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1,708.93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1,708.93</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1,692.31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1,692.31</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16.63</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14,267.30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14,267.30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3,780.92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3,780.92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10,486.37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10,486.37</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1,429.29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1,429.29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1,416.70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1,416.70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12.58</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5,147.69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5,147.69</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1,262.25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1,262.25</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3,885.44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3,885.44</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1,735.83</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1,735.83</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330.21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330.21</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1,405.62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1,405.62</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89.44</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27.95</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33.19</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84.07</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丰都县民政局</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1,335.56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218.00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312.42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166.17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354.44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131.19</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73.90</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84.07</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170.12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133.54</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38.72</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15.73</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1,505.68</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227.03</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89"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丰都县民政局</w:t>
            </w: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8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222.30</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215.55</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215.55</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215.55</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193.06</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193.06</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193.06</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9" w:hRule="atLeast"/>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丰都县民政局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丰都县民政局</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133.52</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14.49</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14.49</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133.52</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11.95</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11.95</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11.95</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11.95</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797.35</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5.35</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792.00</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796.70</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4.70</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5.97</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25.59</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5"/>
                  <w:rPr>
                    <w:rFonts w:hint="default"/>
                  </w:rPr>
                </w:pPr>
                <w:r>
                  <w:rPr>
                    <w:rFonts w:hint="default"/>
                  </w:rPr>
                  <w:fldChar w:fldCharType="begin"/>
                </w:r>
                <w:r>
                  <w:instrText xml:space="preserve"> PAGE  \* MERGEFORMAT </w:instrText>
                </w:r>
                <w:r>
                  <w:rPr>
                    <w:rFonts w:hint="default"/>
                  </w:rPr>
                  <w:fldChar w:fldCharType="separate"/>
                </w:r>
                <w:r>
                  <w:rPr>
                    <w:rFonts w:hint="default"/>
                  </w:rPr>
                  <w:t>- 7 -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5"/>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97C04"/>
    <w:rsid w:val="000C01CC"/>
    <w:rsid w:val="000D7702"/>
    <w:rsid w:val="000F6721"/>
    <w:rsid w:val="00124017"/>
    <w:rsid w:val="001632EC"/>
    <w:rsid w:val="001E0971"/>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84604"/>
    <w:rsid w:val="006E2034"/>
    <w:rsid w:val="007205DD"/>
    <w:rsid w:val="00732392"/>
    <w:rsid w:val="00792285"/>
    <w:rsid w:val="007A0D2E"/>
    <w:rsid w:val="007A3314"/>
    <w:rsid w:val="007B419D"/>
    <w:rsid w:val="007C5C5B"/>
    <w:rsid w:val="00810F13"/>
    <w:rsid w:val="00826B47"/>
    <w:rsid w:val="00893689"/>
    <w:rsid w:val="00940231"/>
    <w:rsid w:val="009446BC"/>
    <w:rsid w:val="00944711"/>
    <w:rsid w:val="009574D5"/>
    <w:rsid w:val="009821E3"/>
    <w:rsid w:val="00984852"/>
    <w:rsid w:val="009B37A6"/>
    <w:rsid w:val="009B6173"/>
    <w:rsid w:val="009B67B8"/>
    <w:rsid w:val="00A03B1E"/>
    <w:rsid w:val="00A441B2"/>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55187"/>
    <w:rsid w:val="00F73F90"/>
    <w:rsid w:val="00F7623D"/>
    <w:rsid w:val="00F8598B"/>
    <w:rsid w:val="00FA0819"/>
    <w:rsid w:val="00FB7EF0"/>
    <w:rsid w:val="00FE03C8"/>
    <w:rsid w:val="01474EBF"/>
    <w:rsid w:val="01F3521E"/>
    <w:rsid w:val="03077B2E"/>
    <w:rsid w:val="03B87EA0"/>
    <w:rsid w:val="03E3214F"/>
    <w:rsid w:val="044C50BA"/>
    <w:rsid w:val="05BC6D49"/>
    <w:rsid w:val="06194FF1"/>
    <w:rsid w:val="065B5996"/>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EC7B56"/>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24B164A"/>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A5524A"/>
    <w:rsid w:val="30EC7046"/>
    <w:rsid w:val="315F0B22"/>
    <w:rsid w:val="319D022C"/>
    <w:rsid w:val="31C90022"/>
    <w:rsid w:val="31CB0D7A"/>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7A154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character" w:customStyle="1" w:styleId="20">
    <w:name w:val="25"/>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2999</Words>
  <Characters>17096</Characters>
  <Lines>142</Lines>
  <Paragraphs>40</Paragraphs>
  <TotalTime>5</TotalTime>
  <ScaleCrop>false</ScaleCrop>
  <LinksUpToDate>false</LinksUpToDate>
  <CharactersWithSpaces>20055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2025-09-16T02:08:34Z</cp:lastPrinted>
  <dcterms:modified xsi:type="dcterms:W3CDTF">2025-09-16T02:10:19Z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ies>
</file>