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丰都县畜牧技术服务推广中心</w:t>
      </w:r>
      <w:r>
        <w:rPr>
          <w:rFonts w:ascii="方正小标宋_GBK" w:hAnsi="方正小标宋_GBK" w:eastAsia="方正小标宋_GBK" w:cs="方正小标宋_GBK"/>
          <w:sz w:val="36"/>
          <w:szCs w:val="36"/>
          <w:shd w:val="clear" w:color="auto" w:fill="FFFFFF"/>
        </w:rPr>
        <w:t>2023年度决算公开说明</w:t>
      </w:r>
    </w:p>
    <w:p>
      <w:pPr>
        <w:pStyle w:val="7"/>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0" w:beforeAutospacing="0" w:after="0" w:afterAutospacing="0" w:line="240" w:lineRule="auto"/>
        <w:ind w:firstLine="48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单位基本情况</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shd w:val="clear" w:color="auto" w:fill="FFFFFF"/>
        </w:rPr>
        <w:t>丰都县畜牧技术服务推广中心为丰都县农业农村委员会所属副科级财政全额拨款公益一类事业单位。</w:t>
      </w:r>
    </w:p>
    <w:p>
      <w:pPr>
        <w:pStyle w:val="7"/>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firstLine="420"/>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主要职责任务：负责畜牧业技术推广和技术服务；负责畜禽良种繁育、畜禽和饲料饲草品种技术引进、示范和推广；负责种畜禽管理技术指导；负责畜禽资源开发利用；指导畜禽养殖投入品的使用；提供畜禽养殖废弃物综合利用技术支持。</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具体职责任务：</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（1）负责畜牧业技术推广和技术服务。</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2</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负责畜禽良种繁育、畜禽和饲料饲草品种技术引进、示范和推广，负责种畜禽管理技术指导。</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负责畜禽资源保护、开发和利用指导，引导和支持畜牧业结构调整，发展优势畜禽生产。</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4</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指导畜禽养殖投入品的使用；负责畜禽饲草、饲料资源开发利用和技术推广，承担饲草、饲料生产加工和平衡营养配制等技术服务工作。</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5</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负责全县畜禽养殖废弃物综合利用工作。</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6</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负责畜牧产业项目的技术指导，承担畜牧科研项目实施工作。</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（7）指导种畜禽生产经营管理，指导畜禽养殖场标准化建设，提高畜禽养殖水平，促进畜牧业健康发展等工作。</w:t>
      </w:r>
    </w:p>
    <w:p>
      <w:pPr>
        <w:pStyle w:val="7"/>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firstLine="42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丰都县畜牧技术服务推广中心设5个内设机构：综合科、生猪发展科、草食牲畜科、特色产业科、资源化利用科。从预算单位构成看，无纳入本单位2023年度决算编制的二级预算单位。</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2023年度收入总计789.91万元，支出总计</w:t>
      </w:r>
      <w:r>
        <w:rPr>
          <w:rFonts w:ascii="方正仿宋_GBK" w:hAnsi="方正仿宋_GBK" w:eastAsia="方正仿宋_GBK" w:cs="方正仿宋_GBK"/>
          <w:sz w:val="32"/>
          <w:szCs w:val="32"/>
        </w:rPr>
        <w:t>789.91</w:t>
      </w:r>
      <w:r>
        <w:rPr>
          <w:rFonts w:ascii="方正仿宋_GBK" w:hAnsi="方正仿宋_GBK" w:eastAsia="方正仿宋_GBK" w:cs="方正仿宋_GBK"/>
          <w:sz w:val="32"/>
          <w:szCs w:val="32"/>
          <w:shd w:val="clear" w:color="auto" w:fill="FFFFFF"/>
        </w:rPr>
        <w:t>万元。收支较上年决算数增加126.09万元，增长18.99%，主要原因是2023年人员调入，人数增加，单位员工晋级调资等使得人员经费、公用经费、项目经费增加。</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2023年度收入合计787.23万元，较上年决算数增加123.41万元，增长18.59%，2023年人员调入，人数增加，单位员工晋级调资等使得人员经费、公用经费、项目经费增加。其中：财政拨款收入</w:t>
      </w:r>
      <w:r>
        <w:rPr>
          <w:rFonts w:ascii="方正仿宋_GBK" w:hAnsi="方正仿宋_GBK" w:eastAsia="方正仿宋_GBK" w:cs="方正仿宋_GBK"/>
          <w:sz w:val="32"/>
          <w:szCs w:val="32"/>
        </w:rPr>
        <w:t>787.23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789.91</w:t>
      </w:r>
      <w:r>
        <w:rPr>
          <w:rFonts w:ascii="方正仿宋_GBK" w:hAnsi="方正仿宋_GBK" w:eastAsia="方正仿宋_GBK" w:cs="方正仿宋_GBK"/>
          <w:sz w:val="32"/>
          <w:szCs w:val="32"/>
          <w:shd w:val="clear" w:color="auto" w:fill="FFFFFF"/>
        </w:rPr>
        <w:t>万元，较上年决算数增加126.09万元，增长18.99%，主要原因是2023年人员调入，人数增加，单位员工晋级调资等使得人员经费、公用经费、项目经费增加。其中：基本支出</w:t>
      </w:r>
      <w:r>
        <w:rPr>
          <w:rFonts w:ascii="方正仿宋_GBK" w:hAnsi="方正仿宋_GBK" w:eastAsia="方正仿宋_GBK" w:cs="方正仿宋_GBK"/>
          <w:sz w:val="32"/>
          <w:szCs w:val="32"/>
        </w:rPr>
        <w:t>787.23</w:t>
      </w:r>
      <w:r>
        <w:rPr>
          <w:rFonts w:ascii="方正仿宋_GBK" w:hAnsi="方正仿宋_GBK" w:eastAsia="方正仿宋_GBK" w:cs="方正仿宋_GBK"/>
          <w:sz w:val="32"/>
          <w:szCs w:val="32"/>
          <w:shd w:val="clear" w:color="auto" w:fill="FFFFFF"/>
        </w:rPr>
        <w:t>万元，占99.66%；项目支出</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万元，占0.34%；经营支出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2023年度财政拨款收、支总计789.91万元。与2022年相比，财政拨款收、支总计各增加126.09万元，增长18.99%。主要原因是2023年人员调入，人数增加，单位员工晋级调资等使得人员经费、公用经费、项目经费增加。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787.23</w:t>
      </w:r>
      <w:r>
        <w:rPr>
          <w:rFonts w:ascii="方正仿宋_GBK" w:hAnsi="方正仿宋_GBK" w:eastAsia="方正仿宋_GBK" w:cs="方正仿宋_GBK"/>
          <w:sz w:val="32"/>
          <w:szCs w:val="32"/>
          <w:shd w:val="clear" w:color="auto" w:fill="FFFFFF"/>
        </w:rPr>
        <w:t>万元，较上年决算数增加123.41万元，增长18.59%。主要原因是2023年人员调入，人数增加，单位员工晋级调资等使得人员经费、公用经费、项目经费增加。较年初预算数增加252.57万元，增长47.24%。主要原因是2023年人员调入，人数增加，单位员工晋级调资等使得人员经费、公用经费、项目经费增加。此外，年初财政拨款结转和结余</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789.91</w:t>
      </w:r>
      <w:r>
        <w:rPr>
          <w:rFonts w:ascii="方正仿宋_GBK" w:hAnsi="方正仿宋_GBK" w:eastAsia="方正仿宋_GBK" w:cs="方正仿宋_GBK"/>
          <w:sz w:val="32"/>
          <w:szCs w:val="32"/>
          <w:shd w:val="clear" w:color="auto" w:fill="FFFFFF"/>
        </w:rPr>
        <w:t>万元，较上年决算数增加126.09万元，增长18.99%。主要原因是2023年人员调入，人数增加，单位员工晋级调资等使得人员经费、公用经费、项目经费增加。较年初预算数增加255.25万元，增长47.74%。主要原因是2023年人员调入，人数增加，单位员工晋级调资等使得人员经费、公用经费、项目经费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kern w:val="2"/>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101.28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12.82</w:t>
      </w:r>
      <w:r>
        <w:rPr>
          <w:rFonts w:ascii="方正仿宋_GBK" w:hAnsi="方正仿宋_GBK" w:eastAsia="方正仿宋_GBK" w:cs="方正仿宋_GBK"/>
          <w:sz w:val="32"/>
          <w:szCs w:val="32"/>
          <w:shd w:val="clear" w:color="auto" w:fill="FFFFFF"/>
        </w:rPr>
        <w:t>%，较年初预算数增加11.20万元，增长12.43%，主要原因是2023年单位调入2人，</w:t>
      </w:r>
      <w:r>
        <w:rPr>
          <w:rFonts w:hint="default" w:ascii="Times New Roman" w:hAnsi="Times New Roman" w:eastAsia="方正仿宋_GBK"/>
          <w:color w:val="000000" w:themeColor="text1"/>
          <w:kern w:val="2"/>
          <w:sz w:val="32"/>
          <w:szCs w:val="32"/>
        </w:rPr>
        <w:t>人员工资普调，相应追加养老保险、职业年金的预算调整</w:t>
      </w:r>
      <w:r>
        <w:rPr>
          <w:rFonts w:ascii="Times New Roman" w:hAnsi="Times New Roman" w:eastAsia="方正仿宋_GBK"/>
          <w:color w:val="000000" w:themeColor="text1"/>
          <w:kern w:val="2"/>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34.84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%，较年初预算数无增减，主要原因是卫生健康费用预算充足。</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626.44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%，较年初预算数增加250.10万元，增长66.46%，</w:t>
      </w:r>
      <w:r>
        <w:rPr>
          <w:rFonts w:hint="default" w:ascii="Times New Roman" w:hAnsi="Times New Roman" w:eastAsia="方正仿宋_GBK"/>
          <w:color w:val="000000" w:themeColor="text1"/>
          <w:kern w:val="2"/>
          <w:sz w:val="32"/>
          <w:szCs w:val="32"/>
        </w:rPr>
        <w:t>主要原因是人员工资普调、养老保险、职业年金、公积金、医疗保险相应的预算追加</w:t>
      </w:r>
      <w:r>
        <w:rPr>
          <w:rFonts w:ascii="Times New Roman" w:hAnsi="Times New Roman" w:eastAsia="方正仿宋_GBK"/>
          <w:color w:val="000000" w:themeColor="text1"/>
          <w:kern w:val="2"/>
          <w:sz w:val="32"/>
          <w:szCs w:val="32"/>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w:t>
      </w:r>
      <w:r>
        <w:rPr>
          <w:rFonts w:ascii="方正仿宋_GBK" w:hAnsi="方正仿宋_GBK" w:eastAsia="方正仿宋_GBK" w:cs="方正仿宋_GBK"/>
          <w:sz w:val="32"/>
          <w:szCs w:val="32"/>
          <w:shd w:val="clear" w:color="auto" w:fill="FFFFFF"/>
        </w:rPr>
        <w:t>%，较年初预算数减少6.06万元，下降18.14%，主要原因是2023年度住房公积金调资造成。</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787.23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695.33</w:t>
      </w:r>
      <w:r>
        <w:rPr>
          <w:rFonts w:ascii="方正仿宋_GBK" w:hAnsi="方正仿宋_GBK" w:eastAsia="方正仿宋_GBK" w:cs="方正仿宋_GBK"/>
          <w:sz w:val="32"/>
          <w:szCs w:val="32"/>
          <w:shd w:val="clear" w:color="auto" w:fill="FFFFFF"/>
        </w:rPr>
        <w:t>万元，较上年决算数增加78.90万元，增长12.80%，</w:t>
      </w:r>
      <w:r>
        <w:rPr>
          <w:rFonts w:hint="default" w:ascii="Times New Roman" w:hAnsi="Times New Roman" w:eastAsia="方正仿宋_GBK"/>
          <w:color w:val="000000" w:themeColor="text1"/>
          <w:kern w:val="2"/>
          <w:sz w:val="32"/>
          <w:szCs w:val="32"/>
        </w:rPr>
        <w:t>主要原因是人员</w:t>
      </w:r>
      <w:r>
        <w:rPr>
          <w:rFonts w:ascii="Times New Roman" w:hAnsi="Times New Roman" w:eastAsia="方正仿宋_GBK"/>
          <w:color w:val="000000" w:themeColor="text1"/>
          <w:kern w:val="2"/>
          <w:sz w:val="32"/>
          <w:szCs w:val="32"/>
        </w:rPr>
        <w:t>增加，人员</w:t>
      </w:r>
      <w:r>
        <w:rPr>
          <w:rFonts w:hint="default" w:ascii="Times New Roman" w:hAnsi="Times New Roman" w:eastAsia="方正仿宋_GBK"/>
          <w:color w:val="000000" w:themeColor="text1"/>
          <w:kern w:val="2"/>
          <w:sz w:val="32"/>
          <w:szCs w:val="32"/>
        </w:rPr>
        <w:t>工资普调、养老保险、职业年金、公积金、医疗保险金相应的预算追加。人员经费用途主要包括基本工资、津贴补贴、奖金、社会保障缴费、公积金</w:t>
      </w:r>
      <w:r>
        <w:rPr>
          <w:rFonts w:ascii="Times New Roman" w:hAnsi="Times New Roman" w:eastAsia="方正仿宋_GBK"/>
          <w:color w:val="000000" w:themeColor="text1"/>
          <w:kern w:val="2"/>
          <w:sz w:val="32"/>
          <w:szCs w:val="32"/>
        </w:rPr>
        <w:t>和退休职工健康休养费</w:t>
      </w:r>
      <w:r>
        <w:rPr>
          <w:rFonts w:hint="default" w:ascii="Times New Roman" w:hAnsi="Times New Roman" w:eastAsia="方正仿宋_GBK"/>
          <w:color w:val="000000" w:themeColor="text1"/>
          <w:kern w:val="2"/>
          <w:sz w:val="32"/>
          <w:szCs w:val="32"/>
        </w:rPr>
        <w:t>等</w:t>
      </w:r>
      <w:r>
        <w:rPr>
          <w:rFonts w:ascii="Times New Roman" w:hAnsi="Times New Roman" w:eastAsia="方正仿宋_GBK"/>
          <w:color w:val="000000" w:themeColor="text1"/>
          <w:kern w:val="2"/>
          <w:sz w:val="32"/>
          <w:szCs w:val="32"/>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91.90</w:t>
      </w:r>
      <w:r>
        <w:rPr>
          <w:rFonts w:ascii="方正仿宋_GBK" w:hAnsi="方正仿宋_GBK" w:eastAsia="方正仿宋_GBK" w:cs="方正仿宋_GBK"/>
          <w:sz w:val="32"/>
          <w:szCs w:val="32"/>
          <w:shd w:val="clear" w:color="auto" w:fill="FFFFFF"/>
        </w:rPr>
        <w:t>万元，较上年决算数增加57.85万元，增长169.90%，</w:t>
      </w:r>
      <w:r>
        <w:rPr>
          <w:rFonts w:hint="default" w:ascii="Times New Roman" w:hAnsi="Times New Roman" w:eastAsia="方正仿宋_GBK"/>
          <w:color w:val="000000" w:themeColor="text1"/>
          <w:kern w:val="2"/>
          <w:sz w:val="32"/>
          <w:szCs w:val="32"/>
        </w:rPr>
        <w:t>主要原因是一方面人员增加，另一方面严格执行</w:t>
      </w:r>
      <w:r>
        <w:rPr>
          <w:rFonts w:hint="eastAsia" w:ascii="Times New Roman" w:hAnsi="Times New Roman" w:eastAsia="方正仿宋_GBK"/>
          <w:color w:val="000000" w:themeColor="text1"/>
          <w:kern w:val="2"/>
          <w:sz w:val="32"/>
          <w:szCs w:val="32"/>
          <w:lang w:eastAsia="zh-CN"/>
        </w:rPr>
        <w:t>中央八项规定</w:t>
      </w:r>
      <w:r>
        <w:rPr>
          <w:rFonts w:hint="default" w:ascii="Times New Roman" w:hAnsi="Times New Roman" w:eastAsia="方正仿宋_GBK"/>
          <w:color w:val="000000" w:themeColor="text1"/>
          <w:kern w:val="2"/>
          <w:sz w:val="32"/>
          <w:szCs w:val="32"/>
        </w:rPr>
        <w:t>，节约日常工作的公用经费开支。公用经费用途主要包括办公费、印刷费、物管费、公务接待费、邮电费、差旅费、交通费、水电费等日常工作经费支出。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tabs>
          <w:tab w:val="left" w:pos="448"/>
        </w:tabs>
        <w:spacing w:line="60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olor w:val="000000" w:themeColor="text1"/>
          <w:kern w:val="2"/>
          <w:sz w:val="32"/>
          <w:szCs w:val="32"/>
        </w:rPr>
        <w:t>本单位202</w:t>
      </w:r>
      <w:r>
        <w:rPr>
          <w:rFonts w:ascii="Times New Roman" w:hAnsi="Times New Roman" w:eastAsia="方正仿宋_GBK"/>
          <w:color w:val="000000" w:themeColor="text1"/>
          <w:kern w:val="2"/>
          <w:sz w:val="32"/>
          <w:szCs w:val="32"/>
        </w:rPr>
        <w:t>3</w:t>
      </w:r>
      <w:r>
        <w:rPr>
          <w:rFonts w:hint="default" w:ascii="Times New Roman" w:hAnsi="Times New Roman" w:eastAsia="方正仿宋_GBK"/>
          <w:color w:val="000000" w:themeColor="text1"/>
          <w:kern w:val="2"/>
          <w:sz w:val="32"/>
          <w:szCs w:val="32"/>
        </w:rPr>
        <w:t>年度无政府性基金预算财政拨款收支。</w:t>
      </w:r>
    </w:p>
    <w:p>
      <w:pPr>
        <w:pStyle w:val="14"/>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pPr>
        <w:pStyle w:val="14"/>
        <w:autoSpaceDE w:val="0"/>
        <w:ind w:firstLine="640"/>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本部门202</w:t>
      </w:r>
      <w:r>
        <w:rPr>
          <w:rFonts w:hint="eastAsia" w:ascii="Times New Roman" w:hAnsi="Times New Roman" w:eastAsia="方正仿宋_GBK"/>
          <w:color w:val="000000" w:themeColor="text1"/>
          <w:kern w:val="2"/>
          <w:sz w:val="32"/>
          <w:szCs w:val="32"/>
        </w:rPr>
        <w:t>3</w:t>
      </w:r>
      <w:r>
        <w:rPr>
          <w:rFonts w:ascii="Times New Roman" w:hAnsi="Times New Roman" w:eastAsia="方正仿宋_GBK"/>
          <w:color w:val="000000" w:themeColor="text1"/>
          <w:kern w:val="2"/>
          <w:sz w:val="32"/>
          <w:szCs w:val="32"/>
        </w:rPr>
        <w:t>年度无国有资本经营预算财政拨款支出。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万元，较年初预算数减少4.05万元，下降47.65%，主要原因是</w:t>
      </w:r>
      <w:r>
        <w:rPr>
          <w:rFonts w:hint="default" w:ascii="Times New Roman" w:hAnsi="Times New Roman" w:eastAsia="方正仿宋_GBK"/>
          <w:color w:val="000000" w:themeColor="text1"/>
          <w:kern w:val="2"/>
          <w:sz w:val="32"/>
          <w:szCs w:val="32"/>
        </w:rPr>
        <w:t>本单位严格执行中央八项规定，厉行节约，反对铺张浪费</w:t>
      </w:r>
      <w:r>
        <w:rPr>
          <w:rFonts w:ascii="方正仿宋_GBK" w:hAnsi="方正仿宋_GBK" w:eastAsia="方正仿宋_GBK" w:cs="方正仿宋_GBK"/>
          <w:sz w:val="32"/>
          <w:szCs w:val="32"/>
          <w:shd w:val="clear" w:color="auto" w:fill="FFFFFF"/>
        </w:rPr>
        <w:t>。较上年支出数减少0.32万元，下降6.71%，主要原因是2023年度街道次数减少，接待人数减少。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kern w:val="2"/>
          <w:sz w:val="32"/>
          <w:szCs w:val="32"/>
        </w:rPr>
      </w:pPr>
      <w:r>
        <w:rPr>
          <w:rFonts w:hint="default" w:ascii="Times New Roman" w:hAnsi="Times New Roman" w:eastAsia="方正仿宋_GBK"/>
          <w:color w:val="000000" w:themeColor="text1"/>
          <w:kern w:val="2"/>
          <w:sz w:val="32"/>
          <w:szCs w:val="32"/>
        </w:rPr>
        <w:t>本</w:t>
      </w:r>
      <w:r>
        <w:rPr>
          <w:rFonts w:hint="eastAsia" w:ascii="Times New Roman" w:hAnsi="Times New Roman" w:eastAsia="方正仿宋_GBK"/>
          <w:color w:val="000000" w:themeColor="text1"/>
          <w:kern w:val="2"/>
          <w:sz w:val="32"/>
          <w:szCs w:val="32"/>
          <w:lang w:val="en-US" w:eastAsia="zh-CN"/>
        </w:rPr>
        <w:t>单位</w:t>
      </w:r>
      <w:r>
        <w:rPr>
          <w:rFonts w:hint="default" w:ascii="Times New Roman" w:hAnsi="Times New Roman" w:eastAsia="方正仿宋_GBK"/>
          <w:color w:val="000000" w:themeColor="text1"/>
          <w:kern w:val="2"/>
          <w:sz w:val="32"/>
          <w:szCs w:val="32"/>
        </w:rPr>
        <w:t>202</w:t>
      </w:r>
      <w:r>
        <w:rPr>
          <w:rFonts w:ascii="Times New Roman" w:hAnsi="Times New Roman" w:eastAsia="方正仿宋_GBK"/>
          <w:color w:val="000000" w:themeColor="text1"/>
          <w:kern w:val="2"/>
          <w:sz w:val="32"/>
          <w:szCs w:val="32"/>
        </w:rPr>
        <w:t>3</w:t>
      </w:r>
      <w:r>
        <w:rPr>
          <w:rFonts w:hint="default" w:ascii="Times New Roman" w:hAnsi="Times New Roman" w:eastAsia="方正仿宋_GBK"/>
          <w:color w:val="000000" w:themeColor="text1"/>
          <w:kern w:val="2"/>
          <w:sz w:val="32"/>
          <w:szCs w:val="32"/>
        </w:rPr>
        <w:t>年度未发生因公出国（境）费用支出。</w:t>
      </w:r>
    </w:p>
    <w:p>
      <w:pPr>
        <w:tabs>
          <w:tab w:val="left" w:pos="448"/>
        </w:tabs>
        <w:spacing w:line="600" w:lineRule="exact"/>
        <w:ind w:firstLine="640" w:firstLineChars="200"/>
        <w:rPr>
          <w:rFonts w:hint="default" w:ascii="Times New Roman" w:hAnsi="Times New Roman" w:eastAsia="方正仿宋_GBK"/>
          <w:color w:val="000000" w:themeColor="text1"/>
          <w:kern w:val="2"/>
          <w:sz w:val="32"/>
          <w:szCs w:val="32"/>
        </w:rPr>
      </w:pPr>
      <w:r>
        <w:rPr>
          <w:rFonts w:hint="default" w:ascii="Times New Roman" w:hAnsi="Times New Roman" w:eastAsia="方正仿宋_GBK"/>
          <w:color w:val="000000" w:themeColor="text1"/>
          <w:kern w:val="2"/>
          <w:sz w:val="32"/>
          <w:szCs w:val="32"/>
        </w:rPr>
        <w:t>本</w:t>
      </w:r>
      <w:r>
        <w:rPr>
          <w:rFonts w:hint="eastAsia" w:ascii="Times New Roman" w:hAnsi="Times New Roman" w:eastAsia="方正仿宋_GBK"/>
          <w:color w:val="000000" w:themeColor="text1"/>
          <w:kern w:val="2"/>
          <w:sz w:val="32"/>
          <w:szCs w:val="32"/>
          <w:lang w:eastAsia="zh-CN"/>
        </w:rPr>
        <w:t>单位</w:t>
      </w:r>
      <w:r>
        <w:rPr>
          <w:rFonts w:hint="default" w:ascii="Times New Roman" w:hAnsi="Times New Roman" w:eastAsia="方正仿宋_GBK"/>
          <w:color w:val="000000" w:themeColor="text1"/>
          <w:kern w:val="2"/>
          <w:sz w:val="32"/>
          <w:szCs w:val="32"/>
        </w:rPr>
        <w:t>202</w:t>
      </w:r>
      <w:r>
        <w:rPr>
          <w:rFonts w:ascii="Times New Roman" w:hAnsi="Times New Roman" w:eastAsia="方正仿宋_GBK"/>
          <w:color w:val="000000" w:themeColor="text1"/>
          <w:kern w:val="2"/>
          <w:sz w:val="32"/>
          <w:szCs w:val="32"/>
        </w:rPr>
        <w:t>3</w:t>
      </w:r>
      <w:r>
        <w:rPr>
          <w:rFonts w:hint="default" w:ascii="Times New Roman" w:hAnsi="Times New Roman" w:eastAsia="方正仿宋_GBK"/>
          <w:color w:val="000000" w:themeColor="text1"/>
          <w:kern w:val="2"/>
          <w:sz w:val="32"/>
          <w:szCs w:val="32"/>
        </w:rPr>
        <w:t>年度未发生公务车购置费支出。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万元，主要用于接待市内、市外区县相关人员来丰学习考察调研、视察畜禽产业基地建设</w:t>
      </w:r>
      <w:r>
        <w:rPr>
          <w:rFonts w:hint="eastAsia" w:ascii="方正仿宋_GBK" w:hAnsi="方正仿宋_GBK" w:eastAsia="方正仿宋_GBK" w:cs="方正仿宋_GBK"/>
          <w:sz w:val="32"/>
          <w:szCs w:val="32"/>
          <w:shd w:val="clear" w:color="auto" w:fill="FFFFFF"/>
          <w:lang w:eastAsia="zh-CN"/>
        </w:rPr>
        <w:t>,以及</w:t>
      </w:r>
      <w:r>
        <w:rPr>
          <w:rFonts w:ascii="方正仿宋_GBK" w:hAnsi="方正仿宋_GBK" w:eastAsia="方正仿宋_GBK" w:cs="方正仿宋_GBK"/>
          <w:sz w:val="32"/>
          <w:szCs w:val="32"/>
          <w:shd w:val="clear" w:color="auto" w:fill="FFFFFF"/>
        </w:rPr>
        <w:t>下乡开展扶</w:t>
      </w:r>
      <w:r>
        <w:rPr>
          <w:rFonts w:hint="default" w:ascii="Times New Roman" w:hAnsi="Times New Roman" w:eastAsia="方正仿宋_GBK"/>
          <w:color w:val="000000" w:themeColor="text1"/>
          <w:kern w:val="2"/>
          <w:sz w:val="32"/>
          <w:szCs w:val="32"/>
        </w:rPr>
        <w:t>。</w:t>
      </w:r>
      <w:r>
        <w:rPr>
          <w:rFonts w:ascii="方正仿宋_GBK" w:hAnsi="方正仿宋_GBK" w:eastAsia="方正仿宋_GBK" w:cs="方正仿宋_GBK"/>
          <w:sz w:val="32"/>
          <w:szCs w:val="32"/>
          <w:shd w:val="clear" w:color="auto" w:fill="FFFFFF"/>
        </w:rPr>
        <w:t>费用支出较年初预算数减少4.00万元，下降57.14%，主要原因是本单位。较上年支出数减少1.00万元，下降25.00%，主要原因是本单位严格执行中央八项规定，厉行节约。</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1.45</w:t>
      </w:r>
      <w:r>
        <w:rPr>
          <w:rFonts w:ascii="方正仿宋_GBK" w:hAnsi="方正仿宋_GBK" w:eastAsia="方正仿宋_GBK" w:cs="方正仿宋_GBK"/>
          <w:sz w:val="32"/>
          <w:szCs w:val="32"/>
          <w:shd w:val="clear" w:color="auto" w:fill="FFFFFF"/>
        </w:rPr>
        <w:t>万元，主要用于接待市内、市外区县相关人员来丰学习考察调研和市总站开展肉牛改良调研及西南大学动科院来丰推进肉牛科技项目工作用餐。费用支出较年初预算数减少0.05万元，下降3.33%，主要原因是本单位严格执行中央八项规定，厉行节约，反对铺张浪费，压缩公务接待次数和标准。较上年支出数增加0.68万元，增长88.31%，主要原因是本年度接待人数增加、次数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96.83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olor w:val="000000" w:themeColor="text1"/>
          <w:kern w:val="2"/>
          <w:sz w:val="32"/>
          <w:szCs w:val="32"/>
        </w:rPr>
        <w:t>本单位未开展大型会议活动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万元，较上年决算数增加0.24万元，增长7.87%，主要原因是本年度培训种类和次数增加。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4"/>
        <w:autoSpaceDE w:val="0"/>
        <w:ind w:firstLine="640"/>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kern w:val="2"/>
          <w:sz w:val="32"/>
          <w:szCs w:val="32"/>
        </w:rPr>
        <w:t>按照部门决算列报口径，我单位不在机关运行经费统计范围内。</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tabs>
          <w:tab w:val="left" w:pos="448"/>
        </w:tabs>
        <w:spacing w:line="600" w:lineRule="exact"/>
        <w:ind w:firstLine="640" w:firstLineChars="200"/>
        <w:rPr>
          <w:rFonts w:hint="default" w:ascii="Times New Roman" w:hAnsi="Times New Roman" w:eastAsia="方正仿宋_GBK"/>
          <w:color w:val="000000" w:themeColor="text1"/>
          <w:kern w:val="2"/>
          <w:sz w:val="32"/>
          <w:szCs w:val="32"/>
        </w:rPr>
      </w:pPr>
      <w:r>
        <w:rPr>
          <w:rFonts w:hint="default" w:ascii="Times New Roman" w:hAnsi="Times New Roman" w:eastAsia="方正仿宋_GBK"/>
          <w:color w:val="000000" w:themeColor="text1"/>
          <w:kern w:val="2"/>
          <w:sz w:val="32"/>
          <w:szCs w:val="32"/>
        </w:rPr>
        <w:t>202</w:t>
      </w:r>
      <w:r>
        <w:rPr>
          <w:rFonts w:ascii="Times New Roman" w:hAnsi="Times New Roman" w:eastAsia="方正仿宋_GBK"/>
          <w:color w:val="000000" w:themeColor="text1"/>
          <w:kern w:val="2"/>
          <w:sz w:val="32"/>
          <w:szCs w:val="32"/>
        </w:rPr>
        <w:t>3</w:t>
      </w:r>
      <w:r>
        <w:rPr>
          <w:rFonts w:hint="default" w:ascii="Times New Roman" w:hAnsi="Times New Roman" w:eastAsia="方正仿宋_GBK"/>
          <w:color w:val="000000" w:themeColor="text1"/>
          <w:kern w:val="2"/>
          <w:sz w:val="32"/>
          <w:szCs w:val="32"/>
        </w:rPr>
        <w:t>年度我单位未发生政府采购事项，无相关经费支出。</w:t>
      </w:r>
    </w:p>
    <w:p>
      <w:pPr>
        <w:pStyle w:val="7"/>
        <w:numPr>
          <w:ilvl w:val="0"/>
          <w:numId w:val="3"/>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rPr>
      </w:pPr>
      <w:r>
        <w:rPr>
          <w:rFonts w:hint="eastAsia" w:ascii="方正仿宋_GBK" w:hAnsi="方正仿宋_GBK" w:eastAsia="方正仿宋_GBK" w:cs="方正仿宋_GBK"/>
          <w:sz w:val="32"/>
          <w:szCs w:val="32"/>
          <w:shd w:val="clear" w:color="auto" w:fill="FFFFFF"/>
        </w:rPr>
        <w:t>根据预算绩效管理要求，我单位对2个二级项目开展了绩效自评，涉及财政拨款项目支出资金22.68万元。</w:t>
      </w:r>
      <w:r>
        <w:rPr>
          <w:rFonts w:ascii="Times New Roman" w:hAnsi="Times New Roman" w:eastAsia="方正仿宋_GBK"/>
          <w:color w:val="000000" w:themeColor="text1"/>
          <w:kern w:val="2"/>
          <w:sz w:val="32"/>
          <w:szCs w:val="32"/>
        </w:rPr>
        <w:t>从评价情况来看，项目立项较为规范，绩效目标明确，预算编制合理，管理科学规范，总体完成情况较好</w:t>
      </w:r>
      <w:r>
        <w:rPr>
          <w:rFonts w:hint="eastAsia" w:ascii="Times New Roman" w:hAnsi="Times New Roman" w:eastAsia="方正仿宋_GBK"/>
          <w:color w:val="000000" w:themeColor="text1"/>
          <w:kern w:val="2"/>
          <w:sz w:val="32"/>
          <w:szCs w:val="32"/>
        </w:rPr>
        <w:t>。</w:t>
      </w:r>
    </w:p>
    <w:tbl>
      <w:tblPr>
        <w:tblStyle w:val="9"/>
        <w:tblW w:w="11384" w:type="dxa"/>
        <w:tblInd w:w="-1472" w:type="dxa"/>
        <w:tblLayout w:type="fixed"/>
        <w:tblCellMar>
          <w:top w:w="0" w:type="dxa"/>
          <w:left w:w="108" w:type="dxa"/>
          <w:bottom w:w="0" w:type="dxa"/>
          <w:right w:w="108" w:type="dxa"/>
        </w:tblCellMar>
      </w:tblPr>
      <w:tblGrid>
        <w:gridCol w:w="1049"/>
        <w:gridCol w:w="945"/>
        <w:gridCol w:w="569"/>
        <w:gridCol w:w="1170"/>
        <w:gridCol w:w="763"/>
        <w:gridCol w:w="1036"/>
        <w:gridCol w:w="815"/>
        <w:gridCol w:w="592"/>
        <w:gridCol w:w="583"/>
        <w:gridCol w:w="772"/>
        <w:gridCol w:w="3090"/>
      </w:tblGrid>
      <w:tr>
        <w:tblPrEx>
          <w:tblCellMar>
            <w:top w:w="0" w:type="dxa"/>
            <w:left w:w="108" w:type="dxa"/>
            <w:bottom w:w="0" w:type="dxa"/>
            <w:right w:w="108" w:type="dxa"/>
          </w:tblCellMar>
        </w:tblPrEx>
        <w:trPr>
          <w:trHeight w:val="800" w:hRule="atLeast"/>
        </w:trPr>
        <w:tc>
          <w:tcPr>
            <w:tcW w:w="113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113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肉牛产业研究院工作经费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50023023T000003071950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60.00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石海桥</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13509465108</w:t>
            </w:r>
          </w:p>
        </w:tc>
      </w:tr>
      <w:tr>
        <w:tblPrEx>
          <w:tblCellMar>
            <w:top w:w="0" w:type="dxa"/>
            <w:left w:w="108" w:type="dxa"/>
            <w:bottom w:w="0" w:type="dxa"/>
            <w:right w:w="108" w:type="dxa"/>
          </w:tblCellMar>
        </w:tblPrEx>
        <w:trPr>
          <w:trHeight w:val="600" w:hRule="atLeast"/>
        </w:trPr>
        <w:tc>
          <w:tcPr>
            <w:tcW w:w="113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94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56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76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03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81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92"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94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56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76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03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81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92"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0.00</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94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56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76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036"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200,000.00</w:t>
            </w:r>
          </w:p>
        </w:tc>
        <w:tc>
          <w:tcPr>
            <w:tcW w:w="81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92"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113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37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2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4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3733"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研究院实验室能力建设（设计，器皿、试剂等耗材购买），租车费、资料费、日常运行管理开支等</w:t>
            </w:r>
          </w:p>
        </w:tc>
        <w:tc>
          <w:tcPr>
            <w:tcW w:w="3206"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研究院实验室能力建设（设计，器皿、试剂等耗材购买），租车费、资料费、日常运行管理开支等</w:t>
            </w:r>
          </w:p>
        </w:tc>
        <w:tc>
          <w:tcPr>
            <w:tcW w:w="4445"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完成研究院实验室设计和建设，资金暂未支付。</w:t>
            </w:r>
          </w:p>
        </w:tc>
      </w:tr>
      <w:tr>
        <w:tblPrEx>
          <w:tblCellMar>
            <w:top w:w="0" w:type="dxa"/>
            <w:left w:w="108" w:type="dxa"/>
            <w:bottom w:w="0" w:type="dxa"/>
            <w:right w:w="108" w:type="dxa"/>
          </w:tblCellMar>
        </w:tblPrEx>
        <w:trPr>
          <w:trHeight w:val="600" w:hRule="atLeast"/>
        </w:trPr>
        <w:tc>
          <w:tcPr>
            <w:tcW w:w="1138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采购玻璃器皿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正在采购中</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采购药品试剂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种</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正在采购中</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实验室面积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平方米</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完成时间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财政资金投入</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万元</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已提计划9.5万元，财政未审批。</w:t>
            </w: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间接经济效益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万元</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接纳本科及以上大学生实践</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开展肉牛产业研发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长期</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tbl>
      <w:tblPr>
        <w:tblStyle w:val="9"/>
        <w:tblW w:w="11367" w:type="dxa"/>
        <w:tblInd w:w="-1472" w:type="dxa"/>
        <w:tblLayout w:type="fixed"/>
        <w:tblCellMar>
          <w:top w:w="0" w:type="dxa"/>
          <w:left w:w="108" w:type="dxa"/>
          <w:bottom w:w="0" w:type="dxa"/>
          <w:right w:w="108" w:type="dxa"/>
        </w:tblCellMar>
      </w:tblPr>
      <w:tblGrid>
        <w:gridCol w:w="1567"/>
        <w:gridCol w:w="577"/>
        <w:gridCol w:w="630"/>
        <w:gridCol w:w="809"/>
        <w:gridCol w:w="1153"/>
        <w:gridCol w:w="975"/>
        <w:gridCol w:w="748"/>
        <w:gridCol w:w="1037"/>
        <w:gridCol w:w="884"/>
        <w:gridCol w:w="659"/>
        <w:gridCol w:w="2328"/>
      </w:tblGrid>
      <w:tr>
        <w:tblPrEx>
          <w:tblCellMar>
            <w:top w:w="0" w:type="dxa"/>
            <w:left w:w="108" w:type="dxa"/>
            <w:bottom w:w="0" w:type="dxa"/>
            <w:right w:w="108" w:type="dxa"/>
          </w:tblCellMar>
        </w:tblPrEx>
        <w:trPr>
          <w:trHeight w:val="800" w:hRule="atLeast"/>
        </w:trPr>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16号引进创新人才安家补助经费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50023023T000003772962</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王太萍</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18225125216</w:t>
            </w:r>
          </w:p>
        </w:tc>
      </w:tr>
      <w:tr>
        <w:tblPrEx>
          <w:tblCellMar>
            <w:top w:w="0" w:type="dxa"/>
            <w:left w:w="108" w:type="dxa"/>
            <w:bottom w:w="0" w:type="dxa"/>
            <w:right w:w="108" w:type="dxa"/>
          </w:tblCellMar>
        </w:tblPrEx>
        <w:trPr>
          <w:trHeight w:val="600" w:hRule="atLeast"/>
        </w:trPr>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6"/>
              </w:rPr>
            </w:pPr>
            <w:r>
              <w:rPr>
                <w:rFonts w:cs="宋体"/>
                <w:b/>
                <w:bCs/>
                <w:color w:val="000000"/>
                <w:sz w:val="16"/>
                <w:szCs w:val="16"/>
                <w:lang w:bidi="ar"/>
              </w:rPr>
              <w:t>执行率权重</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6"/>
              </w:rPr>
            </w:pPr>
            <w:r>
              <w:rPr>
                <w:rFonts w:cs="宋体"/>
                <w:color w:val="000000"/>
                <w:sz w:val="16"/>
                <w:szCs w:val="16"/>
                <w:lang w:bidi="ar"/>
              </w:rPr>
              <w:t>年度总金额</w:t>
            </w:r>
          </w:p>
        </w:tc>
        <w:tc>
          <w:tcPr>
            <w:tcW w:w="577"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63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809"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0.00 </w:t>
            </w:r>
          </w:p>
        </w:tc>
        <w:tc>
          <w:tcPr>
            <w:tcW w:w="115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1037"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6"/>
              </w:rPr>
            </w:pPr>
            <w:r>
              <w:rPr>
                <w:rFonts w:cs="宋体"/>
                <w:color w:val="000000"/>
                <w:sz w:val="16"/>
                <w:szCs w:val="16"/>
                <w:lang w:bidi="ar"/>
              </w:rPr>
              <w:t>其中：财政拨款</w:t>
            </w:r>
          </w:p>
        </w:tc>
        <w:tc>
          <w:tcPr>
            <w:tcW w:w="577"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63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809"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0.00 </w:t>
            </w:r>
          </w:p>
        </w:tc>
        <w:tc>
          <w:tcPr>
            <w:tcW w:w="115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1037"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6"/>
              </w:rPr>
            </w:pPr>
            <w:r>
              <w:rPr>
                <w:rFonts w:cs="宋体"/>
                <w:color w:val="000000"/>
                <w:sz w:val="16"/>
                <w:szCs w:val="16"/>
                <w:lang w:bidi="ar"/>
              </w:rPr>
              <w:t>10.00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 xml:space="preserve">10.00 </w:t>
            </w: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6"/>
              </w:rPr>
            </w:pPr>
            <w:r>
              <w:rPr>
                <w:rFonts w:cs="宋体"/>
                <w:color w:val="000000"/>
                <w:sz w:val="16"/>
                <w:szCs w:val="16"/>
                <w:lang w:bidi="ar"/>
              </w:rPr>
              <w:t>一般公共预算</w:t>
            </w:r>
          </w:p>
        </w:tc>
        <w:tc>
          <w:tcPr>
            <w:tcW w:w="577"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63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809"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0.00 </w:t>
            </w:r>
          </w:p>
        </w:tc>
        <w:tc>
          <w:tcPr>
            <w:tcW w:w="115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6"/>
              </w:rPr>
            </w:pPr>
          </w:p>
        </w:tc>
        <w:tc>
          <w:tcPr>
            <w:tcW w:w="1037"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 xml:space="preserve">26,800.00 </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6"/>
                <w:szCs w:val="16"/>
              </w:rPr>
            </w:pPr>
            <w:r>
              <w:rPr>
                <w:rFonts w:cs="宋体"/>
                <w:color w:val="000000"/>
                <w:sz w:val="16"/>
                <w:szCs w:val="16"/>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16号硕士研究生2020年引进创新人才安家补助经费1.34万/人，共计3人，总计4.02万元。</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16号硕士研究生2020年引进创新人才安家补助经费1.34万/人，共计3人，总计4.02万元。</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6"/>
              </w:rPr>
            </w:pPr>
            <w:r>
              <w:rPr>
                <w:rFonts w:cs="宋体"/>
                <w:color w:val="000000"/>
                <w:sz w:val="16"/>
                <w:szCs w:val="16"/>
                <w:lang w:bidi="ar"/>
              </w:rPr>
              <w:t>项目已完成，2023年已支付2人安家补助费26800元，1人杨梦友辞职自愿放弃安家补助费13400元。</w:t>
            </w:r>
          </w:p>
        </w:tc>
      </w:tr>
      <w:tr>
        <w:tblPrEx>
          <w:tblCellMar>
            <w:top w:w="0" w:type="dxa"/>
            <w:left w:w="108" w:type="dxa"/>
            <w:bottom w:w="0" w:type="dxa"/>
            <w:right w:w="108" w:type="dxa"/>
          </w:tblCellMar>
        </w:tblPrEx>
        <w:trPr>
          <w:trHeight w:val="600" w:hRule="atLeast"/>
        </w:trPr>
        <w:tc>
          <w:tcPr>
            <w:tcW w:w="113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引进人数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到岗时间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2021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引进时间</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到岗就业服务年限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持续年限</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满意度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90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创新人才安家补助经费1.34万/人,共3人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40200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26800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33.33</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6"/>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6"/>
              </w:rPr>
            </w:pPr>
            <w:r>
              <w:rPr>
                <w:rFonts w:cs="宋体"/>
                <w:color w:val="000000"/>
                <w:sz w:val="16"/>
                <w:szCs w:val="16"/>
                <w:lang w:bidi="ar"/>
              </w:rPr>
              <w:t>已支付2.68万元，1人杨梦友辞职自愿放弃安家补助费1.34万元。</w:t>
            </w:r>
          </w:p>
        </w:tc>
      </w:tr>
    </w:tbl>
    <w:p>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我单位对肉牛产业研究院工作经费项目开展了绩效评价，涉及财政拨款项目资金20万元，评价得分60分，评价等次为良；对丰人社文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16号引进创新人才安家补助经费项目开展了绩效评价，涉及财政拨款项目资金2.68万元，评价得分80分，评价等次为优，发现财政部门资金拨款缓慢等主要问题，提出要加快资金拨款速度等下一步工作建议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县</w:t>
      </w:r>
      <w:r>
        <w:rPr>
          <w:rFonts w:hint="eastAsia" w:ascii="楷体" w:hAnsi="楷体" w:eastAsia="楷体" w:cs="楷体"/>
          <w:b/>
          <w:bCs/>
          <w:sz w:val="32"/>
          <w:szCs w:val="32"/>
          <w:shd w:val="clear" w:color="auto" w:fill="FFFFFF"/>
        </w:rPr>
        <w:t>财政局未委托第三方对我单位开展绩效评价</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王太萍</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02370619150</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重庆市丰都县畜牧技术服务推广中心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787.23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101.28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34.84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626.44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787.23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789.91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789.91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789.91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重庆市丰都县畜牧技术服务推广中心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787.23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787.23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623.76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623.76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重庆市丰都县畜牧技术服务推广中心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789.91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787.23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623.76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623.76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626.44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626.44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789.91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789.91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787.23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623.76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623.76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623.76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623.76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84.47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361.58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695.33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91.90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重庆市丰都县畜牧技术服务推广中心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47C96E6"/>
    <w:multiLevelType w:val="singleLevel"/>
    <w:tmpl w:val="E47C96E6"/>
    <w:lvl w:ilvl="0" w:tentative="0">
      <w:start w:val="1"/>
      <w:numFmt w:val="chineseCounting"/>
      <w:suff w:val="nothing"/>
      <w:lvlText w:val="%1、"/>
      <w:lvlJc w:val="left"/>
      <w:rPr>
        <w:rFonts w:hint="eastAsia"/>
      </w:rPr>
    </w:lvl>
  </w:abstractNum>
  <w:abstractNum w:abstractNumId="2">
    <w:nsid w:val="F8F4B90D"/>
    <w:multiLevelType w:val="singleLevel"/>
    <w:tmpl w:val="F8F4B90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documentProtection w:enforcement="0"/>
  <w:defaultTabStop w:val="420"/>
  <w:drawingGridHorizontalSpacing w:val="120"/>
  <w:drawingGridVerticalSpacing w:val="163"/>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E52FE"/>
    <w:rsid w:val="00994AF7"/>
    <w:rsid w:val="009B67B8"/>
    <w:rsid w:val="009D2B67"/>
    <w:rsid w:val="00A566F9"/>
    <w:rsid w:val="00AF2751"/>
    <w:rsid w:val="00B03CCD"/>
    <w:rsid w:val="00BE2B89"/>
    <w:rsid w:val="00C10E9E"/>
    <w:rsid w:val="00C20C3E"/>
    <w:rsid w:val="00D872A9"/>
    <w:rsid w:val="00E95625"/>
    <w:rsid w:val="00F73F90"/>
    <w:rsid w:val="01474EBF"/>
    <w:rsid w:val="01F3521E"/>
    <w:rsid w:val="03B87EA0"/>
    <w:rsid w:val="03E3214F"/>
    <w:rsid w:val="044C50BA"/>
    <w:rsid w:val="05BC6D49"/>
    <w:rsid w:val="06194FF1"/>
    <w:rsid w:val="065A340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5B71D0"/>
    <w:rsid w:val="11643A4B"/>
    <w:rsid w:val="11ED0F98"/>
    <w:rsid w:val="11F03528"/>
    <w:rsid w:val="12C921C4"/>
    <w:rsid w:val="13871C70"/>
    <w:rsid w:val="13A71CB4"/>
    <w:rsid w:val="13AF1D43"/>
    <w:rsid w:val="13CE1647"/>
    <w:rsid w:val="13DA18F6"/>
    <w:rsid w:val="13FD55AB"/>
    <w:rsid w:val="14200702"/>
    <w:rsid w:val="163A6CEE"/>
    <w:rsid w:val="173708E3"/>
    <w:rsid w:val="17C374FC"/>
    <w:rsid w:val="182E4AB6"/>
    <w:rsid w:val="189079DC"/>
    <w:rsid w:val="189B0D0B"/>
    <w:rsid w:val="18B43F7C"/>
    <w:rsid w:val="191D447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16B35"/>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3F1051"/>
    <w:rsid w:val="2C636760"/>
    <w:rsid w:val="2C6762A3"/>
    <w:rsid w:val="2E2E2E48"/>
    <w:rsid w:val="2FCA4B37"/>
    <w:rsid w:val="2FE029D7"/>
    <w:rsid w:val="2FF06E00"/>
    <w:rsid w:val="30586FEC"/>
    <w:rsid w:val="315F0B22"/>
    <w:rsid w:val="31D84415"/>
    <w:rsid w:val="32285F6F"/>
    <w:rsid w:val="32770556"/>
    <w:rsid w:val="329C0913"/>
    <w:rsid w:val="32AA0460"/>
    <w:rsid w:val="3337290D"/>
    <w:rsid w:val="33D105DA"/>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F7DB0E"/>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5E13A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0C1ADC"/>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5D4D8E"/>
    <w:rsid w:val="72BFBE8F"/>
    <w:rsid w:val="72DB435C"/>
    <w:rsid w:val="72E2613A"/>
    <w:rsid w:val="72F771F4"/>
    <w:rsid w:val="73934AD2"/>
    <w:rsid w:val="750837F0"/>
    <w:rsid w:val="754758CF"/>
    <w:rsid w:val="764F62AB"/>
    <w:rsid w:val="765C45EC"/>
    <w:rsid w:val="768A7619"/>
    <w:rsid w:val="772E1EBA"/>
    <w:rsid w:val="781926BC"/>
    <w:rsid w:val="796D60A4"/>
    <w:rsid w:val="79A031D5"/>
    <w:rsid w:val="7A1525F7"/>
    <w:rsid w:val="7ADFE4BC"/>
    <w:rsid w:val="7B420052"/>
    <w:rsid w:val="7BD06A28"/>
    <w:rsid w:val="7C3A7C0B"/>
    <w:rsid w:val="7C5248E4"/>
    <w:rsid w:val="7C566698"/>
    <w:rsid w:val="7C5866A3"/>
    <w:rsid w:val="7D7406BB"/>
    <w:rsid w:val="7DE94331"/>
    <w:rsid w:val="7F446A19"/>
    <w:rsid w:val="7F7452B9"/>
    <w:rsid w:val="BFFF3D60"/>
    <w:rsid w:val="FFD91F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qFormat/>
    <w:uiPriority w:val="0"/>
    <w:rPr>
      <w:rFonts w:ascii="宋体" w:hAnsi="宋体"/>
      <w:sz w:val="24"/>
      <w:szCs w:val="24"/>
    </w:rPr>
  </w:style>
  <w:style w:type="character" w:customStyle="1" w:styleId="20">
    <w:name w:val="批注主题 字符"/>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2263</Words>
  <Characters>12901</Characters>
  <Lines>107</Lines>
  <Paragraphs>30</Paragraphs>
  <TotalTime>31</TotalTime>
  <ScaleCrop>false</ScaleCrop>
  <LinksUpToDate>false</LinksUpToDate>
  <CharactersWithSpaces>15134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县农委机要秘书</cp:lastModifiedBy>
  <dcterms:modified xsi:type="dcterms:W3CDTF">2024-11-05T09:50:41Z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