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210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丰都县十直镇双溪村榨菜初加工项目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十直镇人民政府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《关于报送丰都县十直镇双溪村榨菜初加工项目实施方案的函》（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十直府函〔2024〕72号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丰都县十直镇双溪村榨菜初加工项目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丰都县十直镇双溪村股份经济合作社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十直镇双溪村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（一）新建榨菜腌制池11口1760</w:t>
      </w:r>
      <w:r>
        <w:rPr>
          <w:rFonts w:hint="eastAsia" w:eastAsia="方正仿宋_GBK" w:cs="Times New Roman"/>
          <w:sz w:val="32"/>
          <w:lang w:val="en-US" w:eastAsia="zh-CN"/>
        </w:rPr>
        <w:t>m³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（单口尺寸：5m×8m×4m），彩钢棚562.58</w:t>
      </w:r>
      <w:r>
        <w:rPr>
          <w:rFonts w:hint="eastAsia" w:eastAsia="方正仿宋_GBK" w:cs="Times New Roman"/>
          <w:sz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（配套电路布置），排水沟61m（宽0.3×深0.4m）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污水池1口29</w:t>
      </w:r>
      <w:r>
        <w:rPr>
          <w:rFonts w:hint="eastAsia" w:eastAsia="方正仿宋_GBK" w:cs="Times New Roman"/>
          <w:sz w:val="32"/>
          <w:lang w:val="en-US" w:eastAsia="zh-CN"/>
        </w:rPr>
        <w:t>m³（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长4.2m，宽3m，深2.3m</w:t>
      </w:r>
      <w:r>
        <w:rPr>
          <w:rFonts w:hint="eastAsia" w:eastAsia="方正仿宋_GBK" w:cs="Times New Roman"/>
          <w:sz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，地上一层3.3m高砖混结构管理房17.05</w:t>
      </w:r>
      <w:r>
        <w:rPr>
          <w:rFonts w:hint="eastAsia" w:eastAsia="方正仿宋_GBK" w:cs="Times New Roman"/>
          <w:sz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，场地硬化847.77</w:t>
      </w:r>
      <w:r>
        <w:rPr>
          <w:rFonts w:hint="eastAsia" w:eastAsia="方正仿宋_GBK" w:cs="Times New Roman"/>
          <w:sz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，购置安装智能电子地磅1台（60t），电子称2台，4个智能摄像头。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（二）付小容屋旁新建榨菜腌制池6口708.42</w:t>
      </w:r>
      <w:r>
        <w:rPr>
          <w:rFonts w:hint="eastAsia" w:eastAsia="方正仿宋_GBK" w:cs="Times New Roman"/>
          <w:sz w:val="32"/>
          <w:lang w:val="en-US" w:eastAsia="zh-CN"/>
        </w:rPr>
        <w:t>m³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，彩钢棚494.2</w:t>
      </w:r>
      <w:r>
        <w:rPr>
          <w:rFonts w:hint="eastAsia" w:eastAsia="方正仿宋_GBK" w:cs="Times New Roman"/>
          <w:sz w:val="32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（三）秦文平屋旁新建榨菜腌制池11口888.23</w:t>
      </w:r>
      <w:r>
        <w:rPr>
          <w:rFonts w:hint="eastAsia" w:eastAsia="方正仿宋_GBK" w:cs="Times New Roman"/>
          <w:sz w:val="32"/>
          <w:lang w:val="en-US" w:eastAsia="zh-CN"/>
        </w:rPr>
        <w:t>m³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，彩钢棚618</w:t>
      </w:r>
      <w:r>
        <w:rPr>
          <w:rFonts w:hint="eastAsia" w:eastAsia="方正仿宋_GBK" w:cs="Times New Roman"/>
          <w:sz w:val="32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（四）许明兰屋旁新建榨菜腌制池4口394</w:t>
      </w:r>
      <w:r>
        <w:rPr>
          <w:rFonts w:hint="eastAsia" w:eastAsia="方正仿宋_GBK" w:cs="Times New Roman"/>
          <w:sz w:val="32"/>
          <w:lang w:val="en-US" w:eastAsia="zh-CN"/>
        </w:rPr>
        <w:t>m³。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363.97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财政补助资金175万元，丰都县十直镇双溪村股份经济合作社自筹188.97万元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九、招投标：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left="0" w:leftChars="0" w:firstLine="4537" w:firstLineChars="14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w w:val="95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3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2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71ADE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DB7BE0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81D45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27133B"/>
    <w:rsid w:val="13D1464C"/>
    <w:rsid w:val="13F066A7"/>
    <w:rsid w:val="14057A1D"/>
    <w:rsid w:val="14331F3D"/>
    <w:rsid w:val="14501AE1"/>
    <w:rsid w:val="14813B13"/>
    <w:rsid w:val="158521DA"/>
    <w:rsid w:val="15C570C4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B26B4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0A35A2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140555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152368"/>
    <w:rsid w:val="462E5DF5"/>
    <w:rsid w:val="46586729"/>
    <w:rsid w:val="469C052C"/>
    <w:rsid w:val="469F57C6"/>
    <w:rsid w:val="47674BE3"/>
    <w:rsid w:val="47D32274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25D6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8E32A6C"/>
    <w:rsid w:val="59081EB2"/>
    <w:rsid w:val="59410B44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0629A1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71519E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0DF533C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BF2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4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4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3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4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2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3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4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676</Words>
  <Characters>776</Characters>
  <Lines>0</Lines>
  <Paragraphs>0</Paragraphs>
  <TotalTime>1</TotalTime>
  <ScaleCrop>false</ScaleCrop>
  <LinksUpToDate>false</LinksUpToDate>
  <CharactersWithSpaces>805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2024-09-09T10:48:00Z</cp:lastPrinted>
  <dcterms:modified xsi:type="dcterms:W3CDTF">2024-09-09T15:53:32Z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8E5DE966274141909C68C3324E765A6C_13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