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  <w:r>
        <w:pict>
          <v:shape id="艺术字 3" o:spid="_x0000_s1026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丰都县农业农村委员会" style="font-family:方正小标宋_GBK;font-size:36pt;font-weight:bold;v-text-align:center;"/>
          </v:shape>
        </w:pic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264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margin">
                  <wp:posOffset>2971800</wp:posOffset>
                </wp:positionV>
                <wp:extent cx="5615940" cy="0"/>
                <wp:effectExtent l="0" t="10795" r="381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34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TH&#10;26TYAAAADAEAAA8AAAAAAAAAAQAgAAAAIgAAAGRycy9kb3ducmV2LnhtbFBLAQIUABQAAAAIAIdO&#10;4kCzcKXl6gEAANwDAAAOAAAAAAAAAAEAIAAAACcBAABkcnMvZTJvRG9jLnhtbFBLBQYAAAAABgAG&#10;AFkBAACD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eastAsia="zh-CN"/>
        </w:rPr>
        <w:t>丰</w:t>
      </w:r>
      <w:r>
        <w:rPr>
          <w:rFonts w:hint="eastAsia" w:ascii="方正小标宋_GBK" w:eastAsia="方正小标宋_GBK"/>
          <w:sz w:val="44"/>
          <w:szCs w:val="24"/>
        </w:rPr>
        <w:t>都县榨菜出口</w:t>
      </w:r>
      <w:r>
        <w:rPr>
          <w:rFonts w:hint="eastAsia" w:ascii="方正小标宋_GBK" w:eastAsia="方正小标宋_GBK"/>
          <w:sz w:val="44"/>
          <w:szCs w:val="24"/>
          <w:lang w:eastAsia="zh-CN"/>
        </w:rPr>
        <w:t>精深</w:t>
      </w:r>
      <w:r>
        <w:rPr>
          <w:rFonts w:hint="eastAsia" w:ascii="方正小标宋_GBK" w:eastAsia="方正小标宋_GBK"/>
          <w:sz w:val="44"/>
          <w:szCs w:val="24"/>
        </w:rPr>
        <w:t>加工及万亩种植示范基地建设实施方案的批复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重庆丰都三和实业有限公司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司</w:t>
      </w:r>
      <w:r>
        <w:rPr>
          <w:rFonts w:hint="eastAsia" w:eastAsia="方正仿宋_GBK"/>
          <w:color w:val="auto"/>
          <w:sz w:val="32"/>
          <w:szCs w:val="32"/>
        </w:rPr>
        <w:t>报送的《关于丰都县榨菜出口精深加工及万亩种植示范基地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项目策划</w:t>
      </w:r>
      <w:r>
        <w:rPr>
          <w:rFonts w:hint="eastAsia" w:eastAsia="方正仿宋_GBK"/>
          <w:color w:val="auto"/>
          <w:sz w:val="32"/>
          <w:szCs w:val="32"/>
        </w:rPr>
        <w:t>方案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的请示</w:t>
      </w:r>
      <w:r>
        <w:rPr>
          <w:rFonts w:hint="eastAsia"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丰三和司文〔2022〕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05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700" w:firstLineChars="0"/>
        <w:textAlignment w:val="auto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丰都县榨菜出口精深加工及万亩种植示范基地建设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16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z w:val="32"/>
          <w:lang w:eastAsia="zh-CN"/>
        </w:rPr>
        <w:t>重庆丰都三和实业有限公司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虎威镇、社坛镇、保合镇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1.</w:t>
      </w:r>
      <w:r>
        <w:rPr>
          <w:rFonts w:hint="eastAsia" w:eastAsia="方正仿宋_GBK"/>
          <w:kern w:val="0"/>
          <w:sz w:val="32"/>
          <w:szCs w:val="32"/>
          <w:lang w:eastAsia="zh-CN"/>
        </w:rPr>
        <w:t>榨菜出口精深加工基地：新建榨菜精深加工车间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4200㎡、库房1800㎡，购置榨菜淘洗、脱盐、包装、杀菌等加工设备184台套，配套排水、供电、降温、监控、制冷等设施</w:t>
      </w:r>
      <w:r>
        <w:rPr>
          <w:rFonts w:hint="eastAsia" w:eastAsia="方正仿宋_GBK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2.</w:t>
      </w:r>
      <w:r>
        <w:rPr>
          <w:rFonts w:hint="eastAsia" w:eastAsia="方正仿宋_GBK"/>
          <w:kern w:val="0"/>
          <w:sz w:val="32"/>
          <w:szCs w:val="32"/>
          <w:lang w:eastAsia="zh-CN"/>
        </w:rPr>
        <w:t>万亩榨菜种植示范基地：通过提供种子、技术指导、保价收购等方式，推广出口农产品标准化种植，开展宜机化种植、收获、转运试点示范，与合作社、种植大户联合打造万亩榨菜种植示范基地。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4500</w:t>
      </w:r>
      <w:r>
        <w:rPr>
          <w:rFonts w:hint="eastAsia" w:eastAsia="方正仿宋_GBK"/>
          <w:kern w:val="0"/>
          <w:sz w:val="32"/>
          <w:szCs w:val="32"/>
        </w:rPr>
        <w:t>万元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申请市级专项财政补助资金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2200万元，重庆丰都三和实业有限公司自筹2300万元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-50" w:leftChars="-24" w:firstLine="677" w:firstLineChars="223"/>
        <w:textAlignment w:val="auto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按相关规定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办理完善用地等手续</w:t>
      </w:r>
      <w:r>
        <w:rPr>
          <w:rFonts w:hint="eastAsia" w:eastAsia="方正仿宋_GBK"/>
          <w:w w:val="95"/>
          <w:kern w:val="0"/>
          <w:sz w:val="32"/>
          <w:szCs w:val="32"/>
        </w:rPr>
        <w:t>，落实建设条件，按期开工建设。严格按项目基本建设程序建设，加强项目管理，确保工程质量。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rPr>
          <w:rFonts w:ascii="宋体" w:hAnsi="宋体" w:eastAsia="宋体" w:cs="宋体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县农业农村委监督举报电话：023-70711151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县纪委监委监督举报电话：12388</w:t>
      </w:r>
    </w:p>
    <w:tbl>
      <w:tblPr>
        <w:tblStyle w:val="25"/>
        <w:tblpPr w:leftFromText="181" w:rightFromText="181" w:vertAnchor="page" w:horzAnchor="page" w:tblpX="1694" w:tblpY="14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23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0" w:firstLineChars="50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丰都县农业农村委员会办公室   </w:t>
            </w:r>
            <w:r>
              <w:rPr>
                <w:rFonts w:hint="eastAsia" w:ascii="方正仿宋_GBK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2022年10月17日印发</w:t>
            </w:r>
          </w:p>
        </w:tc>
      </w:tr>
    </w:tbl>
    <w:p>
      <w:pPr>
        <w:pStyle w:val="2"/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监督举报电话：12345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TU1NWQzZDE4NTEyMDY1NjU4NWZhYzE3NGQ0ZW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C05AB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B87190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083464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B15D30"/>
    <w:rsid w:val="22C959BE"/>
    <w:rsid w:val="22CD295D"/>
    <w:rsid w:val="23C10887"/>
    <w:rsid w:val="240C762A"/>
    <w:rsid w:val="244E0DD1"/>
    <w:rsid w:val="24CA5B3F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8D6321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7316C9"/>
    <w:rsid w:val="44FC236A"/>
    <w:rsid w:val="4520370A"/>
    <w:rsid w:val="462E5DF5"/>
    <w:rsid w:val="469C052C"/>
    <w:rsid w:val="469F57C6"/>
    <w:rsid w:val="47674BE3"/>
    <w:rsid w:val="482F4571"/>
    <w:rsid w:val="48AB62F5"/>
    <w:rsid w:val="48CD5F61"/>
    <w:rsid w:val="490A6BE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614AA9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6901021"/>
    <w:rsid w:val="57395FE4"/>
    <w:rsid w:val="575C26A5"/>
    <w:rsid w:val="577A064C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6B0071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E91142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C50368"/>
    <w:rsid w:val="7AF24553"/>
    <w:rsid w:val="7BA13CC6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659</Words>
  <Characters>702</Characters>
  <Lines>0</Lines>
  <Paragraphs>0</Paragraphs>
  <TotalTime>0</TotalTime>
  <ScaleCrop>false</ScaleCrop>
  <LinksUpToDate>false</LinksUpToDate>
  <CharactersWithSpaces>726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2022-04-25T08:04:00Z</dcterms:created>
  <dc:creator>Administrator</dc:creator>
  <cp:lastModifiedBy>Administrator</cp:lastModifiedBy>
  <cp:lastPrinted>2022-10-18T08:00:00Z</cp:lastPrinted>
  <dcterms:modified xsi:type="dcterms:W3CDTF">2022-10-18T08:17:27Z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7341807841D14C6D9161F271C4A788EF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