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CA55A1">
      <w:pPr>
        <w:pStyle w:val="4"/>
        <w:jc w:val="center"/>
        <w:rPr>
          <w:sz w:val="32"/>
          <w:szCs w:val="32"/>
        </w:rPr>
      </w:pPr>
      <w:r>
        <w:rPr>
          <w:rStyle w:val="7"/>
          <w:rFonts w:hint="eastAsia"/>
          <w:sz w:val="32"/>
          <w:szCs w:val="32"/>
        </w:rPr>
        <w:t>重庆市丰都县社会保险事务中心</w:t>
      </w:r>
    </w:p>
    <w:p w14:paraId="7EC647E6">
      <w:pPr>
        <w:pStyle w:val="4"/>
        <w:jc w:val="center"/>
        <w:rPr>
          <w:sz w:val="32"/>
          <w:szCs w:val="32"/>
        </w:rPr>
      </w:pPr>
      <w:r>
        <w:rPr>
          <w:rStyle w:val="7"/>
          <w:rFonts w:hint="eastAsia"/>
          <w:sz w:val="32"/>
          <w:szCs w:val="32"/>
        </w:rPr>
        <w:t>2022年度部门决算情况说明</w:t>
      </w:r>
    </w:p>
    <w:p w14:paraId="52290163">
      <w:pPr>
        <w:pStyle w:val="4"/>
        <w:rPr>
          <w:sz w:val="32"/>
          <w:szCs w:val="32"/>
        </w:rPr>
      </w:pPr>
      <w:r>
        <w:rPr>
          <w:rStyle w:val="7"/>
          <w:rFonts w:hint="eastAsia"/>
          <w:sz w:val="32"/>
          <w:szCs w:val="32"/>
        </w:rPr>
        <w:t>一、部门基本情况</w:t>
      </w:r>
    </w:p>
    <w:p w14:paraId="78E8C41C">
      <w:pPr>
        <w:ind w:firstLine="567"/>
        <w:rPr>
          <w:rFonts w:ascii="宋体" w:hAnsi="宋体" w:eastAsia="宋体" w:cs="宋体"/>
          <w:bCs/>
          <w:sz w:val="32"/>
          <w:szCs w:val="32"/>
        </w:rPr>
      </w:pPr>
      <w:r>
        <w:rPr>
          <w:rFonts w:hint="eastAsia" w:ascii="宋体" w:hAnsi="宋体" w:eastAsia="宋体" w:cs="宋体"/>
          <w:bCs/>
          <w:sz w:val="32"/>
          <w:szCs w:val="32"/>
        </w:rPr>
        <w:t>本单位为丰都县人力资源和社会保障局所属级二级</w:t>
      </w:r>
      <w:r>
        <w:rPr>
          <w:rFonts w:hint="eastAsia" w:ascii="宋体" w:hAnsi="宋体" w:eastAsia="宋体" w:cs="宋体"/>
          <w:bCs/>
          <w:spacing w:val="14"/>
          <w:sz w:val="32"/>
          <w:szCs w:val="32"/>
        </w:rPr>
        <w:t>预算单位，单位性质</w:t>
      </w:r>
      <w:r>
        <w:rPr>
          <w:rFonts w:hint="eastAsia" w:ascii="宋体" w:hAnsi="宋体" w:eastAsia="宋体" w:cs="宋体"/>
          <w:bCs/>
          <w:sz w:val="32"/>
          <w:szCs w:val="32"/>
        </w:rPr>
        <w:t>为参照公务员管理的事业单位，决算编报类型为单户表，按照政府会计制度填报决算数据。</w:t>
      </w:r>
    </w:p>
    <w:p w14:paraId="2BD1F944">
      <w:pPr>
        <w:pStyle w:val="4"/>
        <w:ind w:firstLine="640" w:firstLineChars="200"/>
        <w:rPr>
          <w:bCs/>
          <w:sz w:val="32"/>
          <w:szCs w:val="32"/>
        </w:rPr>
      </w:pPr>
      <w:r>
        <w:rPr>
          <w:rFonts w:hint="eastAsia"/>
          <w:bCs/>
          <w:sz w:val="32"/>
          <w:szCs w:val="32"/>
        </w:rPr>
        <w:t>纳入本套决算编制范围的独立核算单位共</w:t>
      </w:r>
      <w:r>
        <w:rPr>
          <w:rFonts w:hint="eastAsia"/>
          <w:bCs/>
          <w:sz w:val="32"/>
          <w:szCs w:val="32"/>
          <w:u w:val="single"/>
        </w:rPr>
        <w:t>1</w:t>
      </w:r>
      <w:r>
        <w:rPr>
          <w:rFonts w:hint="eastAsia"/>
          <w:bCs/>
          <w:sz w:val="32"/>
          <w:szCs w:val="32"/>
        </w:rPr>
        <w:t>个，比上年增减0个。</w:t>
      </w:r>
    </w:p>
    <w:p w14:paraId="4A361A3D">
      <w:pPr>
        <w:pStyle w:val="4"/>
        <w:rPr>
          <w:sz w:val="32"/>
          <w:szCs w:val="32"/>
        </w:rPr>
      </w:pPr>
      <w:r>
        <w:rPr>
          <w:rStyle w:val="7"/>
          <w:rFonts w:hint="eastAsia"/>
          <w:sz w:val="32"/>
          <w:szCs w:val="32"/>
        </w:rPr>
        <w:t>（一）职能职责</w:t>
      </w:r>
    </w:p>
    <w:p w14:paraId="73F3CE25">
      <w:pPr>
        <w:spacing w:line="360" w:lineRule="auto"/>
        <w:ind w:firstLine="480"/>
        <w:rPr>
          <w:rFonts w:ascii="宋体" w:hAnsi="宋体" w:eastAsia="宋体" w:cs="宋体"/>
          <w:sz w:val="32"/>
          <w:szCs w:val="32"/>
        </w:rPr>
      </w:pPr>
      <w:r>
        <w:rPr>
          <w:rFonts w:hint="eastAsia" w:ascii="宋体" w:hAnsi="宋体" w:eastAsia="宋体" w:cs="宋体"/>
          <w:sz w:val="32"/>
          <w:szCs w:val="32"/>
        </w:rPr>
        <w:t>丰都社会保险事务中心2019年12月1日根据中共丰都县委机构编制委员会《关于丰都县社会保险局机构编制方案的批复》（丰委编委〔2019〕110号）“经县委编委会研究，同意丰都县社会保险局机构编制调整方案，丰都县社会保险局为丰都县人力资源和社会保障局所属正科级财政全额拨款公益一类事业单位”，内设9个机构：办公室、财务基金科（稽核监督科）、信息网络科、公共业务科（单位参保科）、个人参保科、机关事业养老保险科、工伤保险科、居民养老保险科、养老待遇科并确定了各科室的职责。丰都县社会保险局全额事业编制为32名，其中设局长1名、副局长2名；内设机构领导职数9名（各科室设科长、主任1名）。</w:t>
      </w:r>
    </w:p>
    <w:p w14:paraId="417E2FB8">
      <w:pPr>
        <w:pStyle w:val="4"/>
        <w:rPr>
          <w:sz w:val="32"/>
          <w:szCs w:val="32"/>
        </w:rPr>
      </w:pPr>
      <w:r>
        <w:rPr>
          <w:rStyle w:val="7"/>
          <w:rFonts w:hint="eastAsia"/>
          <w:sz w:val="32"/>
          <w:szCs w:val="32"/>
        </w:rPr>
        <w:t>（二）机构设置</w:t>
      </w:r>
    </w:p>
    <w:p w14:paraId="100B47D8">
      <w:pPr>
        <w:spacing w:line="360" w:lineRule="auto"/>
        <w:ind w:firstLine="480"/>
        <w:rPr>
          <w:rFonts w:ascii="宋体" w:hAnsi="宋体" w:eastAsia="宋体" w:cs="宋体"/>
          <w:sz w:val="32"/>
          <w:szCs w:val="32"/>
        </w:rPr>
      </w:pPr>
      <w:r>
        <w:rPr>
          <w:rFonts w:hint="eastAsia" w:ascii="宋体" w:hAnsi="宋体" w:eastAsia="宋体" w:cs="宋体"/>
          <w:sz w:val="32"/>
          <w:szCs w:val="32"/>
        </w:rPr>
        <w:t>丰都县社会社保事务中心2019年12月1日根据中共丰都县委机构编制委员会《关于丰都县社会保险局机构编制方案的批复》（丰委编委〔2019〕110号）“经县委编委会研究，同意丰都县社会保险局机构编制调整方案，丰都县社会保险局为丰都县人力资源和社会保障局所属正科级财政全额拨款公益一类事业单位”，内设9个机构：办公室、财务基金科（稽核监督科）、信息网络科、公共业务科（单位参保科）、个人参保科、机关事业养老保险科、工伤保险科、居民养老保险科、养老待遇科并确定了各科室的职责。丰都县社会保险局全额事业编制为32名，其中设局长1名、副局长2名；内设机构领导职数9名（各科室设科长、主任1名）。</w:t>
      </w:r>
    </w:p>
    <w:p w14:paraId="4F8D177C">
      <w:pPr>
        <w:pStyle w:val="4"/>
        <w:rPr>
          <w:sz w:val="32"/>
          <w:szCs w:val="32"/>
        </w:rPr>
      </w:pPr>
      <w:r>
        <w:rPr>
          <w:rStyle w:val="7"/>
          <w:rFonts w:hint="eastAsia"/>
          <w:sz w:val="32"/>
          <w:szCs w:val="32"/>
        </w:rPr>
        <w:t>（三）单位构成</w:t>
      </w:r>
    </w:p>
    <w:p w14:paraId="641BFC48">
      <w:pPr>
        <w:pStyle w:val="4"/>
        <w:rPr>
          <w:rStyle w:val="7"/>
          <w:sz w:val="32"/>
          <w:szCs w:val="32"/>
        </w:rPr>
      </w:pPr>
      <w:r>
        <w:rPr>
          <w:rStyle w:val="7"/>
          <w:rFonts w:hint="eastAsia"/>
          <w:b w:val="0"/>
          <w:bCs w:val="0"/>
          <w:sz w:val="32"/>
          <w:szCs w:val="32"/>
        </w:rPr>
        <w:t>丰都县社会保险事务中心是</w:t>
      </w:r>
      <w:r>
        <w:rPr>
          <w:rFonts w:hint="eastAsia"/>
          <w:sz w:val="32"/>
          <w:szCs w:val="32"/>
        </w:rPr>
        <w:t>丰</w:t>
      </w:r>
      <w:r>
        <w:rPr>
          <w:rFonts w:hint="eastAsia"/>
          <w:bCs/>
          <w:sz w:val="32"/>
          <w:szCs w:val="32"/>
        </w:rPr>
        <w:t>都县人力资源和社会保障局所属级二级</w:t>
      </w:r>
      <w:r>
        <w:rPr>
          <w:rFonts w:hint="eastAsia"/>
          <w:bCs/>
          <w:spacing w:val="14"/>
          <w:sz w:val="32"/>
          <w:szCs w:val="32"/>
        </w:rPr>
        <w:t>预算单位.</w:t>
      </w:r>
    </w:p>
    <w:p w14:paraId="421A0482">
      <w:pPr>
        <w:pStyle w:val="4"/>
        <w:rPr>
          <w:sz w:val="32"/>
          <w:szCs w:val="32"/>
        </w:rPr>
      </w:pPr>
      <w:r>
        <w:rPr>
          <w:rStyle w:val="7"/>
          <w:rFonts w:hint="eastAsia"/>
          <w:sz w:val="32"/>
          <w:szCs w:val="32"/>
        </w:rPr>
        <w:t>二、部门决算情况说明</w:t>
      </w:r>
    </w:p>
    <w:p w14:paraId="0F8BA38A">
      <w:pPr>
        <w:pStyle w:val="4"/>
        <w:rPr>
          <w:sz w:val="32"/>
          <w:szCs w:val="32"/>
        </w:rPr>
      </w:pPr>
      <w:r>
        <w:rPr>
          <w:rStyle w:val="7"/>
          <w:rFonts w:hint="eastAsia"/>
          <w:sz w:val="32"/>
          <w:szCs w:val="32"/>
        </w:rPr>
        <w:t>决算总体情况说明</w:t>
      </w:r>
    </w:p>
    <w:p w14:paraId="1060C220">
      <w:pPr>
        <w:pStyle w:val="4"/>
        <w:numPr>
          <w:ilvl w:val="0"/>
          <w:numId w:val="1"/>
        </w:numPr>
        <w:rPr>
          <w:rStyle w:val="7"/>
          <w:sz w:val="32"/>
          <w:szCs w:val="32"/>
        </w:rPr>
      </w:pPr>
      <w:r>
        <w:rPr>
          <w:rStyle w:val="7"/>
          <w:rFonts w:hint="eastAsia"/>
          <w:sz w:val="32"/>
          <w:szCs w:val="32"/>
        </w:rPr>
        <w:t>收入支出</w:t>
      </w:r>
    </w:p>
    <w:p w14:paraId="7B544D8A">
      <w:pPr>
        <w:pStyle w:val="4"/>
        <w:numPr>
          <w:ilvl w:val="0"/>
          <w:numId w:val="2"/>
        </w:numPr>
        <w:rPr>
          <w:sz w:val="32"/>
          <w:szCs w:val="32"/>
        </w:rPr>
      </w:pPr>
      <w:r>
        <w:rPr>
          <w:rStyle w:val="7"/>
          <w:rFonts w:hint="eastAsia"/>
          <w:sz w:val="32"/>
          <w:szCs w:val="32"/>
        </w:rPr>
        <w:t>总体情况。</w:t>
      </w:r>
      <w:r>
        <w:rPr>
          <w:rFonts w:hint="eastAsia"/>
          <w:sz w:val="32"/>
          <w:szCs w:val="32"/>
        </w:rPr>
        <w:t>2022年度收入总计1,924.08万元，支出总计1,924.08万元。收支较上年决算数减少205.43万元,下降9.6%，主要原因是年初无结转资金和其他资金支出。</w:t>
      </w:r>
    </w:p>
    <w:p w14:paraId="4F3AF38E">
      <w:pPr>
        <w:pStyle w:val="4"/>
        <w:numPr>
          <w:ilvl w:val="0"/>
          <w:numId w:val="2"/>
        </w:numPr>
        <w:rPr>
          <w:sz w:val="32"/>
          <w:szCs w:val="32"/>
        </w:rPr>
      </w:pPr>
      <w:r>
        <w:rPr>
          <w:rStyle w:val="7"/>
          <w:rFonts w:hint="eastAsia"/>
          <w:sz w:val="32"/>
          <w:szCs w:val="32"/>
        </w:rPr>
        <w:t>收入情况。</w:t>
      </w:r>
      <w:r>
        <w:rPr>
          <w:rFonts w:hint="eastAsia"/>
          <w:sz w:val="32"/>
          <w:szCs w:val="32"/>
        </w:rPr>
        <w:t>2022年度收入合计1,924.08万元，较上年决算数减少167.24万元，下降8%，主要原因是项目收入减少（减少了项目）.其中：财政拨款收入1,924.08万元，占100%；事业收入0.00万元，占0%；经营收入0.00万元，占0%；其他收入0.00万元，占0%。此外，使用非财政拨款结余0.00万元，年初结转和结余0.00万元。</w:t>
      </w:r>
    </w:p>
    <w:p w14:paraId="1A555F3B">
      <w:pPr>
        <w:pStyle w:val="4"/>
        <w:numPr>
          <w:ilvl w:val="0"/>
          <w:numId w:val="2"/>
        </w:numPr>
        <w:rPr>
          <w:sz w:val="32"/>
          <w:szCs w:val="32"/>
        </w:rPr>
      </w:pPr>
      <w:r>
        <w:rPr>
          <w:rStyle w:val="7"/>
          <w:rFonts w:hint="eastAsia"/>
          <w:sz w:val="32"/>
          <w:szCs w:val="32"/>
        </w:rPr>
        <w:t>支出情况。</w:t>
      </w:r>
      <w:r>
        <w:rPr>
          <w:rFonts w:hint="eastAsia"/>
          <w:sz w:val="32"/>
          <w:szCs w:val="32"/>
        </w:rPr>
        <w:t>2022年度支出合计1,924.08万元，较上年决算减少205.43万元，下降9.6%，主要原因是本年度项目支出减少和无其他支出，其中：基本支出607.60万元，占31.6%；项目支出1,316.47万元，占68.4%；经营支出0.00万元，占0%。此外，结余分配0.00万元</w:t>
      </w:r>
    </w:p>
    <w:p w14:paraId="20E42802">
      <w:pPr>
        <w:pStyle w:val="4"/>
        <w:numPr>
          <w:ilvl w:val="0"/>
          <w:numId w:val="2"/>
        </w:numPr>
        <w:rPr>
          <w:sz w:val="32"/>
          <w:szCs w:val="32"/>
        </w:rPr>
      </w:pPr>
      <w:r>
        <w:rPr>
          <w:rStyle w:val="7"/>
          <w:rFonts w:hint="eastAsia"/>
          <w:sz w:val="32"/>
          <w:szCs w:val="32"/>
        </w:rPr>
        <w:t>结转结余情况。</w:t>
      </w:r>
      <w:r>
        <w:rPr>
          <w:rFonts w:hint="eastAsia"/>
          <w:sz w:val="32"/>
          <w:szCs w:val="32"/>
        </w:rPr>
        <w:t>2022年度年末结转和结余0.00万元，较上年决算数增加0.00万元</w:t>
      </w:r>
      <w:r>
        <w:rPr>
          <w:rFonts w:hint="eastAsia"/>
          <w:sz w:val="32"/>
          <w:szCs w:val="32"/>
          <w:lang w:eastAsia="zh-CN"/>
        </w:rPr>
        <w:t>，</w:t>
      </w:r>
      <w:r>
        <w:rPr>
          <w:rFonts w:hint="eastAsia"/>
          <w:sz w:val="32"/>
          <w:szCs w:val="32"/>
        </w:rPr>
        <w:t>主要原因是本年度无结转结余资金。</w:t>
      </w:r>
    </w:p>
    <w:p w14:paraId="1DA1C6BB">
      <w:pPr>
        <w:pStyle w:val="4"/>
        <w:rPr>
          <w:sz w:val="32"/>
          <w:szCs w:val="32"/>
        </w:rPr>
      </w:pPr>
      <w:r>
        <w:rPr>
          <w:rStyle w:val="7"/>
          <w:rFonts w:hint="eastAsia"/>
          <w:sz w:val="32"/>
          <w:szCs w:val="32"/>
        </w:rPr>
        <w:t>（二）财政拨款收入支出决算总体情况说明</w:t>
      </w:r>
    </w:p>
    <w:p w14:paraId="49096848">
      <w:pPr>
        <w:pStyle w:val="4"/>
        <w:rPr>
          <w:sz w:val="32"/>
          <w:szCs w:val="32"/>
        </w:rPr>
      </w:pPr>
      <w:r>
        <w:rPr>
          <w:rFonts w:hint="eastAsia"/>
          <w:sz w:val="32"/>
          <w:szCs w:val="32"/>
        </w:rPr>
        <w:t>2022年度财政拨款收、支总计1,924.08万元。与2021年相比，财政拨款收、支总计各减少152.24万元，下降7.3%。主要原因是项目减少。</w:t>
      </w:r>
    </w:p>
    <w:p w14:paraId="0C223973">
      <w:pPr>
        <w:pStyle w:val="4"/>
        <w:rPr>
          <w:sz w:val="32"/>
          <w:szCs w:val="32"/>
        </w:rPr>
      </w:pPr>
      <w:r>
        <w:rPr>
          <w:rStyle w:val="7"/>
          <w:rFonts w:hint="eastAsia"/>
          <w:sz w:val="32"/>
          <w:szCs w:val="32"/>
        </w:rPr>
        <w:t>（三）一般公共预算财政拨款收入支出决算情况说明</w:t>
      </w:r>
    </w:p>
    <w:p w14:paraId="2F2FC5C9">
      <w:pPr>
        <w:pStyle w:val="4"/>
        <w:rPr>
          <w:sz w:val="32"/>
          <w:szCs w:val="32"/>
        </w:rPr>
      </w:pPr>
      <w:r>
        <w:rPr>
          <w:rStyle w:val="7"/>
          <w:rFonts w:hint="eastAsia"/>
          <w:sz w:val="32"/>
          <w:szCs w:val="32"/>
        </w:rPr>
        <w:t>1.收入情况。</w:t>
      </w:r>
      <w:r>
        <w:rPr>
          <w:rFonts w:hint="eastAsia"/>
          <w:sz w:val="32"/>
          <w:szCs w:val="32"/>
        </w:rPr>
        <w:t>2022年度一般公共预算财政拨款收入1,924.08万元，较上年决算数减少152.24万元，下降7.3%。主要原因是项目减少；较年初预算数增加355.04万元，增长22.6%。主要原因是增加了项目，此外，年初财政拨款结转和结余0.00万元。</w:t>
      </w:r>
    </w:p>
    <w:p w14:paraId="78090CB0">
      <w:pPr>
        <w:pStyle w:val="4"/>
        <w:rPr>
          <w:sz w:val="32"/>
          <w:szCs w:val="32"/>
        </w:rPr>
      </w:pPr>
      <w:r>
        <w:rPr>
          <w:rStyle w:val="7"/>
          <w:rFonts w:hint="eastAsia"/>
          <w:sz w:val="32"/>
          <w:szCs w:val="32"/>
        </w:rPr>
        <w:t>2.支出情况。</w:t>
      </w:r>
      <w:r>
        <w:rPr>
          <w:rFonts w:hint="eastAsia"/>
          <w:sz w:val="32"/>
          <w:szCs w:val="32"/>
        </w:rPr>
        <w:t>2022年度一般公共预算财政拨款支出1,924.08万元，较上年决算数减少152.24万元，下降7.3%。主要原因是项目减少，较年初预算数增加355.04万元，增长22.6%。主要原因是增加了项目。</w:t>
      </w:r>
    </w:p>
    <w:p w14:paraId="0B3E8803">
      <w:pPr>
        <w:pStyle w:val="4"/>
        <w:rPr>
          <w:sz w:val="32"/>
          <w:szCs w:val="32"/>
        </w:rPr>
      </w:pPr>
      <w:r>
        <w:rPr>
          <w:rStyle w:val="7"/>
          <w:rFonts w:hint="eastAsia"/>
          <w:sz w:val="32"/>
          <w:szCs w:val="32"/>
        </w:rPr>
        <w:t>3.结转结余情况。</w:t>
      </w:r>
      <w:r>
        <w:rPr>
          <w:rFonts w:hint="eastAsia"/>
          <w:sz w:val="32"/>
          <w:szCs w:val="32"/>
        </w:rPr>
        <w:t>2022年度年末一般公共预算财政拨款结转和结余0.00万元，较上年决算数增加0.00万元。</w:t>
      </w:r>
    </w:p>
    <w:p w14:paraId="592396B4">
      <w:pPr>
        <w:pStyle w:val="4"/>
        <w:rPr>
          <w:sz w:val="32"/>
          <w:szCs w:val="32"/>
        </w:rPr>
      </w:pPr>
      <w:r>
        <w:rPr>
          <w:rStyle w:val="7"/>
          <w:rFonts w:hint="eastAsia"/>
          <w:sz w:val="32"/>
          <w:szCs w:val="32"/>
        </w:rPr>
        <w:t>4.比较情况。</w:t>
      </w:r>
      <w:r>
        <w:rPr>
          <w:rFonts w:hint="eastAsia"/>
          <w:sz w:val="32"/>
          <w:szCs w:val="32"/>
        </w:rPr>
        <w:t>本部门2022年度一般公共预算财政拨款支出主要用于以下几个方面：</w:t>
      </w:r>
    </w:p>
    <w:p w14:paraId="0F50E8D2">
      <w:pPr>
        <w:pStyle w:val="4"/>
        <w:rPr>
          <w:sz w:val="32"/>
          <w:szCs w:val="32"/>
        </w:rPr>
      </w:pPr>
      <w:r>
        <w:rPr>
          <w:rFonts w:hint="eastAsia"/>
          <w:sz w:val="32"/>
          <w:szCs w:val="32"/>
        </w:rPr>
        <w:t>（1）社会保障与就业支出1,832.24万元，占95.2%，较年初预算数增加310.91万元，增长20.4%，主要原因是项目增加。</w:t>
      </w:r>
    </w:p>
    <w:p w14:paraId="49AEB091">
      <w:pPr>
        <w:pStyle w:val="4"/>
        <w:rPr>
          <w:sz w:val="32"/>
          <w:szCs w:val="32"/>
        </w:rPr>
      </w:pPr>
      <w:r>
        <w:rPr>
          <w:rFonts w:hint="eastAsia"/>
          <w:sz w:val="32"/>
          <w:szCs w:val="32"/>
        </w:rPr>
        <w:t>（2）卫生健康支出25.26万元，占1.3%，较年初预算数增加0.00万元，增长0%.</w:t>
      </w:r>
    </w:p>
    <w:p w14:paraId="3FFEA75E">
      <w:pPr>
        <w:pStyle w:val="4"/>
        <w:rPr>
          <w:sz w:val="32"/>
          <w:szCs w:val="32"/>
        </w:rPr>
      </w:pPr>
      <w:r>
        <w:rPr>
          <w:rFonts w:hint="eastAsia"/>
          <w:sz w:val="32"/>
          <w:szCs w:val="32"/>
        </w:rPr>
        <w:t>（3）农林水支出44.12万元，占2.3%，较年初预算数增加44.12万元，增长%.</w:t>
      </w:r>
    </w:p>
    <w:p w14:paraId="6105CCEA">
      <w:pPr>
        <w:pStyle w:val="4"/>
        <w:rPr>
          <w:sz w:val="32"/>
          <w:szCs w:val="32"/>
        </w:rPr>
      </w:pPr>
      <w:r>
        <w:rPr>
          <w:rFonts w:hint="eastAsia"/>
          <w:sz w:val="32"/>
          <w:szCs w:val="32"/>
        </w:rPr>
        <w:t>（4）住房保障支出22.45万元，占1.2%，较年初预算数增加0.00万元，增长0%，</w:t>
      </w:r>
    </w:p>
    <w:p w14:paraId="16294653">
      <w:pPr>
        <w:pStyle w:val="4"/>
        <w:rPr>
          <w:sz w:val="32"/>
          <w:szCs w:val="32"/>
        </w:rPr>
      </w:pPr>
      <w:r>
        <w:rPr>
          <w:rStyle w:val="7"/>
          <w:rFonts w:hint="eastAsia"/>
          <w:sz w:val="32"/>
          <w:szCs w:val="32"/>
        </w:rPr>
        <w:t>（四）一般公共预算财政拨款基本支出决算情况说明</w:t>
      </w:r>
    </w:p>
    <w:p w14:paraId="664A554D">
      <w:pPr>
        <w:pStyle w:val="4"/>
        <w:rPr>
          <w:sz w:val="32"/>
          <w:szCs w:val="32"/>
        </w:rPr>
      </w:pPr>
      <w:r>
        <w:rPr>
          <w:rFonts w:hint="eastAsia"/>
          <w:sz w:val="32"/>
          <w:szCs w:val="32"/>
        </w:rPr>
        <w:t>2022年度一般公共预算财政拨款基本支出607.60万元。其中：人员经费522.54万元，较上年决算数增加19.32万元，增长3.8%，主要原因是2022年8月新招了6人，人员经费用途主要包括工资福利支出及对家庭和个人补助支出。公用经费85.06万元，较上年决算数增加13.73万元，增长19.2%，主要原因是2022年8月新招了6人。公用经费用途主要包括：办公费1.64万元、印刷费1.04万元、水费1.26万元、电费3.51万元、邮电费8.39万元、</w:t>
      </w:r>
      <w:r>
        <w:rPr>
          <w:rFonts w:hint="eastAsia"/>
          <w:sz w:val="32"/>
          <w:szCs w:val="32"/>
          <w:lang w:eastAsia="zh-CN"/>
        </w:rPr>
        <w:t>差旅费</w:t>
      </w:r>
      <w:r>
        <w:rPr>
          <w:rFonts w:hint="eastAsia"/>
          <w:sz w:val="32"/>
          <w:szCs w:val="32"/>
        </w:rPr>
        <w:t>6.29万元、维修费1.5万元、培训费3万元、公务接待费0.6万元、劳务费10.07万元、工会经费14.62万元。</w:t>
      </w:r>
    </w:p>
    <w:p w14:paraId="7BBD9975">
      <w:pPr>
        <w:pStyle w:val="4"/>
        <w:rPr>
          <w:sz w:val="32"/>
          <w:szCs w:val="32"/>
        </w:rPr>
      </w:pPr>
      <w:r>
        <w:rPr>
          <w:rStyle w:val="7"/>
          <w:rFonts w:hint="eastAsia"/>
          <w:sz w:val="32"/>
          <w:szCs w:val="32"/>
        </w:rPr>
        <w:t>（五）政府性基金预算收支决算情况说明。</w:t>
      </w:r>
    </w:p>
    <w:p w14:paraId="60A35601">
      <w:pPr>
        <w:pStyle w:val="4"/>
        <w:rPr>
          <w:sz w:val="32"/>
          <w:szCs w:val="32"/>
        </w:rPr>
      </w:pPr>
      <w:r>
        <w:rPr>
          <w:rFonts w:hint="eastAsia"/>
          <w:sz w:val="32"/>
          <w:szCs w:val="32"/>
        </w:rPr>
        <w:t>2022年度政府性基金预算财政拨款年初结转结余0.00万元，年末结转结余0.00万元。本年收入0.00万元，较上年决算</w:t>
      </w:r>
      <w:bookmarkStart w:id="0" w:name="_GoBack"/>
      <w:bookmarkEnd w:id="0"/>
      <w:r>
        <w:rPr>
          <w:rFonts w:hint="eastAsia"/>
          <w:sz w:val="32"/>
          <w:szCs w:val="32"/>
        </w:rPr>
        <w:t>数增加0.00万元，增长%，主要原因是本单位无政府性奖金收入。本年支出0.00万元，较上年决算数增加0.00万元，增长%，主要原因是本单位也没有使用政府性奖金安排的支出。</w:t>
      </w:r>
    </w:p>
    <w:p w14:paraId="2EEF2D5A">
      <w:pPr>
        <w:pStyle w:val="4"/>
        <w:rPr>
          <w:sz w:val="32"/>
          <w:szCs w:val="32"/>
        </w:rPr>
      </w:pPr>
      <w:r>
        <w:rPr>
          <w:rStyle w:val="7"/>
          <w:rFonts w:hint="eastAsia"/>
          <w:sz w:val="32"/>
          <w:szCs w:val="32"/>
        </w:rPr>
        <w:t>（六）国有资本经营预算财政拨款支出决算情况说明。</w:t>
      </w:r>
    </w:p>
    <w:p w14:paraId="7121581D">
      <w:pPr>
        <w:pStyle w:val="4"/>
        <w:rPr>
          <w:sz w:val="32"/>
          <w:szCs w:val="32"/>
        </w:rPr>
      </w:pPr>
      <w:r>
        <w:rPr>
          <w:rFonts w:hint="eastAsia"/>
          <w:sz w:val="32"/>
          <w:szCs w:val="32"/>
        </w:rPr>
        <w:t>2022年度国有资本经营预算财政拨本年支出0.00万元，基本支出0.00万元，项目支出0.00万元，本单位本年度无国有资产经营预算财政拨款的收入和支出。</w:t>
      </w:r>
    </w:p>
    <w:p w14:paraId="4259623C">
      <w:pPr>
        <w:pStyle w:val="4"/>
        <w:rPr>
          <w:sz w:val="32"/>
          <w:szCs w:val="32"/>
        </w:rPr>
      </w:pPr>
      <w:r>
        <w:rPr>
          <w:rStyle w:val="7"/>
          <w:rFonts w:hint="eastAsia"/>
          <w:sz w:val="32"/>
          <w:szCs w:val="32"/>
        </w:rPr>
        <w:t>三、“三公”经费情况说明</w:t>
      </w:r>
    </w:p>
    <w:p w14:paraId="37B55FB2">
      <w:pPr>
        <w:pStyle w:val="4"/>
        <w:rPr>
          <w:sz w:val="32"/>
          <w:szCs w:val="32"/>
        </w:rPr>
      </w:pPr>
      <w:r>
        <w:rPr>
          <w:rStyle w:val="7"/>
          <w:rFonts w:hint="eastAsia"/>
          <w:sz w:val="32"/>
          <w:szCs w:val="32"/>
        </w:rPr>
        <w:t>（一）“三公”经费支出总体情况说明</w:t>
      </w:r>
    </w:p>
    <w:p w14:paraId="0798C2CF">
      <w:pPr>
        <w:pStyle w:val="4"/>
        <w:rPr>
          <w:sz w:val="32"/>
          <w:szCs w:val="32"/>
        </w:rPr>
      </w:pPr>
      <w:r>
        <w:rPr>
          <w:rFonts w:hint="eastAsia"/>
          <w:sz w:val="32"/>
          <w:szCs w:val="32"/>
        </w:rPr>
        <w:t>2022年度“三公”经费支出共计0.50万元，较年初预算数减少1.50万元，下降75%，主要原因是公务接待减少了。</w:t>
      </w:r>
    </w:p>
    <w:p w14:paraId="4D52D6E4">
      <w:pPr>
        <w:pStyle w:val="4"/>
        <w:rPr>
          <w:sz w:val="32"/>
          <w:szCs w:val="32"/>
        </w:rPr>
      </w:pPr>
      <w:r>
        <w:rPr>
          <w:rFonts w:hint="eastAsia"/>
          <w:sz w:val="32"/>
          <w:szCs w:val="32"/>
        </w:rPr>
        <w:t>较上年支出数减少0.20万元，下降28.6%，主要原因是公务接待减少了</w:t>
      </w:r>
    </w:p>
    <w:p w14:paraId="29D08462">
      <w:pPr>
        <w:pStyle w:val="4"/>
        <w:rPr>
          <w:sz w:val="32"/>
          <w:szCs w:val="32"/>
        </w:rPr>
      </w:pPr>
      <w:r>
        <w:rPr>
          <w:rStyle w:val="7"/>
          <w:rFonts w:hint="eastAsia"/>
          <w:sz w:val="32"/>
          <w:szCs w:val="32"/>
        </w:rPr>
        <w:t>（二）“三公”经费分项支出情况</w:t>
      </w:r>
    </w:p>
    <w:p w14:paraId="22C7D710">
      <w:pPr>
        <w:pStyle w:val="4"/>
        <w:rPr>
          <w:sz w:val="32"/>
          <w:szCs w:val="32"/>
        </w:rPr>
      </w:pPr>
      <w:r>
        <w:rPr>
          <w:rFonts w:hint="eastAsia"/>
          <w:sz w:val="32"/>
          <w:szCs w:val="32"/>
        </w:rPr>
        <w:t>2022年度本部门因公出国（境）费用0.00万元，主要是用于本年度没有安排因公出国（境）。费用支出较年初预算数增加0.00万元，增长%，主要原因是安排因公出国（境）。较上年支出数增加0.00万元，增长%，主要原因是安排因公出国（境）。公务车购置费0.00万元，费用支出较年初预算数增加0.00万元，增长0%，主要原因是没有购置公务车辆。较上年支出数增加0.00万元，增长0%，主要原因是没有购置公务车辆。</w:t>
      </w:r>
    </w:p>
    <w:p w14:paraId="09737BE5">
      <w:pPr>
        <w:pStyle w:val="4"/>
        <w:rPr>
          <w:sz w:val="32"/>
          <w:szCs w:val="32"/>
        </w:rPr>
      </w:pPr>
      <w:r>
        <w:rPr>
          <w:rFonts w:hint="eastAsia"/>
          <w:sz w:val="32"/>
          <w:szCs w:val="32"/>
        </w:rPr>
        <w:t>公务车运行维护费0.00万元，费用支出较年初预算数增加0.00万元，增长0%，主要原因是本单位无公务车。较上年支出数增加0.00万元，增长0%，主要原因是本单位无公务车。</w:t>
      </w:r>
    </w:p>
    <w:p w14:paraId="69BC6EA1">
      <w:pPr>
        <w:pStyle w:val="4"/>
        <w:rPr>
          <w:sz w:val="32"/>
          <w:szCs w:val="32"/>
        </w:rPr>
      </w:pPr>
      <w:r>
        <w:rPr>
          <w:rFonts w:hint="eastAsia"/>
          <w:sz w:val="32"/>
          <w:szCs w:val="32"/>
        </w:rPr>
        <w:t>公务接待费0.50万元，主要用于接待市局的检查和区县之间的交换检查接待费。费用支出较年初预算数减少1.50万元，下降75%，主要原因是接待的人次减少了。较上年支出数减少0.20万元，下降28.6%，主要原因接待的人次减少了。</w:t>
      </w:r>
    </w:p>
    <w:p w14:paraId="22FA4A1A">
      <w:pPr>
        <w:pStyle w:val="4"/>
        <w:rPr>
          <w:sz w:val="32"/>
          <w:szCs w:val="32"/>
        </w:rPr>
      </w:pPr>
      <w:r>
        <w:rPr>
          <w:rStyle w:val="7"/>
          <w:rFonts w:hint="eastAsia"/>
          <w:sz w:val="32"/>
          <w:szCs w:val="32"/>
        </w:rPr>
        <w:t>（三）“三公”经费实物量情况</w:t>
      </w:r>
    </w:p>
    <w:p w14:paraId="2F392714">
      <w:pPr>
        <w:pStyle w:val="4"/>
        <w:rPr>
          <w:sz w:val="32"/>
          <w:szCs w:val="32"/>
        </w:rPr>
      </w:pPr>
      <w:r>
        <w:rPr>
          <w:rFonts w:hint="eastAsia"/>
          <w:sz w:val="32"/>
          <w:szCs w:val="32"/>
        </w:rPr>
        <w:t>2022年度本部门因公出国（境）共计0个团组，0人；公务用车购置0辆，公务车保有量为0辆；国内公务接待7批次31人，其中：国内外事接待0批次，0人；国（境）外公务接待0批次，0人。2022年本部门人均接待费161.90元，车均购置费0.00万元，车均维护费0.00万元。</w:t>
      </w:r>
    </w:p>
    <w:p w14:paraId="37011A6A">
      <w:pPr>
        <w:pStyle w:val="4"/>
        <w:rPr>
          <w:sz w:val="32"/>
          <w:szCs w:val="32"/>
        </w:rPr>
      </w:pPr>
      <w:r>
        <w:rPr>
          <w:rStyle w:val="7"/>
          <w:rFonts w:hint="eastAsia"/>
          <w:sz w:val="32"/>
          <w:szCs w:val="32"/>
        </w:rPr>
        <w:t>四、其他需要说明的事项</w:t>
      </w:r>
    </w:p>
    <w:p w14:paraId="3EF93101">
      <w:pPr>
        <w:pStyle w:val="4"/>
        <w:rPr>
          <w:sz w:val="32"/>
          <w:szCs w:val="32"/>
        </w:rPr>
      </w:pPr>
      <w:r>
        <w:rPr>
          <w:rStyle w:val="7"/>
          <w:rFonts w:hint="eastAsia"/>
          <w:sz w:val="32"/>
          <w:szCs w:val="32"/>
        </w:rPr>
        <w:t>（一）财政拨款会议费和培训费情况说明</w:t>
      </w:r>
    </w:p>
    <w:p w14:paraId="3DE9B354">
      <w:pPr>
        <w:pStyle w:val="4"/>
        <w:rPr>
          <w:sz w:val="32"/>
          <w:szCs w:val="32"/>
        </w:rPr>
      </w:pPr>
      <w:r>
        <w:rPr>
          <w:rFonts w:hint="eastAsia"/>
          <w:sz w:val="32"/>
          <w:szCs w:val="32"/>
        </w:rPr>
        <w:t>本年度会议费支出0.00万元，较上年决算数减少0.16万元，下降100%，主要原因是本年度没有支出会议费。本年度培训费支出4.40万元，较上年决算数减少0.18万元，下降3.9%，主要原因是外出培训的人次减少了。</w:t>
      </w:r>
    </w:p>
    <w:p w14:paraId="36E89E05">
      <w:pPr>
        <w:pStyle w:val="4"/>
        <w:rPr>
          <w:sz w:val="32"/>
          <w:szCs w:val="32"/>
        </w:rPr>
      </w:pPr>
      <w:r>
        <w:rPr>
          <w:rStyle w:val="7"/>
          <w:rFonts w:hint="eastAsia"/>
          <w:sz w:val="32"/>
          <w:szCs w:val="32"/>
        </w:rPr>
        <w:t>（二）机关运行经费支出情况说明</w:t>
      </w:r>
    </w:p>
    <w:p w14:paraId="36BCC532">
      <w:pPr>
        <w:pStyle w:val="4"/>
        <w:rPr>
          <w:sz w:val="32"/>
          <w:szCs w:val="32"/>
        </w:rPr>
      </w:pPr>
      <w:r>
        <w:rPr>
          <w:rFonts w:hint="eastAsia"/>
          <w:sz w:val="32"/>
          <w:szCs w:val="32"/>
        </w:rPr>
        <w:t>2022年度本部门机关运行经费支出85.06万元，主要用于开支办公费1.64万元、印刷费1.04万元、水费1.26万元、电费3.51万元、邮电费8.39万元、</w:t>
      </w:r>
      <w:r>
        <w:rPr>
          <w:rFonts w:hint="eastAsia"/>
          <w:sz w:val="32"/>
          <w:szCs w:val="32"/>
          <w:lang w:eastAsia="zh-CN"/>
        </w:rPr>
        <w:t>差旅费</w:t>
      </w:r>
      <w:r>
        <w:rPr>
          <w:rFonts w:hint="eastAsia"/>
          <w:sz w:val="32"/>
          <w:szCs w:val="32"/>
        </w:rPr>
        <w:t>6.29万元、维修费1.5万元、培训费3万元、公务接待费0.6万元、劳务费10.07万元、工会经费14.62万元。机关运行经费较上年决算数增加13.73万元，增长19.2%，主要原因是2022年新增加了6人。</w:t>
      </w:r>
    </w:p>
    <w:p w14:paraId="5F71FAFA">
      <w:pPr>
        <w:pStyle w:val="4"/>
        <w:rPr>
          <w:sz w:val="32"/>
          <w:szCs w:val="32"/>
        </w:rPr>
      </w:pPr>
      <w:r>
        <w:rPr>
          <w:rStyle w:val="7"/>
          <w:rFonts w:hint="eastAsia"/>
          <w:sz w:val="32"/>
          <w:szCs w:val="32"/>
        </w:rPr>
        <w:t>（三）国有资产占用情况说明</w:t>
      </w:r>
    </w:p>
    <w:p w14:paraId="5DFE3760">
      <w:pPr>
        <w:pStyle w:val="4"/>
        <w:rPr>
          <w:sz w:val="32"/>
          <w:szCs w:val="32"/>
        </w:rPr>
      </w:pPr>
      <w:r>
        <w:rPr>
          <w:rFonts w:hint="eastAsia"/>
          <w:sz w:val="32"/>
          <w:szCs w:val="32"/>
        </w:rPr>
        <w:t>截至2022年12月31日，本部门共有车辆0辆，其中，副部（省）级及以上领导用车0辆、主要领导干部用车0辆、机要通信用车0辆、应急保障用车0辆、执法执勤用车0辆，特种专业技术用车0辆，离退休干部用车0辆，其他用车0辆。单价100万元（含）以上设备（不含车辆）0台（套）。</w:t>
      </w:r>
    </w:p>
    <w:p w14:paraId="1F6D12BB">
      <w:pPr>
        <w:pStyle w:val="4"/>
        <w:rPr>
          <w:sz w:val="32"/>
          <w:szCs w:val="32"/>
        </w:rPr>
      </w:pPr>
      <w:r>
        <w:rPr>
          <w:rStyle w:val="7"/>
          <w:rFonts w:hint="eastAsia"/>
          <w:sz w:val="32"/>
          <w:szCs w:val="32"/>
        </w:rPr>
        <w:t>（四）政府采购支出说明</w:t>
      </w:r>
    </w:p>
    <w:p w14:paraId="14946444">
      <w:pPr>
        <w:pStyle w:val="4"/>
        <w:rPr>
          <w:sz w:val="32"/>
          <w:szCs w:val="32"/>
        </w:rPr>
      </w:pPr>
      <w:r>
        <w:rPr>
          <w:rFonts w:hint="eastAsia"/>
          <w:sz w:val="32"/>
          <w:szCs w:val="32"/>
        </w:rPr>
        <w:t>2022年度本部门政府采购支出总额0.00万元，其中：政府采购货物支出0.00万元、政府采购工程支出0.00万元、政府采购服务支出0.00万元。授予中小企业合同金额0.00万元，占政府采购支出总额的%，其中：授予小微企业合同金额0.00万元，占政府采购支出总额的%。主要是我单位2022年度没有发生政府采购事项，也无修改经费支出。</w:t>
      </w:r>
    </w:p>
    <w:p w14:paraId="20D4636D">
      <w:pPr>
        <w:pStyle w:val="4"/>
        <w:rPr>
          <w:sz w:val="32"/>
          <w:szCs w:val="32"/>
        </w:rPr>
      </w:pPr>
      <w:r>
        <w:rPr>
          <w:rStyle w:val="7"/>
          <w:rFonts w:hint="eastAsia"/>
          <w:sz w:val="32"/>
          <w:szCs w:val="32"/>
        </w:rPr>
        <w:t>五、预算绩效管理情况说明</w:t>
      </w:r>
    </w:p>
    <w:p w14:paraId="110FFBB8">
      <w:pPr>
        <w:pStyle w:val="4"/>
        <w:rPr>
          <w:sz w:val="32"/>
          <w:szCs w:val="32"/>
        </w:rPr>
      </w:pPr>
      <w:r>
        <w:rPr>
          <w:rStyle w:val="7"/>
          <w:rFonts w:hint="eastAsia"/>
          <w:sz w:val="32"/>
          <w:szCs w:val="32"/>
        </w:rPr>
        <w:t>（一）预算绩效管理工作开展情况</w:t>
      </w:r>
    </w:p>
    <w:p w14:paraId="143CE6CF">
      <w:pPr>
        <w:pStyle w:val="4"/>
        <w:shd w:val="clear" w:color="auto" w:fill="FFFFFF"/>
        <w:ind w:left="426"/>
        <w:rPr>
          <w:sz w:val="32"/>
          <w:szCs w:val="32"/>
          <w:shd w:val="clear" w:color="auto" w:fill="FFFFFF"/>
        </w:rPr>
      </w:pPr>
      <w:r>
        <w:rPr>
          <w:rFonts w:cs="Times New Roman"/>
          <w:kern w:val="2"/>
          <w:sz w:val="32"/>
          <w:szCs w:val="32"/>
          <w:shd w:val="clear" w:color="auto" w:fill="FFFFFF"/>
        </w:rPr>
        <w:t>根据预算绩效管理要求，本单位对</w:t>
      </w:r>
      <w:r>
        <w:rPr>
          <w:rFonts w:hint="eastAsia" w:cs="Times New Roman"/>
          <w:kern w:val="2"/>
          <w:sz w:val="32"/>
          <w:szCs w:val="32"/>
          <w:shd w:val="clear" w:color="auto" w:fill="FFFFFF"/>
        </w:rPr>
        <w:t>28</w:t>
      </w:r>
      <w:r>
        <w:rPr>
          <w:rFonts w:cs="Times New Roman"/>
          <w:kern w:val="2"/>
          <w:sz w:val="32"/>
          <w:szCs w:val="32"/>
          <w:shd w:val="clear" w:color="auto" w:fill="FFFFFF"/>
        </w:rPr>
        <w:t>个项目开展了绩效自评，其中，以填报目标自评表形式开展自评</w:t>
      </w:r>
      <w:r>
        <w:rPr>
          <w:rFonts w:hint="eastAsia" w:cs="Times New Roman"/>
          <w:kern w:val="2"/>
          <w:sz w:val="32"/>
          <w:szCs w:val="32"/>
          <w:shd w:val="clear" w:color="auto" w:fill="FFFFFF"/>
        </w:rPr>
        <w:t>28</w:t>
      </w:r>
      <w:r>
        <w:rPr>
          <w:rFonts w:cs="Times New Roman"/>
          <w:kern w:val="2"/>
          <w:sz w:val="32"/>
          <w:szCs w:val="32"/>
          <w:shd w:val="clear" w:color="auto" w:fill="FFFFFF"/>
        </w:rPr>
        <w:t>项，涉及资金15</w:t>
      </w:r>
      <w:r>
        <w:rPr>
          <w:rFonts w:hint="eastAsia" w:cs="Times New Roman"/>
          <w:kern w:val="2"/>
          <w:sz w:val="32"/>
          <w:szCs w:val="32"/>
          <w:shd w:val="clear" w:color="auto" w:fill="FFFFFF"/>
        </w:rPr>
        <w:t>54.95</w:t>
      </w:r>
      <w:r>
        <w:rPr>
          <w:rFonts w:cs="Times New Roman"/>
          <w:kern w:val="2"/>
          <w:sz w:val="32"/>
          <w:szCs w:val="32"/>
          <w:shd w:val="clear" w:color="auto" w:fill="FFFFFF"/>
        </w:rPr>
        <w:t>万元；。</w:t>
      </w:r>
    </w:p>
    <w:p w14:paraId="054D9FC2">
      <w:pPr>
        <w:pStyle w:val="4"/>
        <w:rPr>
          <w:sz w:val="32"/>
          <w:szCs w:val="32"/>
        </w:rPr>
      </w:pPr>
      <w:r>
        <w:rPr>
          <w:rStyle w:val="7"/>
          <w:rFonts w:hint="eastAsia"/>
          <w:sz w:val="32"/>
          <w:szCs w:val="32"/>
        </w:rPr>
        <w:t>（二）绩效自评结果。</w:t>
      </w:r>
    </w:p>
    <w:p w14:paraId="1D2FFE4D">
      <w:pPr>
        <w:pStyle w:val="4"/>
        <w:rPr>
          <w:rStyle w:val="7"/>
          <w:sz w:val="32"/>
          <w:szCs w:val="32"/>
        </w:rPr>
      </w:pPr>
      <w:r>
        <w:rPr>
          <w:rStyle w:val="7"/>
          <w:rFonts w:hint="eastAsia"/>
          <w:sz w:val="32"/>
          <w:szCs w:val="32"/>
        </w:rPr>
        <w:t>1.绩效目标自评表。</w:t>
      </w:r>
    </w:p>
    <w:p w14:paraId="5D8BA5AA">
      <w:pPr>
        <w:pStyle w:val="4"/>
        <w:rPr>
          <w:rStyle w:val="7"/>
          <w:b w:val="0"/>
          <w:bCs w:val="0"/>
          <w:sz w:val="32"/>
          <w:szCs w:val="32"/>
        </w:rPr>
      </w:pPr>
      <w:r>
        <w:rPr>
          <w:rStyle w:val="7"/>
          <w:rFonts w:hint="eastAsia"/>
          <w:b w:val="0"/>
          <w:bCs w:val="0"/>
          <w:sz w:val="32"/>
          <w:szCs w:val="32"/>
        </w:rPr>
        <w:t>（1）公开范围：本单位只选择1个一般性二级项目绩效自评表进行公开（农机员养老补助费）</w:t>
      </w:r>
    </w:p>
    <w:p w14:paraId="549EEB88">
      <w:pPr>
        <w:pStyle w:val="4"/>
        <w:rPr>
          <w:sz w:val="32"/>
          <w:szCs w:val="32"/>
          <w:shd w:val="clear" w:color="auto" w:fill="FFFF00"/>
        </w:rPr>
      </w:pPr>
      <w:r>
        <w:rPr>
          <w:rStyle w:val="7"/>
          <w:rFonts w:hint="eastAsia"/>
          <w:b w:val="0"/>
          <w:bCs w:val="0"/>
          <w:sz w:val="32"/>
          <w:szCs w:val="32"/>
        </w:rPr>
        <w:t>（2）公开内容：详见绩效自评表：</w:t>
      </w:r>
    </w:p>
    <w:p w14:paraId="5F8A19D2">
      <w:pPr>
        <w:spacing w:line="594" w:lineRule="exact"/>
        <w:jc w:val="center"/>
        <w:rPr>
          <w:rFonts w:ascii="宋体" w:hAnsi="宋体" w:eastAsia="宋体"/>
          <w:color w:val="000000"/>
          <w:sz w:val="32"/>
          <w:szCs w:val="32"/>
        </w:rPr>
      </w:pPr>
      <w:r>
        <w:rPr>
          <w:rFonts w:ascii="宋体" w:hAnsi="宋体" w:eastAsia="宋体"/>
          <w:color w:val="000000"/>
          <w:sz w:val="32"/>
          <w:szCs w:val="32"/>
        </w:rPr>
        <w:t xml:space="preserve"> </w:t>
      </w:r>
    </w:p>
    <w:p w14:paraId="6FECF4FA">
      <w:pPr>
        <w:spacing w:line="594" w:lineRule="exact"/>
        <w:jc w:val="center"/>
        <w:rPr>
          <w:rFonts w:ascii="宋体" w:hAnsi="宋体" w:eastAsia="宋体"/>
          <w:color w:val="000000"/>
          <w:sz w:val="32"/>
          <w:szCs w:val="32"/>
        </w:rPr>
      </w:pPr>
    </w:p>
    <w:p w14:paraId="1887FCDD">
      <w:pPr>
        <w:spacing w:line="594" w:lineRule="exact"/>
        <w:jc w:val="center"/>
        <w:rPr>
          <w:rFonts w:ascii="宋体" w:hAnsi="宋体" w:eastAsia="宋体"/>
          <w:color w:val="000000"/>
          <w:sz w:val="32"/>
          <w:szCs w:val="32"/>
        </w:rPr>
        <w:sectPr>
          <w:pgSz w:w="11906" w:h="16838"/>
          <w:pgMar w:top="1440" w:right="1800" w:bottom="1440" w:left="1800" w:header="851" w:footer="992" w:gutter="0"/>
          <w:cols w:space="425" w:num="1"/>
          <w:docGrid w:type="lines" w:linePitch="312" w:charSpace="0"/>
        </w:sectPr>
      </w:pPr>
    </w:p>
    <w:tbl>
      <w:tblPr>
        <w:tblStyle w:val="5"/>
        <w:tblpPr w:leftFromText="180" w:rightFromText="180" w:vertAnchor="text" w:horzAnchor="margin" w:tblpXSpec="center" w:tblpY="-724"/>
        <w:tblW w:w="13166" w:type="dxa"/>
        <w:tblInd w:w="0" w:type="dxa"/>
        <w:tblLayout w:type="autofit"/>
        <w:tblCellMar>
          <w:top w:w="0" w:type="dxa"/>
          <w:left w:w="108" w:type="dxa"/>
          <w:bottom w:w="0" w:type="dxa"/>
          <w:right w:w="108" w:type="dxa"/>
        </w:tblCellMar>
      </w:tblPr>
      <w:tblGrid>
        <w:gridCol w:w="2219"/>
        <w:gridCol w:w="766"/>
        <w:gridCol w:w="766"/>
        <w:gridCol w:w="1315"/>
        <w:gridCol w:w="1016"/>
        <w:gridCol w:w="1115"/>
        <w:gridCol w:w="1224"/>
        <w:gridCol w:w="766"/>
        <w:gridCol w:w="766"/>
        <w:gridCol w:w="1132"/>
        <w:gridCol w:w="949"/>
        <w:gridCol w:w="1133"/>
      </w:tblGrid>
      <w:tr w14:paraId="0AA47BC0">
        <w:tblPrEx>
          <w:tblCellMar>
            <w:top w:w="0" w:type="dxa"/>
            <w:left w:w="108" w:type="dxa"/>
            <w:bottom w:w="0" w:type="dxa"/>
            <w:right w:w="108" w:type="dxa"/>
          </w:tblCellMar>
        </w:tblPrEx>
        <w:trPr>
          <w:trHeight w:val="430" w:hRule="atLeast"/>
        </w:trPr>
        <w:tc>
          <w:tcPr>
            <w:tcW w:w="13165" w:type="dxa"/>
            <w:gridSpan w:val="12"/>
            <w:tcBorders>
              <w:top w:val="single" w:color="auto" w:sz="4" w:space="0"/>
              <w:left w:val="single" w:color="auto" w:sz="4" w:space="0"/>
              <w:bottom w:val="single" w:color="auto" w:sz="4" w:space="0"/>
              <w:right w:val="single" w:color="auto" w:sz="4" w:space="0"/>
            </w:tcBorders>
            <w:shd w:val="clear" w:color="auto" w:fill="auto"/>
            <w:noWrap/>
            <w:vAlign w:val="center"/>
          </w:tcPr>
          <w:p w14:paraId="25E4ADEF">
            <w:pPr>
              <w:widowControl/>
              <w:jc w:val="center"/>
              <w:rPr>
                <w:rFonts w:ascii="微软雅黑" w:hAnsi="微软雅黑" w:eastAsia="微软雅黑" w:cs="宋体"/>
                <w:b/>
                <w:bCs/>
                <w:color w:val="000000"/>
                <w:kern w:val="0"/>
                <w:sz w:val="40"/>
                <w:szCs w:val="40"/>
              </w:rPr>
            </w:pPr>
            <w:r>
              <w:rPr>
                <w:rFonts w:hint="eastAsia" w:ascii="微软雅黑" w:hAnsi="微软雅黑" w:eastAsia="微软雅黑" w:cs="宋体"/>
                <w:b/>
                <w:bCs/>
                <w:color w:val="000000"/>
                <w:kern w:val="0"/>
                <w:sz w:val="40"/>
                <w:szCs w:val="40"/>
              </w:rPr>
              <w:t>2022年度项目绩效自评表</w:t>
            </w:r>
          </w:p>
        </w:tc>
      </w:tr>
      <w:tr w14:paraId="2DB356CB">
        <w:tblPrEx>
          <w:tblCellMar>
            <w:top w:w="0" w:type="dxa"/>
            <w:left w:w="108" w:type="dxa"/>
            <w:bottom w:w="0" w:type="dxa"/>
            <w:right w:w="108" w:type="dxa"/>
          </w:tblCellMar>
        </w:tblPrEx>
        <w:trPr>
          <w:trHeight w:val="551" w:hRule="atLeast"/>
        </w:trPr>
        <w:tc>
          <w:tcPr>
            <w:tcW w:w="13165" w:type="dxa"/>
            <w:gridSpan w:val="12"/>
            <w:tcBorders>
              <w:top w:val="single" w:color="auto" w:sz="4" w:space="0"/>
              <w:left w:val="single" w:color="auto" w:sz="4" w:space="0"/>
              <w:bottom w:val="single" w:color="auto" w:sz="4" w:space="0"/>
              <w:right w:val="single" w:color="auto" w:sz="4" w:space="0"/>
            </w:tcBorders>
            <w:shd w:val="clear" w:color="auto" w:fill="auto"/>
            <w:noWrap/>
            <w:vAlign w:val="center"/>
          </w:tcPr>
          <w:p w14:paraId="4104F877">
            <w:pPr>
              <w:widowControl/>
              <w:ind w:firstLine="220" w:firstLineChars="100"/>
              <w:jc w:val="right"/>
              <w:rPr>
                <w:rFonts w:ascii="宋体" w:hAnsi="宋体" w:eastAsia="宋体" w:cs="宋体"/>
                <w:b/>
                <w:bCs/>
                <w:color w:val="DA3232"/>
                <w:kern w:val="0"/>
                <w:sz w:val="22"/>
              </w:rPr>
            </w:pPr>
          </w:p>
        </w:tc>
      </w:tr>
      <w:tr w14:paraId="061E2C29">
        <w:tblPrEx>
          <w:tblCellMar>
            <w:top w:w="0" w:type="dxa"/>
            <w:left w:w="108" w:type="dxa"/>
            <w:bottom w:w="0" w:type="dxa"/>
            <w:right w:w="108" w:type="dxa"/>
          </w:tblCellMar>
        </w:tblPrEx>
        <w:trPr>
          <w:trHeight w:val="695" w:hRule="atLeast"/>
        </w:trPr>
        <w:tc>
          <w:tcPr>
            <w:tcW w:w="2219" w:type="dxa"/>
            <w:tcBorders>
              <w:top w:val="nil"/>
              <w:left w:val="single" w:color="auto" w:sz="4" w:space="0"/>
              <w:bottom w:val="single" w:color="auto" w:sz="4" w:space="0"/>
              <w:right w:val="single" w:color="auto" w:sz="4" w:space="0"/>
            </w:tcBorders>
            <w:shd w:val="clear" w:color="auto" w:fill="auto"/>
            <w:noWrap/>
            <w:vAlign w:val="center"/>
          </w:tcPr>
          <w:p w14:paraId="16EC2776">
            <w:pPr>
              <w:widowControl/>
              <w:jc w:val="righ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项目名称：</w:t>
            </w:r>
          </w:p>
        </w:tc>
        <w:tc>
          <w:tcPr>
            <w:tcW w:w="1531" w:type="dxa"/>
            <w:gridSpan w:val="2"/>
            <w:tcBorders>
              <w:top w:val="single" w:color="auto" w:sz="4" w:space="0"/>
              <w:left w:val="nil"/>
              <w:bottom w:val="single" w:color="auto" w:sz="4" w:space="0"/>
              <w:right w:val="single" w:color="000000" w:sz="4" w:space="0"/>
            </w:tcBorders>
            <w:shd w:val="clear" w:color="auto" w:fill="auto"/>
            <w:vAlign w:val="center"/>
          </w:tcPr>
          <w:p w14:paraId="235B7B3B">
            <w:pPr>
              <w:widowControl/>
              <w:ind w:firstLine="180" w:firstLineChars="1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农机员医疗补贴（农委）</w:t>
            </w:r>
          </w:p>
        </w:tc>
        <w:tc>
          <w:tcPr>
            <w:tcW w:w="1315" w:type="dxa"/>
            <w:tcBorders>
              <w:top w:val="nil"/>
              <w:left w:val="nil"/>
              <w:bottom w:val="single" w:color="auto" w:sz="4" w:space="0"/>
              <w:right w:val="single" w:color="auto" w:sz="4" w:space="0"/>
            </w:tcBorders>
            <w:shd w:val="clear" w:color="auto" w:fill="auto"/>
            <w:noWrap/>
            <w:vAlign w:val="center"/>
          </w:tcPr>
          <w:p w14:paraId="497B4D45">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项目编码：</w:t>
            </w:r>
          </w:p>
        </w:tc>
        <w:tc>
          <w:tcPr>
            <w:tcW w:w="2131" w:type="dxa"/>
            <w:gridSpan w:val="2"/>
            <w:tcBorders>
              <w:top w:val="single" w:color="auto" w:sz="4" w:space="0"/>
              <w:left w:val="nil"/>
              <w:bottom w:val="single" w:color="auto" w:sz="4" w:space="0"/>
              <w:right w:val="single" w:color="000000" w:sz="4" w:space="0"/>
            </w:tcBorders>
            <w:shd w:val="clear" w:color="auto" w:fill="auto"/>
            <w:noWrap/>
            <w:vAlign w:val="center"/>
          </w:tcPr>
          <w:p w14:paraId="50C4437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50023022T000000144102</w:t>
            </w:r>
          </w:p>
        </w:tc>
        <w:tc>
          <w:tcPr>
            <w:tcW w:w="1224" w:type="dxa"/>
            <w:tcBorders>
              <w:top w:val="nil"/>
              <w:left w:val="nil"/>
              <w:bottom w:val="single" w:color="auto" w:sz="4" w:space="0"/>
              <w:right w:val="single" w:color="auto" w:sz="4" w:space="0"/>
            </w:tcBorders>
            <w:shd w:val="clear" w:color="auto" w:fill="auto"/>
            <w:noWrap/>
            <w:vAlign w:val="center"/>
          </w:tcPr>
          <w:p w14:paraId="2051AE24">
            <w:pPr>
              <w:widowControl/>
              <w:jc w:val="righ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自评总分：</w:t>
            </w:r>
          </w:p>
        </w:tc>
        <w:tc>
          <w:tcPr>
            <w:tcW w:w="1531" w:type="dxa"/>
            <w:gridSpan w:val="2"/>
            <w:tcBorders>
              <w:top w:val="single" w:color="auto" w:sz="4" w:space="0"/>
              <w:left w:val="nil"/>
              <w:bottom w:val="single" w:color="auto" w:sz="4" w:space="0"/>
              <w:right w:val="single" w:color="auto" w:sz="4" w:space="0"/>
            </w:tcBorders>
            <w:shd w:val="clear" w:color="auto" w:fill="auto"/>
            <w:noWrap/>
            <w:vAlign w:val="center"/>
          </w:tcPr>
          <w:p w14:paraId="1949A082">
            <w:pPr>
              <w:widowControl/>
              <w:ind w:firstLine="180" w:firstLineChars="1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100.00</w:t>
            </w:r>
          </w:p>
        </w:tc>
        <w:tc>
          <w:tcPr>
            <w:tcW w:w="1132" w:type="dxa"/>
            <w:tcBorders>
              <w:top w:val="nil"/>
              <w:left w:val="nil"/>
              <w:bottom w:val="single" w:color="auto" w:sz="4" w:space="0"/>
              <w:right w:val="single" w:color="auto" w:sz="4" w:space="0"/>
            </w:tcBorders>
            <w:shd w:val="clear" w:color="auto" w:fill="auto"/>
            <w:noWrap/>
            <w:vAlign w:val="center"/>
          </w:tcPr>
          <w:p w14:paraId="2F8876EF">
            <w:pPr>
              <w:widowControl/>
              <w:jc w:val="righ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　</w:t>
            </w:r>
          </w:p>
        </w:tc>
        <w:tc>
          <w:tcPr>
            <w:tcW w:w="2081" w:type="dxa"/>
            <w:gridSpan w:val="2"/>
            <w:tcBorders>
              <w:top w:val="single" w:color="auto" w:sz="4" w:space="0"/>
              <w:left w:val="nil"/>
              <w:bottom w:val="single" w:color="auto" w:sz="4" w:space="0"/>
              <w:right w:val="single" w:color="auto" w:sz="4" w:space="0"/>
            </w:tcBorders>
            <w:shd w:val="clear" w:color="auto" w:fill="auto"/>
            <w:noWrap/>
            <w:vAlign w:val="center"/>
          </w:tcPr>
          <w:p w14:paraId="26D9CE58">
            <w:pPr>
              <w:widowControl/>
              <w:ind w:firstLine="180" w:firstLineChars="1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83AEDF5">
        <w:tblPrEx>
          <w:tblCellMar>
            <w:top w:w="0" w:type="dxa"/>
            <w:left w:w="108" w:type="dxa"/>
            <w:bottom w:w="0" w:type="dxa"/>
            <w:right w:w="108" w:type="dxa"/>
          </w:tblCellMar>
        </w:tblPrEx>
        <w:trPr>
          <w:trHeight w:val="485" w:hRule="atLeast"/>
        </w:trPr>
        <w:tc>
          <w:tcPr>
            <w:tcW w:w="2219" w:type="dxa"/>
            <w:tcBorders>
              <w:top w:val="nil"/>
              <w:left w:val="single" w:color="auto" w:sz="4" w:space="0"/>
              <w:bottom w:val="single" w:color="auto" w:sz="4" w:space="0"/>
              <w:right w:val="single" w:color="auto" w:sz="4" w:space="0"/>
            </w:tcBorders>
            <w:shd w:val="clear" w:color="auto" w:fill="auto"/>
            <w:noWrap/>
            <w:vAlign w:val="center"/>
          </w:tcPr>
          <w:p w14:paraId="7AE24DF8">
            <w:pPr>
              <w:widowControl/>
              <w:jc w:val="righ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项目主管部门：</w:t>
            </w:r>
          </w:p>
        </w:tc>
        <w:tc>
          <w:tcPr>
            <w:tcW w:w="1531" w:type="dxa"/>
            <w:gridSpan w:val="2"/>
            <w:tcBorders>
              <w:top w:val="single" w:color="auto" w:sz="4" w:space="0"/>
              <w:left w:val="nil"/>
              <w:bottom w:val="single" w:color="auto" w:sz="4" w:space="0"/>
              <w:right w:val="single" w:color="000000" w:sz="4" w:space="0"/>
            </w:tcBorders>
            <w:shd w:val="clear" w:color="auto" w:fill="auto"/>
            <w:vAlign w:val="center"/>
          </w:tcPr>
          <w:p w14:paraId="59AC31CB">
            <w:pPr>
              <w:widowControl/>
              <w:ind w:firstLine="180" w:firstLineChars="1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407-丰都县人力资源和社会保障局</w:t>
            </w:r>
          </w:p>
        </w:tc>
        <w:tc>
          <w:tcPr>
            <w:tcW w:w="1315" w:type="dxa"/>
            <w:tcBorders>
              <w:top w:val="nil"/>
              <w:left w:val="nil"/>
              <w:bottom w:val="single" w:color="auto" w:sz="4" w:space="0"/>
              <w:right w:val="single" w:color="auto" w:sz="4" w:space="0"/>
            </w:tcBorders>
            <w:shd w:val="clear" w:color="auto" w:fill="auto"/>
            <w:noWrap/>
            <w:vAlign w:val="center"/>
          </w:tcPr>
          <w:p w14:paraId="55850A5D">
            <w:pPr>
              <w:widowControl/>
              <w:jc w:val="righ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财政归口处室：</w:t>
            </w:r>
          </w:p>
        </w:tc>
        <w:tc>
          <w:tcPr>
            <w:tcW w:w="2131" w:type="dxa"/>
            <w:gridSpan w:val="2"/>
            <w:tcBorders>
              <w:top w:val="single" w:color="auto" w:sz="4" w:space="0"/>
              <w:left w:val="nil"/>
              <w:bottom w:val="single" w:color="auto" w:sz="4" w:space="0"/>
              <w:right w:val="single" w:color="auto" w:sz="4" w:space="0"/>
            </w:tcBorders>
            <w:shd w:val="clear" w:color="auto" w:fill="auto"/>
            <w:noWrap/>
            <w:vAlign w:val="center"/>
          </w:tcPr>
          <w:p w14:paraId="34BE45EE">
            <w:pPr>
              <w:widowControl/>
              <w:ind w:firstLine="180" w:firstLineChars="1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004-社保科</w:t>
            </w:r>
          </w:p>
        </w:tc>
        <w:tc>
          <w:tcPr>
            <w:tcW w:w="1224" w:type="dxa"/>
            <w:tcBorders>
              <w:top w:val="nil"/>
              <w:left w:val="nil"/>
              <w:bottom w:val="single" w:color="auto" w:sz="4" w:space="0"/>
              <w:right w:val="single" w:color="auto" w:sz="4" w:space="0"/>
            </w:tcBorders>
            <w:shd w:val="clear" w:color="auto" w:fill="auto"/>
            <w:noWrap/>
            <w:vAlign w:val="center"/>
          </w:tcPr>
          <w:p w14:paraId="61CDAA1E">
            <w:pPr>
              <w:widowControl/>
              <w:jc w:val="righ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部门联系人：</w:t>
            </w:r>
          </w:p>
        </w:tc>
        <w:tc>
          <w:tcPr>
            <w:tcW w:w="1531" w:type="dxa"/>
            <w:gridSpan w:val="2"/>
            <w:tcBorders>
              <w:top w:val="single" w:color="auto" w:sz="4" w:space="0"/>
              <w:left w:val="nil"/>
              <w:bottom w:val="single" w:color="auto" w:sz="4" w:space="0"/>
              <w:right w:val="single" w:color="auto" w:sz="4" w:space="0"/>
            </w:tcBorders>
            <w:shd w:val="clear" w:color="auto" w:fill="auto"/>
            <w:noWrap/>
            <w:vAlign w:val="center"/>
          </w:tcPr>
          <w:p w14:paraId="3683F624">
            <w:pPr>
              <w:widowControl/>
              <w:ind w:firstLine="180" w:firstLineChars="1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王岩</w:t>
            </w:r>
          </w:p>
        </w:tc>
        <w:tc>
          <w:tcPr>
            <w:tcW w:w="1132" w:type="dxa"/>
            <w:tcBorders>
              <w:top w:val="nil"/>
              <w:left w:val="nil"/>
              <w:bottom w:val="single" w:color="auto" w:sz="4" w:space="0"/>
              <w:right w:val="single" w:color="auto" w:sz="4" w:space="0"/>
            </w:tcBorders>
            <w:shd w:val="clear" w:color="auto" w:fill="auto"/>
            <w:noWrap/>
            <w:vAlign w:val="center"/>
          </w:tcPr>
          <w:p w14:paraId="2CCB07BB">
            <w:pPr>
              <w:widowControl/>
              <w:jc w:val="righ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联系电话：</w:t>
            </w:r>
          </w:p>
        </w:tc>
        <w:tc>
          <w:tcPr>
            <w:tcW w:w="2081" w:type="dxa"/>
            <w:gridSpan w:val="2"/>
            <w:tcBorders>
              <w:top w:val="single" w:color="auto" w:sz="4" w:space="0"/>
              <w:left w:val="nil"/>
              <w:bottom w:val="single" w:color="auto" w:sz="4" w:space="0"/>
              <w:right w:val="single" w:color="auto" w:sz="4" w:space="0"/>
            </w:tcBorders>
            <w:shd w:val="clear" w:color="auto" w:fill="auto"/>
            <w:noWrap/>
            <w:vAlign w:val="center"/>
          </w:tcPr>
          <w:p w14:paraId="5CA324FC">
            <w:pPr>
              <w:widowControl/>
              <w:ind w:firstLine="180" w:firstLineChars="1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70711653</w:t>
            </w:r>
          </w:p>
        </w:tc>
      </w:tr>
      <w:tr w14:paraId="5921F505">
        <w:tblPrEx>
          <w:tblCellMar>
            <w:top w:w="0" w:type="dxa"/>
            <w:left w:w="108" w:type="dxa"/>
            <w:bottom w:w="0" w:type="dxa"/>
            <w:right w:w="108" w:type="dxa"/>
          </w:tblCellMar>
        </w:tblPrEx>
        <w:trPr>
          <w:trHeight w:val="209" w:hRule="atLeast"/>
        </w:trPr>
        <w:tc>
          <w:tcPr>
            <w:tcW w:w="13165" w:type="dxa"/>
            <w:gridSpan w:val="12"/>
            <w:tcBorders>
              <w:top w:val="single" w:color="auto" w:sz="4" w:space="0"/>
              <w:left w:val="single" w:color="auto" w:sz="4" w:space="0"/>
              <w:bottom w:val="single" w:color="auto" w:sz="4" w:space="0"/>
              <w:right w:val="single" w:color="auto" w:sz="4" w:space="0"/>
            </w:tcBorders>
            <w:shd w:val="clear" w:color="auto" w:fill="auto"/>
            <w:noWrap/>
            <w:vAlign w:val="center"/>
          </w:tcPr>
          <w:p w14:paraId="06CA0E82">
            <w:pPr>
              <w:widowControl/>
              <w:jc w:val="center"/>
              <w:rPr>
                <w:rFonts w:ascii="微软雅黑" w:hAnsi="微软雅黑" w:eastAsia="微软雅黑" w:cs="宋体"/>
                <w:b/>
                <w:bCs/>
                <w:color w:val="7F7F7F"/>
                <w:kern w:val="0"/>
                <w:sz w:val="18"/>
                <w:szCs w:val="18"/>
              </w:rPr>
            </w:pPr>
            <w:r>
              <w:rPr>
                <w:rFonts w:hint="eastAsia" w:ascii="微软雅黑" w:hAnsi="微软雅黑" w:eastAsia="微软雅黑" w:cs="宋体"/>
                <w:b/>
                <w:bCs/>
                <w:color w:val="7F7F7F"/>
                <w:kern w:val="0"/>
                <w:sz w:val="18"/>
                <w:szCs w:val="18"/>
              </w:rPr>
              <w:t>资金情况</w:t>
            </w:r>
          </w:p>
        </w:tc>
      </w:tr>
      <w:tr w14:paraId="01B43FD6">
        <w:tblPrEx>
          <w:tblCellMar>
            <w:top w:w="0" w:type="dxa"/>
            <w:left w:w="108" w:type="dxa"/>
            <w:bottom w:w="0" w:type="dxa"/>
            <w:right w:w="108" w:type="dxa"/>
          </w:tblCellMar>
        </w:tblPrEx>
        <w:trPr>
          <w:trHeight w:val="198" w:hRule="atLeast"/>
        </w:trPr>
        <w:tc>
          <w:tcPr>
            <w:tcW w:w="2985"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14:paraId="457134C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080" w:type="dxa"/>
            <w:gridSpan w:val="2"/>
            <w:tcBorders>
              <w:top w:val="single" w:color="auto" w:sz="4" w:space="0"/>
              <w:left w:val="nil"/>
              <w:bottom w:val="single" w:color="auto" w:sz="4" w:space="0"/>
              <w:right w:val="single" w:color="000000" w:sz="4" w:space="0"/>
            </w:tcBorders>
            <w:shd w:val="clear" w:color="auto" w:fill="auto"/>
            <w:noWrap/>
            <w:vAlign w:val="center"/>
          </w:tcPr>
          <w:p w14:paraId="4D73CD12">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年初预算数</w:t>
            </w:r>
          </w:p>
        </w:tc>
        <w:tc>
          <w:tcPr>
            <w:tcW w:w="2131" w:type="dxa"/>
            <w:gridSpan w:val="2"/>
            <w:tcBorders>
              <w:top w:val="single" w:color="auto" w:sz="4" w:space="0"/>
              <w:left w:val="nil"/>
              <w:bottom w:val="single" w:color="auto" w:sz="4" w:space="0"/>
              <w:right w:val="single" w:color="000000" w:sz="4" w:space="0"/>
            </w:tcBorders>
            <w:shd w:val="clear" w:color="auto" w:fill="auto"/>
            <w:noWrap/>
            <w:vAlign w:val="center"/>
          </w:tcPr>
          <w:p w14:paraId="0042EA39">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全年（调整）预算数</w:t>
            </w:r>
          </w:p>
        </w:tc>
        <w:tc>
          <w:tcPr>
            <w:tcW w:w="1989" w:type="dxa"/>
            <w:gridSpan w:val="2"/>
            <w:tcBorders>
              <w:top w:val="single" w:color="auto" w:sz="4" w:space="0"/>
              <w:left w:val="nil"/>
              <w:bottom w:val="single" w:color="auto" w:sz="4" w:space="0"/>
              <w:right w:val="single" w:color="000000" w:sz="4" w:space="0"/>
            </w:tcBorders>
            <w:shd w:val="clear" w:color="auto" w:fill="auto"/>
            <w:noWrap/>
            <w:vAlign w:val="center"/>
          </w:tcPr>
          <w:p w14:paraId="6D23C955">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全年执行数</w:t>
            </w:r>
          </w:p>
        </w:tc>
        <w:tc>
          <w:tcPr>
            <w:tcW w:w="1898" w:type="dxa"/>
            <w:gridSpan w:val="2"/>
            <w:tcBorders>
              <w:top w:val="single" w:color="auto" w:sz="4" w:space="0"/>
              <w:left w:val="nil"/>
              <w:bottom w:val="single" w:color="auto" w:sz="4" w:space="0"/>
              <w:right w:val="single" w:color="000000" w:sz="4" w:space="0"/>
            </w:tcBorders>
            <w:shd w:val="clear" w:color="auto" w:fill="auto"/>
            <w:noWrap/>
            <w:vAlign w:val="center"/>
          </w:tcPr>
          <w:p w14:paraId="7AA0AEF1">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执行率</w:t>
            </w:r>
          </w:p>
        </w:tc>
        <w:tc>
          <w:tcPr>
            <w:tcW w:w="949" w:type="dxa"/>
            <w:tcBorders>
              <w:top w:val="nil"/>
              <w:left w:val="nil"/>
              <w:bottom w:val="single" w:color="auto" w:sz="4" w:space="0"/>
              <w:right w:val="single" w:color="auto" w:sz="4" w:space="0"/>
            </w:tcBorders>
            <w:shd w:val="clear" w:color="auto" w:fill="auto"/>
            <w:noWrap/>
            <w:vAlign w:val="center"/>
          </w:tcPr>
          <w:p w14:paraId="6A3BF70F">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执行率权重</w:t>
            </w:r>
          </w:p>
        </w:tc>
        <w:tc>
          <w:tcPr>
            <w:tcW w:w="1132" w:type="dxa"/>
            <w:tcBorders>
              <w:top w:val="nil"/>
              <w:left w:val="nil"/>
              <w:bottom w:val="single" w:color="auto" w:sz="4" w:space="0"/>
              <w:right w:val="single" w:color="auto" w:sz="4" w:space="0"/>
            </w:tcBorders>
            <w:shd w:val="clear" w:color="auto" w:fill="auto"/>
            <w:noWrap/>
            <w:vAlign w:val="center"/>
          </w:tcPr>
          <w:p w14:paraId="18CC3097">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执行率得分</w:t>
            </w:r>
          </w:p>
        </w:tc>
      </w:tr>
      <w:tr w14:paraId="4FAC3948">
        <w:tblPrEx>
          <w:tblCellMar>
            <w:top w:w="0" w:type="dxa"/>
            <w:left w:w="108" w:type="dxa"/>
            <w:bottom w:w="0" w:type="dxa"/>
            <w:right w:w="108" w:type="dxa"/>
          </w:tblCellMar>
        </w:tblPrEx>
        <w:trPr>
          <w:trHeight w:val="198" w:hRule="atLeast"/>
        </w:trPr>
        <w:tc>
          <w:tcPr>
            <w:tcW w:w="298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FE53803">
            <w:pPr>
              <w:widowControl/>
              <w:ind w:firstLine="180" w:firstLineChars="100"/>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年度总金额</w:t>
            </w:r>
          </w:p>
        </w:tc>
        <w:tc>
          <w:tcPr>
            <w:tcW w:w="2080" w:type="dxa"/>
            <w:gridSpan w:val="2"/>
            <w:tcBorders>
              <w:top w:val="single" w:color="auto" w:sz="4" w:space="0"/>
              <w:left w:val="nil"/>
              <w:bottom w:val="single" w:color="auto" w:sz="4" w:space="0"/>
              <w:right w:val="single" w:color="auto" w:sz="4" w:space="0"/>
            </w:tcBorders>
            <w:shd w:val="clear" w:color="auto" w:fill="auto"/>
            <w:noWrap/>
            <w:vAlign w:val="center"/>
          </w:tcPr>
          <w:p w14:paraId="6C1ACC2F">
            <w:pPr>
              <w:widowControl/>
              <w:ind w:firstLine="180" w:firstLineChars="100"/>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424,000.00 </w:t>
            </w:r>
          </w:p>
        </w:tc>
        <w:tc>
          <w:tcPr>
            <w:tcW w:w="2131" w:type="dxa"/>
            <w:gridSpan w:val="2"/>
            <w:tcBorders>
              <w:top w:val="single" w:color="auto" w:sz="4" w:space="0"/>
              <w:left w:val="nil"/>
              <w:bottom w:val="single" w:color="auto" w:sz="4" w:space="0"/>
              <w:right w:val="single" w:color="auto" w:sz="4" w:space="0"/>
            </w:tcBorders>
            <w:shd w:val="clear" w:color="auto" w:fill="auto"/>
            <w:noWrap/>
            <w:vAlign w:val="center"/>
          </w:tcPr>
          <w:p w14:paraId="3DB11E42">
            <w:pPr>
              <w:widowControl/>
              <w:ind w:firstLine="180" w:firstLineChars="100"/>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424,000.00 </w:t>
            </w:r>
          </w:p>
        </w:tc>
        <w:tc>
          <w:tcPr>
            <w:tcW w:w="1989" w:type="dxa"/>
            <w:gridSpan w:val="2"/>
            <w:tcBorders>
              <w:top w:val="single" w:color="auto" w:sz="4" w:space="0"/>
              <w:left w:val="nil"/>
              <w:bottom w:val="single" w:color="auto" w:sz="4" w:space="0"/>
              <w:right w:val="single" w:color="auto" w:sz="4" w:space="0"/>
            </w:tcBorders>
            <w:shd w:val="clear" w:color="auto" w:fill="auto"/>
            <w:noWrap/>
            <w:vAlign w:val="center"/>
          </w:tcPr>
          <w:p w14:paraId="2FE87D1F">
            <w:pPr>
              <w:widowControl/>
              <w:ind w:firstLine="180" w:firstLineChars="100"/>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424,000.00 </w:t>
            </w:r>
          </w:p>
        </w:tc>
        <w:tc>
          <w:tcPr>
            <w:tcW w:w="1898" w:type="dxa"/>
            <w:gridSpan w:val="2"/>
            <w:tcBorders>
              <w:top w:val="single" w:color="auto" w:sz="4" w:space="0"/>
              <w:left w:val="nil"/>
              <w:bottom w:val="single" w:color="auto" w:sz="4" w:space="0"/>
              <w:right w:val="single" w:color="auto" w:sz="4" w:space="0"/>
            </w:tcBorders>
            <w:shd w:val="clear" w:color="auto" w:fill="auto"/>
            <w:noWrap/>
            <w:vAlign w:val="center"/>
          </w:tcPr>
          <w:p w14:paraId="54EFCD22">
            <w:pPr>
              <w:widowControl/>
              <w:ind w:firstLine="180" w:firstLineChars="100"/>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49" w:type="dxa"/>
            <w:tcBorders>
              <w:top w:val="nil"/>
              <w:left w:val="nil"/>
              <w:bottom w:val="single" w:color="auto" w:sz="4" w:space="0"/>
              <w:right w:val="single" w:color="auto" w:sz="4" w:space="0"/>
            </w:tcBorders>
            <w:shd w:val="clear" w:color="auto" w:fill="auto"/>
            <w:noWrap/>
            <w:vAlign w:val="center"/>
          </w:tcPr>
          <w:p w14:paraId="6E137F6B">
            <w:pPr>
              <w:widowControl/>
              <w:ind w:firstLine="180" w:firstLineChars="100"/>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1132" w:type="dxa"/>
            <w:tcBorders>
              <w:top w:val="nil"/>
              <w:left w:val="nil"/>
              <w:bottom w:val="single" w:color="auto" w:sz="4" w:space="0"/>
              <w:right w:val="single" w:color="auto" w:sz="4" w:space="0"/>
            </w:tcBorders>
            <w:shd w:val="clear" w:color="auto" w:fill="auto"/>
            <w:noWrap/>
            <w:vAlign w:val="center"/>
          </w:tcPr>
          <w:p w14:paraId="592B39AA">
            <w:pPr>
              <w:widowControl/>
              <w:ind w:firstLine="180" w:firstLineChars="100"/>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2732D1FB">
        <w:tblPrEx>
          <w:tblCellMar>
            <w:top w:w="0" w:type="dxa"/>
            <w:left w:w="108" w:type="dxa"/>
            <w:bottom w:w="0" w:type="dxa"/>
            <w:right w:w="108" w:type="dxa"/>
          </w:tblCellMar>
        </w:tblPrEx>
        <w:trPr>
          <w:trHeight w:val="198" w:hRule="atLeast"/>
        </w:trPr>
        <w:tc>
          <w:tcPr>
            <w:tcW w:w="298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9646FA1">
            <w:pPr>
              <w:widowControl/>
              <w:ind w:firstLine="180" w:firstLineChars="100"/>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其中：财政拨款</w:t>
            </w:r>
          </w:p>
        </w:tc>
        <w:tc>
          <w:tcPr>
            <w:tcW w:w="2080" w:type="dxa"/>
            <w:gridSpan w:val="2"/>
            <w:tcBorders>
              <w:top w:val="single" w:color="auto" w:sz="4" w:space="0"/>
              <w:left w:val="nil"/>
              <w:bottom w:val="single" w:color="auto" w:sz="4" w:space="0"/>
              <w:right w:val="single" w:color="auto" w:sz="4" w:space="0"/>
            </w:tcBorders>
            <w:shd w:val="clear" w:color="auto" w:fill="auto"/>
            <w:noWrap/>
            <w:vAlign w:val="center"/>
          </w:tcPr>
          <w:p w14:paraId="1EF7CB97">
            <w:pPr>
              <w:widowControl/>
              <w:ind w:firstLine="180" w:firstLineChars="100"/>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424,000.00 </w:t>
            </w:r>
          </w:p>
        </w:tc>
        <w:tc>
          <w:tcPr>
            <w:tcW w:w="2131" w:type="dxa"/>
            <w:gridSpan w:val="2"/>
            <w:tcBorders>
              <w:top w:val="single" w:color="auto" w:sz="4" w:space="0"/>
              <w:left w:val="nil"/>
              <w:bottom w:val="single" w:color="auto" w:sz="4" w:space="0"/>
              <w:right w:val="single" w:color="auto" w:sz="4" w:space="0"/>
            </w:tcBorders>
            <w:shd w:val="clear" w:color="auto" w:fill="auto"/>
            <w:noWrap/>
            <w:vAlign w:val="center"/>
          </w:tcPr>
          <w:p w14:paraId="5B7D2B3D">
            <w:pPr>
              <w:widowControl/>
              <w:ind w:firstLine="180" w:firstLineChars="100"/>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424,000.00 </w:t>
            </w:r>
          </w:p>
        </w:tc>
        <w:tc>
          <w:tcPr>
            <w:tcW w:w="1989" w:type="dxa"/>
            <w:gridSpan w:val="2"/>
            <w:tcBorders>
              <w:top w:val="single" w:color="auto" w:sz="4" w:space="0"/>
              <w:left w:val="nil"/>
              <w:bottom w:val="single" w:color="auto" w:sz="4" w:space="0"/>
              <w:right w:val="single" w:color="auto" w:sz="4" w:space="0"/>
            </w:tcBorders>
            <w:shd w:val="clear" w:color="auto" w:fill="auto"/>
            <w:noWrap/>
            <w:vAlign w:val="center"/>
          </w:tcPr>
          <w:p w14:paraId="506B1263">
            <w:pPr>
              <w:widowControl/>
              <w:ind w:firstLine="180" w:firstLineChars="100"/>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424,000.00 </w:t>
            </w:r>
          </w:p>
        </w:tc>
        <w:tc>
          <w:tcPr>
            <w:tcW w:w="1898" w:type="dxa"/>
            <w:gridSpan w:val="2"/>
            <w:tcBorders>
              <w:top w:val="single" w:color="auto" w:sz="4" w:space="0"/>
              <w:left w:val="nil"/>
              <w:bottom w:val="single" w:color="auto" w:sz="4" w:space="0"/>
              <w:right w:val="single" w:color="auto" w:sz="4" w:space="0"/>
            </w:tcBorders>
            <w:shd w:val="clear" w:color="auto" w:fill="auto"/>
            <w:noWrap/>
            <w:vAlign w:val="center"/>
          </w:tcPr>
          <w:p w14:paraId="63CF5D94">
            <w:pPr>
              <w:widowControl/>
              <w:ind w:firstLine="180" w:firstLineChars="100"/>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949" w:type="dxa"/>
            <w:tcBorders>
              <w:top w:val="nil"/>
              <w:left w:val="nil"/>
              <w:bottom w:val="single" w:color="auto" w:sz="4" w:space="0"/>
              <w:right w:val="single" w:color="auto" w:sz="4" w:space="0"/>
            </w:tcBorders>
            <w:shd w:val="clear" w:color="auto" w:fill="auto"/>
            <w:noWrap/>
            <w:vAlign w:val="center"/>
          </w:tcPr>
          <w:p w14:paraId="49907BCD">
            <w:pPr>
              <w:widowControl/>
              <w:ind w:firstLine="180" w:firstLineChars="100"/>
              <w:jc w:val="right"/>
              <w:rPr>
                <w:rFonts w:ascii="宋体" w:hAnsi="宋体" w:eastAsia="宋体" w:cs="宋体"/>
                <w:kern w:val="0"/>
                <w:sz w:val="18"/>
                <w:szCs w:val="18"/>
              </w:rPr>
            </w:pPr>
            <w:r>
              <w:rPr>
                <w:rFonts w:hint="eastAsia" w:ascii="宋体" w:hAnsi="宋体" w:eastAsia="宋体" w:cs="宋体"/>
                <w:kern w:val="0"/>
                <w:sz w:val="18"/>
                <w:szCs w:val="18"/>
              </w:rPr>
              <w:t>10.00</w:t>
            </w:r>
          </w:p>
        </w:tc>
        <w:tc>
          <w:tcPr>
            <w:tcW w:w="1132" w:type="dxa"/>
            <w:tcBorders>
              <w:top w:val="nil"/>
              <w:left w:val="nil"/>
              <w:bottom w:val="single" w:color="auto" w:sz="4" w:space="0"/>
              <w:right w:val="single" w:color="auto" w:sz="4" w:space="0"/>
            </w:tcBorders>
            <w:shd w:val="clear" w:color="auto" w:fill="auto"/>
            <w:noWrap/>
            <w:vAlign w:val="center"/>
          </w:tcPr>
          <w:p w14:paraId="2E24CE46">
            <w:pPr>
              <w:widowControl/>
              <w:ind w:firstLine="180" w:firstLineChars="100"/>
              <w:jc w:val="right"/>
              <w:rPr>
                <w:rFonts w:ascii="宋体" w:hAnsi="宋体" w:eastAsia="宋体" w:cs="宋体"/>
                <w:kern w:val="0"/>
                <w:sz w:val="18"/>
                <w:szCs w:val="18"/>
              </w:rPr>
            </w:pPr>
            <w:r>
              <w:rPr>
                <w:rFonts w:hint="eastAsia" w:ascii="宋体" w:hAnsi="宋体" w:eastAsia="宋体" w:cs="宋体"/>
                <w:kern w:val="0"/>
                <w:sz w:val="18"/>
                <w:szCs w:val="18"/>
              </w:rPr>
              <w:t xml:space="preserve">10.00 </w:t>
            </w:r>
          </w:p>
        </w:tc>
      </w:tr>
      <w:tr w14:paraId="3B4FCCD5">
        <w:tblPrEx>
          <w:tblCellMar>
            <w:top w:w="0" w:type="dxa"/>
            <w:left w:w="108" w:type="dxa"/>
            <w:bottom w:w="0" w:type="dxa"/>
            <w:right w:w="108" w:type="dxa"/>
          </w:tblCellMar>
        </w:tblPrEx>
        <w:trPr>
          <w:trHeight w:val="209" w:hRule="atLeast"/>
        </w:trPr>
        <w:tc>
          <w:tcPr>
            <w:tcW w:w="13165" w:type="dxa"/>
            <w:gridSpan w:val="12"/>
            <w:tcBorders>
              <w:top w:val="single" w:color="auto" w:sz="4" w:space="0"/>
              <w:left w:val="single" w:color="auto" w:sz="4" w:space="0"/>
              <w:bottom w:val="single" w:color="auto" w:sz="4" w:space="0"/>
              <w:right w:val="single" w:color="auto" w:sz="4" w:space="0"/>
            </w:tcBorders>
            <w:shd w:val="clear" w:color="auto" w:fill="auto"/>
            <w:noWrap/>
            <w:vAlign w:val="center"/>
          </w:tcPr>
          <w:p w14:paraId="36BB183B">
            <w:pPr>
              <w:widowControl/>
              <w:jc w:val="center"/>
              <w:rPr>
                <w:rFonts w:ascii="微软雅黑" w:hAnsi="微软雅黑" w:eastAsia="微软雅黑" w:cs="宋体"/>
                <w:b/>
                <w:bCs/>
                <w:color w:val="7F7F7F"/>
                <w:kern w:val="0"/>
                <w:sz w:val="18"/>
                <w:szCs w:val="18"/>
              </w:rPr>
            </w:pPr>
            <w:r>
              <w:rPr>
                <w:rFonts w:hint="eastAsia" w:ascii="微软雅黑" w:hAnsi="微软雅黑" w:eastAsia="微软雅黑" w:cs="宋体"/>
                <w:b/>
                <w:bCs/>
                <w:color w:val="7F7F7F"/>
                <w:kern w:val="0"/>
                <w:sz w:val="18"/>
                <w:szCs w:val="18"/>
              </w:rPr>
              <w:t>绩效目标</w:t>
            </w:r>
          </w:p>
        </w:tc>
      </w:tr>
      <w:tr w14:paraId="1836CA60">
        <w:tblPrEx>
          <w:tblCellMar>
            <w:top w:w="0" w:type="dxa"/>
            <w:left w:w="108" w:type="dxa"/>
            <w:bottom w:w="0" w:type="dxa"/>
            <w:right w:w="108" w:type="dxa"/>
          </w:tblCellMar>
        </w:tblPrEx>
        <w:trPr>
          <w:trHeight w:val="198" w:hRule="atLeast"/>
        </w:trPr>
        <w:tc>
          <w:tcPr>
            <w:tcW w:w="506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D4FDBA1">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年初绩效目标</w:t>
            </w:r>
          </w:p>
        </w:tc>
        <w:tc>
          <w:tcPr>
            <w:tcW w:w="4120" w:type="dxa"/>
            <w:gridSpan w:val="4"/>
            <w:tcBorders>
              <w:top w:val="single" w:color="auto" w:sz="4" w:space="0"/>
              <w:left w:val="nil"/>
              <w:bottom w:val="single" w:color="auto" w:sz="4" w:space="0"/>
              <w:right w:val="single" w:color="auto" w:sz="4" w:space="0"/>
            </w:tcBorders>
            <w:shd w:val="clear" w:color="auto" w:fill="auto"/>
            <w:noWrap/>
            <w:vAlign w:val="center"/>
          </w:tcPr>
          <w:p w14:paraId="15571D6B">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全年（调整）绩效目标</w:t>
            </w:r>
          </w:p>
        </w:tc>
        <w:tc>
          <w:tcPr>
            <w:tcW w:w="3980" w:type="dxa"/>
            <w:gridSpan w:val="4"/>
            <w:tcBorders>
              <w:top w:val="single" w:color="auto" w:sz="4" w:space="0"/>
              <w:left w:val="nil"/>
              <w:bottom w:val="single" w:color="auto" w:sz="4" w:space="0"/>
              <w:right w:val="single" w:color="auto" w:sz="4" w:space="0"/>
            </w:tcBorders>
            <w:shd w:val="clear" w:color="auto" w:fill="auto"/>
            <w:noWrap/>
            <w:vAlign w:val="center"/>
          </w:tcPr>
          <w:p w14:paraId="5802A9E0">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全年目标实际完成情况</w:t>
            </w:r>
          </w:p>
        </w:tc>
      </w:tr>
      <w:tr w14:paraId="380DD489">
        <w:tblPrEx>
          <w:tblCellMar>
            <w:top w:w="0" w:type="dxa"/>
            <w:left w:w="108" w:type="dxa"/>
            <w:bottom w:w="0" w:type="dxa"/>
            <w:right w:w="108" w:type="dxa"/>
          </w:tblCellMar>
        </w:tblPrEx>
        <w:trPr>
          <w:trHeight w:val="485" w:hRule="atLeast"/>
        </w:trPr>
        <w:tc>
          <w:tcPr>
            <w:tcW w:w="5065" w:type="dxa"/>
            <w:gridSpan w:val="4"/>
            <w:tcBorders>
              <w:top w:val="single" w:color="auto" w:sz="4" w:space="0"/>
              <w:left w:val="single" w:color="auto" w:sz="4" w:space="0"/>
              <w:bottom w:val="single" w:color="auto" w:sz="4" w:space="0"/>
              <w:right w:val="single" w:color="auto" w:sz="4" w:space="0"/>
            </w:tcBorders>
            <w:shd w:val="clear" w:color="auto" w:fill="auto"/>
          </w:tcPr>
          <w:p w14:paraId="5819F1A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提高原农机员群体生活水平，促进社会和谐稳定。</w:t>
            </w:r>
          </w:p>
        </w:tc>
        <w:tc>
          <w:tcPr>
            <w:tcW w:w="4120" w:type="dxa"/>
            <w:gridSpan w:val="4"/>
            <w:tcBorders>
              <w:top w:val="single" w:color="auto" w:sz="4" w:space="0"/>
              <w:left w:val="nil"/>
              <w:bottom w:val="single" w:color="auto" w:sz="4" w:space="0"/>
              <w:right w:val="single" w:color="auto" w:sz="4" w:space="0"/>
            </w:tcBorders>
            <w:shd w:val="clear" w:color="auto" w:fill="auto"/>
          </w:tcPr>
          <w:p w14:paraId="026D12D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980" w:type="dxa"/>
            <w:gridSpan w:val="4"/>
            <w:tcBorders>
              <w:top w:val="single" w:color="auto" w:sz="4" w:space="0"/>
              <w:left w:val="nil"/>
              <w:bottom w:val="single" w:color="auto" w:sz="4" w:space="0"/>
              <w:right w:val="single" w:color="auto" w:sz="4" w:space="0"/>
            </w:tcBorders>
            <w:shd w:val="clear" w:color="auto" w:fill="auto"/>
          </w:tcPr>
          <w:p w14:paraId="130E483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提高原农机员群体生活水平，促进社会和谐稳定。</w:t>
            </w:r>
          </w:p>
        </w:tc>
      </w:tr>
      <w:tr w14:paraId="10497024">
        <w:tblPrEx>
          <w:tblCellMar>
            <w:top w:w="0" w:type="dxa"/>
            <w:left w:w="108" w:type="dxa"/>
            <w:bottom w:w="0" w:type="dxa"/>
            <w:right w:w="108" w:type="dxa"/>
          </w:tblCellMar>
        </w:tblPrEx>
        <w:trPr>
          <w:trHeight w:val="209" w:hRule="atLeast"/>
        </w:trPr>
        <w:tc>
          <w:tcPr>
            <w:tcW w:w="13165" w:type="dxa"/>
            <w:gridSpan w:val="12"/>
            <w:tcBorders>
              <w:top w:val="single" w:color="auto" w:sz="4" w:space="0"/>
              <w:left w:val="single" w:color="auto" w:sz="4" w:space="0"/>
              <w:bottom w:val="single" w:color="auto" w:sz="4" w:space="0"/>
              <w:right w:val="single" w:color="auto" w:sz="4" w:space="0"/>
            </w:tcBorders>
            <w:shd w:val="clear" w:color="auto" w:fill="auto"/>
            <w:noWrap/>
            <w:vAlign w:val="center"/>
          </w:tcPr>
          <w:p w14:paraId="7C8D70FE">
            <w:pPr>
              <w:widowControl/>
              <w:jc w:val="center"/>
              <w:rPr>
                <w:rFonts w:ascii="微软雅黑" w:hAnsi="微软雅黑" w:eastAsia="微软雅黑" w:cs="宋体"/>
                <w:b/>
                <w:bCs/>
                <w:color w:val="7F7F7F"/>
                <w:kern w:val="0"/>
                <w:sz w:val="18"/>
                <w:szCs w:val="18"/>
              </w:rPr>
            </w:pPr>
            <w:r>
              <w:rPr>
                <w:rFonts w:hint="eastAsia" w:ascii="微软雅黑" w:hAnsi="微软雅黑" w:eastAsia="微软雅黑" w:cs="宋体"/>
                <w:b/>
                <w:bCs/>
                <w:color w:val="7F7F7F"/>
                <w:kern w:val="0"/>
                <w:sz w:val="18"/>
                <w:szCs w:val="18"/>
              </w:rPr>
              <w:t>绩效指标</w:t>
            </w:r>
          </w:p>
        </w:tc>
      </w:tr>
      <w:tr w14:paraId="09A6663C">
        <w:tblPrEx>
          <w:tblCellMar>
            <w:top w:w="0" w:type="dxa"/>
            <w:left w:w="108" w:type="dxa"/>
            <w:bottom w:w="0" w:type="dxa"/>
            <w:right w:w="108" w:type="dxa"/>
          </w:tblCellMar>
        </w:tblPrEx>
        <w:trPr>
          <w:trHeight w:val="198" w:hRule="atLeast"/>
        </w:trPr>
        <w:tc>
          <w:tcPr>
            <w:tcW w:w="2219" w:type="dxa"/>
            <w:tcBorders>
              <w:top w:val="nil"/>
              <w:left w:val="single" w:color="auto" w:sz="4" w:space="0"/>
              <w:bottom w:val="single" w:color="auto" w:sz="4" w:space="0"/>
              <w:right w:val="single" w:color="auto" w:sz="4" w:space="0"/>
            </w:tcBorders>
            <w:shd w:val="clear" w:color="auto" w:fill="auto"/>
            <w:noWrap/>
            <w:vAlign w:val="center"/>
          </w:tcPr>
          <w:p w14:paraId="65BD46B7">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指标名称</w:t>
            </w:r>
          </w:p>
        </w:tc>
        <w:tc>
          <w:tcPr>
            <w:tcW w:w="766" w:type="dxa"/>
            <w:tcBorders>
              <w:top w:val="nil"/>
              <w:left w:val="nil"/>
              <w:bottom w:val="single" w:color="auto" w:sz="4" w:space="0"/>
              <w:right w:val="single" w:color="auto" w:sz="4" w:space="0"/>
            </w:tcBorders>
            <w:shd w:val="clear" w:color="auto" w:fill="auto"/>
            <w:noWrap/>
            <w:vAlign w:val="center"/>
          </w:tcPr>
          <w:p w14:paraId="7B059150">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计量单位</w:t>
            </w:r>
          </w:p>
        </w:tc>
        <w:tc>
          <w:tcPr>
            <w:tcW w:w="766" w:type="dxa"/>
            <w:tcBorders>
              <w:top w:val="nil"/>
              <w:left w:val="nil"/>
              <w:bottom w:val="single" w:color="auto" w:sz="4" w:space="0"/>
              <w:right w:val="single" w:color="auto" w:sz="4" w:space="0"/>
            </w:tcBorders>
            <w:shd w:val="clear" w:color="auto" w:fill="auto"/>
            <w:noWrap/>
            <w:vAlign w:val="center"/>
          </w:tcPr>
          <w:p w14:paraId="1ECEB7C1">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指标性质</w:t>
            </w:r>
          </w:p>
        </w:tc>
        <w:tc>
          <w:tcPr>
            <w:tcW w:w="1315" w:type="dxa"/>
            <w:tcBorders>
              <w:top w:val="nil"/>
              <w:left w:val="nil"/>
              <w:bottom w:val="single" w:color="auto" w:sz="4" w:space="0"/>
              <w:right w:val="single" w:color="auto" w:sz="4" w:space="0"/>
            </w:tcBorders>
            <w:shd w:val="clear" w:color="auto" w:fill="auto"/>
            <w:noWrap/>
            <w:vAlign w:val="center"/>
          </w:tcPr>
          <w:p w14:paraId="232AA7FD">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指标值</w:t>
            </w:r>
          </w:p>
        </w:tc>
        <w:tc>
          <w:tcPr>
            <w:tcW w:w="1016" w:type="dxa"/>
            <w:tcBorders>
              <w:top w:val="nil"/>
              <w:left w:val="nil"/>
              <w:bottom w:val="single" w:color="auto" w:sz="4" w:space="0"/>
              <w:right w:val="single" w:color="auto" w:sz="4" w:space="0"/>
            </w:tcBorders>
            <w:shd w:val="clear" w:color="auto" w:fill="auto"/>
            <w:noWrap/>
            <w:vAlign w:val="center"/>
          </w:tcPr>
          <w:p w14:paraId="335DC367">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全年完成值</w:t>
            </w:r>
          </w:p>
        </w:tc>
        <w:tc>
          <w:tcPr>
            <w:tcW w:w="1115" w:type="dxa"/>
            <w:tcBorders>
              <w:top w:val="nil"/>
              <w:left w:val="nil"/>
              <w:bottom w:val="single" w:color="auto" w:sz="4" w:space="0"/>
              <w:right w:val="single" w:color="auto" w:sz="4" w:space="0"/>
            </w:tcBorders>
            <w:shd w:val="clear" w:color="auto" w:fill="auto"/>
            <w:noWrap/>
            <w:vAlign w:val="center"/>
          </w:tcPr>
          <w:p w14:paraId="4129FD1A">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偏离度（%）</w:t>
            </w:r>
          </w:p>
        </w:tc>
        <w:tc>
          <w:tcPr>
            <w:tcW w:w="1224" w:type="dxa"/>
            <w:tcBorders>
              <w:top w:val="nil"/>
              <w:left w:val="nil"/>
              <w:bottom w:val="single" w:color="auto" w:sz="4" w:space="0"/>
              <w:right w:val="single" w:color="auto" w:sz="4" w:space="0"/>
            </w:tcBorders>
            <w:shd w:val="clear" w:color="auto" w:fill="auto"/>
            <w:noWrap/>
            <w:vAlign w:val="center"/>
          </w:tcPr>
          <w:p w14:paraId="7134ED22">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得分系数（%）</w:t>
            </w:r>
          </w:p>
        </w:tc>
        <w:tc>
          <w:tcPr>
            <w:tcW w:w="766" w:type="dxa"/>
            <w:tcBorders>
              <w:top w:val="nil"/>
              <w:left w:val="nil"/>
              <w:bottom w:val="single" w:color="auto" w:sz="4" w:space="0"/>
              <w:right w:val="single" w:color="auto" w:sz="4" w:space="0"/>
            </w:tcBorders>
            <w:shd w:val="clear" w:color="auto" w:fill="auto"/>
            <w:noWrap/>
            <w:vAlign w:val="center"/>
          </w:tcPr>
          <w:p w14:paraId="4B924617">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指标权重</w:t>
            </w:r>
          </w:p>
        </w:tc>
        <w:tc>
          <w:tcPr>
            <w:tcW w:w="766" w:type="dxa"/>
            <w:tcBorders>
              <w:top w:val="nil"/>
              <w:left w:val="nil"/>
              <w:bottom w:val="single" w:color="auto" w:sz="4" w:space="0"/>
              <w:right w:val="single" w:color="auto" w:sz="4" w:space="0"/>
            </w:tcBorders>
            <w:shd w:val="clear" w:color="auto" w:fill="auto"/>
            <w:noWrap/>
            <w:vAlign w:val="center"/>
          </w:tcPr>
          <w:p w14:paraId="1C45A8CD">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指标得分</w:t>
            </w:r>
          </w:p>
        </w:tc>
        <w:tc>
          <w:tcPr>
            <w:tcW w:w="1132" w:type="dxa"/>
            <w:tcBorders>
              <w:top w:val="nil"/>
              <w:left w:val="nil"/>
              <w:bottom w:val="single" w:color="auto" w:sz="4" w:space="0"/>
              <w:right w:val="single" w:color="auto" w:sz="4" w:space="0"/>
            </w:tcBorders>
            <w:shd w:val="clear" w:color="auto" w:fill="auto"/>
            <w:noWrap/>
            <w:vAlign w:val="center"/>
          </w:tcPr>
          <w:p w14:paraId="13662F6D">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是否核心指标</w:t>
            </w:r>
          </w:p>
        </w:tc>
        <w:tc>
          <w:tcPr>
            <w:tcW w:w="949" w:type="dxa"/>
            <w:tcBorders>
              <w:top w:val="nil"/>
              <w:left w:val="nil"/>
              <w:bottom w:val="single" w:color="auto" w:sz="4" w:space="0"/>
              <w:right w:val="single" w:color="auto" w:sz="4" w:space="0"/>
            </w:tcBorders>
            <w:shd w:val="clear" w:color="auto" w:fill="auto"/>
            <w:noWrap/>
            <w:vAlign w:val="center"/>
          </w:tcPr>
          <w:p w14:paraId="48E4AA3E">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说明</w:t>
            </w:r>
          </w:p>
        </w:tc>
        <w:tc>
          <w:tcPr>
            <w:tcW w:w="1132" w:type="dxa"/>
            <w:tcBorders>
              <w:top w:val="nil"/>
              <w:left w:val="nil"/>
              <w:bottom w:val="single" w:color="auto" w:sz="4" w:space="0"/>
              <w:right w:val="single" w:color="auto" w:sz="4" w:space="0"/>
            </w:tcBorders>
            <w:shd w:val="clear" w:color="auto" w:fill="auto"/>
            <w:noWrap/>
            <w:vAlign w:val="center"/>
          </w:tcPr>
          <w:p w14:paraId="647DE0A7">
            <w:pPr>
              <w:widowControl/>
              <w:jc w:val="center"/>
              <w:rPr>
                <w:rFonts w:ascii="宋体" w:hAnsi="宋体" w:eastAsia="宋体" w:cs="宋体"/>
                <w:b/>
                <w:bCs/>
                <w:color w:val="000000"/>
                <w:kern w:val="0"/>
                <w:sz w:val="18"/>
                <w:szCs w:val="18"/>
              </w:rPr>
            </w:pPr>
          </w:p>
        </w:tc>
      </w:tr>
      <w:tr w14:paraId="6403E0A8">
        <w:tblPrEx>
          <w:tblCellMar>
            <w:top w:w="0" w:type="dxa"/>
            <w:left w:w="108" w:type="dxa"/>
            <w:bottom w:w="0" w:type="dxa"/>
            <w:right w:w="108" w:type="dxa"/>
          </w:tblCellMar>
        </w:tblPrEx>
        <w:trPr>
          <w:trHeight w:val="198" w:hRule="atLeast"/>
        </w:trPr>
        <w:tc>
          <w:tcPr>
            <w:tcW w:w="2219" w:type="dxa"/>
            <w:tcBorders>
              <w:top w:val="nil"/>
              <w:left w:val="single" w:color="auto" w:sz="4" w:space="0"/>
              <w:bottom w:val="single" w:color="auto" w:sz="4" w:space="0"/>
              <w:right w:val="single" w:color="auto" w:sz="4" w:space="0"/>
            </w:tcBorders>
            <w:shd w:val="clear" w:color="auto" w:fill="auto"/>
            <w:noWrap/>
            <w:vAlign w:val="center"/>
          </w:tcPr>
          <w:p w14:paraId="2904111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全县原农机员人数</w:t>
            </w:r>
          </w:p>
        </w:tc>
        <w:tc>
          <w:tcPr>
            <w:tcW w:w="766" w:type="dxa"/>
            <w:tcBorders>
              <w:top w:val="nil"/>
              <w:left w:val="nil"/>
              <w:bottom w:val="single" w:color="auto" w:sz="4" w:space="0"/>
              <w:right w:val="single" w:color="auto" w:sz="4" w:space="0"/>
            </w:tcBorders>
            <w:shd w:val="clear" w:color="auto" w:fill="auto"/>
            <w:noWrap/>
            <w:vAlign w:val="center"/>
          </w:tcPr>
          <w:p w14:paraId="31E12FA1">
            <w:pPr>
              <w:widowControl/>
              <w:ind w:firstLine="180" w:firstLineChars="1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人</w:t>
            </w:r>
          </w:p>
        </w:tc>
        <w:tc>
          <w:tcPr>
            <w:tcW w:w="766" w:type="dxa"/>
            <w:tcBorders>
              <w:top w:val="nil"/>
              <w:left w:val="nil"/>
              <w:bottom w:val="single" w:color="auto" w:sz="4" w:space="0"/>
              <w:right w:val="single" w:color="auto" w:sz="4" w:space="0"/>
            </w:tcBorders>
            <w:shd w:val="clear" w:color="auto" w:fill="auto"/>
            <w:noWrap/>
            <w:vAlign w:val="center"/>
          </w:tcPr>
          <w:p w14:paraId="62FD0200">
            <w:pPr>
              <w:widowControl/>
              <w:ind w:firstLine="180" w:firstLineChars="1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315" w:type="dxa"/>
            <w:tcBorders>
              <w:top w:val="nil"/>
              <w:left w:val="nil"/>
              <w:bottom w:val="single" w:color="auto" w:sz="4" w:space="0"/>
              <w:right w:val="single" w:color="auto" w:sz="4" w:space="0"/>
            </w:tcBorders>
            <w:shd w:val="clear" w:color="auto" w:fill="auto"/>
            <w:noWrap/>
            <w:vAlign w:val="center"/>
          </w:tcPr>
          <w:p w14:paraId="1BBC5383">
            <w:pPr>
              <w:widowControl/>
              <w:ind w:firstLine="180" w:firstLineChars="100"/>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272</w:t>
            </w:r>
          </w:p>
        </w:tc>
        <w:tc>
          <w:tcPr>
            <w:tcW w:w="1016" w:type="dxa"/>
            <w:tcBorders>
              <w:top w:val="nil"/>
              <w:left w:val="nil"/>
              <w:bottom w:val="single" w:color="auto" w:sz="4" w:space="0"/>
              <w:right w:val="single" w:color="auto" w:sz="4" w:space="0"/>
            </w:tcBorders>
            <w:shd w:val="clear" w:color="auto" w:fill="auto"/>
            <w:noWrap/>
            <w:vAlign w:val="center"/>
          </w:tcPr>
          <w:p w14:paraId="7F2EE57A">
            <w:pPr>
              <w:widowControl/>
              <w:ind w:firstLine="180" w:firstLineChars="100"/>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272</w:t>
            </w:r>
          </w:p>
        </w:tc>
        <w:tc>
          <w:tcPr>
            <w:tcW w:w="1115" w:type="dxa"/>
            <w:tcBorders>
              <w:top w:val="nil"/>
              <w:left w:val="nil"/>
              <w:bottom w:val="single" w:color="auto" w:sz="4" w:space="0"/>
              <w:right w:val="single" w:color="auto" w:sz="4" w:space="0"/>
            </w:tcBorders>
            <w:shd w:val="clear" w:color="auto" w:fill="auto"/>
            <w:noWrap/>
            <w:vAlign w:val="center"/>
          </w:tcPr>
          <w:p w14:paraId="0ABECD27">
            <w:pPr>
              <w:widowControl/>
              <w:ind w:firstLine="180" w:firstLineChars="100"/>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0</w:t>
            </w:r>
          </w:p>
        </w:tc>
        <w:tc>
          <w:tcPr>
            <w:tcW w:w="1224" w:type="dxa"/>
            <w:tcBorders>
              <w:top w:val="nil"/>
              <w:left w:val="nil"/>
              <w:bottom w:val="single" w:color="auto" w:sz="4" w:space="0"/>
              <w:right w:val="single" w:color="auto" w:sz="4" w:space="0"/>
            </w:tcBorders>
            <w:shd w:val="clear" w:color="auto" w:fill="auto"/>
            <w:noWrap/>
            <w:vAlign w:val="center"/>
          </w:tcPr>
          <w:p w14:paraId="6DB5C9C4">
            <w:pPr>
              <w:widowControl/>
              <w:ind w:firstLine="180" w:firstLineChars="100"/>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766" w:type="dxa"/>
            <w:tcBorders>
              <w:top w:val="nil"/>
              <w:left w:val="nil"/>
              <w:bottom w:val="single" w:color="auto" w:sz="4" w:space="0"/>
              <w:right w:val="single" w:color="auto" w:sz="4" w:space="0"/>
            </w:tcBorders>
            <w:shd w:val="clear" w:color="auto" w:fill="auto"/>
            <w:noWrap/>
            <w:vAlign w:val="center"/>
          </w:tcPr>
          <w:p w14:paraId="1D104E10">
            <w:pPr>
              <w:widowControl/>
              <w:ind w:firstLine="180" w:firstLineChars="100"/>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20</w:t>
            </w:r>
          </w:p>
        </w:tc>
        <w:tc>
          <w:tcPr>
            <w:tcW w:w="766" w:type="dxa"/>
            <w:tcBorders>
              <w:top w:val="nil"/>
              <w:left w:val="nil"/>
              <w:bottom w:val="single" w:color="auto" w:sz="4" w:space="0"/>
              <w:right w:val="single" w:color="auto" w:sz="4" w:space="0"/>
            </w:tcBorders>
            <w:shd w:val="clear" w:color="auto" w:fill="auto"/>
            <w:noWrap/>
            <w:vAlign w:val="center"/>
          </w:tcPr>
          <w:p w14:paraId="6E5B15BC">
            <w:pPr>
              <w:widowControl/>
              <w:ind w:firstLine="180" w:firstLineChars="100"/>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20</w:t>
            </w:r>
          </w:p>
        </w:tc>
        <w:tc>
          <w:tcPr>
            <w:tcW w:w="1132" w:type="dxa"/>
            <w:tcBorders>
              <w:top w:val="nil"/>
              <w:left w:val="nil"/>
              <w:bottom w:val="single" w:color="auto" w:sz="4" w:space="0"/>
              <w:right w:val="single" w:color="auto" w:sz="4" w:space="0"/>
            </w:tcBorders>
            <w:shd w:val="clear" w:color="auto" w:fill="auto"/>
            <w:noWrap/>
            <w:vAlign w:val="center"/>
          </w:tcPr>
          <w:p w14:paraId="3B2BDC3B">
            <w:pPr>
              <w:widowControl/>
              <w:ind w:firstLine="180" w:firstLineChars="1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49" w:type="dxa"/>
            <w:tcBorders>
              <w:top w:val="nil"/>
              <w:left w:val="nil"/>
              <w:bottom w:val="single" w:color="auto" w:sz="4" w:space="0"/>
              <w:right w:val="single" w:color="auto" w:sz="4" w:space="0"/>
            </w:tcBorders>
            <w:shd w:val="clear" w:color="auto" w:fill="auto"/>
            <w:noWrap/>
            <w:vAlign w:val="center"/>
          </w:tcPr>
          <w:p w14:paraId="2927C771">
            <w:pPr>
              <w:widowControl/>
              <w:ind w:firstLine="180" w:firstLineChars="1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32" w:type="dxa"/>
            <w:tcBorders>
              <w:top w:val="nil"/>
              <w:left w:val="nil"/>
              <w:bottom w:val="single" w:color="auto" w:sz="4" w:space="0"/>
              <w:right w:val="single" w:color="auto" w:sz="4" w:space="0"/>
            </w:tcBorders>
            <w:shd w:val="clear" w:color="auto" w:fill="auto"/>
            <w:noWrap/>
            <w:vAlign w:val="center"/>
          </w:tcPr>
          <w:p w14:paraId="3E0F2658">
            <w:pPr>
              <w:widowControl/>
              <w:ind w:firstLine="180" w:firstLineChars="1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62538292">
        <w:tblPrEx>
          <w:tblCellMar>
            <w:top w:w="0" w:type="dxa"/>
            <w:left w:w="108" w:type="dxa"/>
            <w:bottom w:w="0" w:type="dxa"/>
            <w:right w:w="108" w:type="dxa"/>
          </w:tblCellMar>
        </w:tblPrEx>
        <w:trPr>
          <w:trHeight w:val="198" w:hRule="atLeast"/>
        </w:trPr>
        <w:tc>
          <w:tcPr>
            <w:tcW w:w="2219" w:type="dxa"/>
            <w:tcBorders>
              <w:top w:val="nil"/>
              <w:left w:val="single" w:color="auto" w:sz="4" w:space="0"/>
              <w:bottom w:val="single" w:color="auto" w:sz="4" w:space="0"/>
              <w:right w:val="single" w:color="auto" w:sz="4" w:space="0"/>
            </w:tcBorders>
            <w:shd w:val="clear" w:color="auto" w:fill="auto"/>
            <w:noWrap/>
            <w:vAlign w:val="center"/>
          </w:tcPr>
          <w:p w14:paraId="537E743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每月按时发放</w:t>
            </w:r>
          </w:p>
        </w:tc>
        <w:tc>
          <w:tcPr>
            <w:tcW w:w="766" w:type="dxa"/>
            <w:tcBorders>
              <w:top w:val="nil"/>
              <w:left w:val="nil"/>
              <w:bottom w:val="single" w:color="auto" w:sz="4" w:space="0"/>
              <w:right w:val="single" w:color="auto" w:sz="4" w:space="0"/>
            </w:tcBorders>
            <w:shd w:val="clear" w:color="auto" w:fill="auto"/>
            <w:noWrap/>
            <w:vAlign w:val="center"/>
          </w:tcPr>
          <w:p w14:paraId="4495E43D">
            <w:pPr>
              <w:widowControl/>
              <w:ind w:firstLine="180" w:firstLineChars="1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66" w:type="dxa"/>
            <w:tcBorders>
              <w:top w:val="nil"/>
              <w:left w:val="nil"/>
              <w:bottom w:val="single" w:color="auto" w:sz="4" w:space="0"/>
              <w:right w:val="single" w:color="auto" w:sz="4" w:space="0"/>
            </w:tcBorders>
            <w:shd w:val="clear" w:color="auto" w:fill="auto"/>
            <w:noWrap/>
            <w:vAlign w:val="center"/>
          </w:tcPr>
          <w:p w14:paraId="2759DE32">
            <w:pPr>
              <w:widowControl/>
              <w:ind w:firstLine="180" w:firstLineChars="1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定性</w:t>
            </w:r>
          </w:p>
        </w:tc>
        <w:tc>
          <w:tcPr>
            <w:tcW w:w="1315" w:type="dxa"/>
            <w:tcBorders>
              <w:top w:val="nil"/>
              <w:left w:val="nil"/>
              <w:bottom w:val="single" w:color="auto" w:sz="4" w:space="0"/>
              <w:right w:val="single" w:color="auto" w:sz="4" w:space="0"/>
            </w:tcBorders>
            <w:shd w:val="clear" w:color="auto" w:fill="auto"/>
            <w:noWrap/>
            <w:vAlign w:val="center"/>
          </w:tcPr>
          <w:p w14:paraId="393DFAA5">
            <w:pPr>
              <w:widowControl/>
              <w:ind w:firstLine="180" w:firstLineChars="100"/>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优</w:t>
            </w:r>
          </w:p>
        </w:tc>
        <w:tc>
          <w:tcPr>
            <w:tcW w:w="1016" w:type="dxa"/>
            <w:tcBorders>
              <w:top w:val="nil"/>
              <w:left w:val="nil"/>
              <w:bottom w:val="single" w:color="auto" w:sz="4" w:space="0"/>
              <w:right w:val="single" w:color="auto" w:sz="4" w:space="0"/>
            </w:tcBorders>
            <w:shd w:val="clear" w:color="auto" w:fill="auto"/>
            <w:noWrap/>
            <w:vAlign w:val="center"/>
          </w:tcPr>
          <w:p w14:paraId="540E5F4E">
            <w:pPr>
              <w:widowControl/>
              <w:ind w:firstLine="180" w:firstLineChars="100"/>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115" w:type="dxa"/>
            <w:tcBorders>
              <w:top w:val="nil"/>
              <w:left w:val="nil"/>
              <w:bottom w:val="single" w:color="auto" w:sz="4" w:space="0"/>
              <w:right w:val="single" w:color="auto" w:sz="4" w:space="0"/>
            </w:tcBorders>
            <w:shd w:val="clear" w:color="auto" w:fill="auto"/>
            <w:noWrap/>
            <w:vAlign w:val="center"/>
          </w:tcPr>
          <w:p w14:paraId="3F6AE78C">
            <w:pPr>
              <w:widowControl/>
              <w:ind w:firstLine="180" w:firstLineChars="100"/>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0</w:t>
            </w:r>
          </w:p>
        </w:tc>
        <w:tc>
          <w:tcPr>
            <w:tcW w:w="1224" w:type="dxa"/>
            <w:tcBorders>
              <w:top w:val="nil"/>
              <w:left w:val="nil"/>
              <w:bottom w:val="single" w:color="auto" w:sz="4" w:space="0"/>
              <w:right w:val="single" w:color="auto" w:sz="4" w:space="0"/>
            </w:tcBorders>
            <w:shd w:val="clear" w:color="auto" w:fill="auto"/>
            <w:noWrap/>
            <w:vAlign w:val="center"/>
          </w:tcPr>
          <w:p w14:paraId="6CB98378">
            <w:pPr>
              <w:widowControl/>
              <w:ind w:firstLine="180" w:firstLineChars="100"/>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766" w:type="dxa"/>
            <w:tcBorders>
              <w:top w:val="nil"/>
              <w:left w:val="nil"/>
              <w:bottom w:val="single" w:color="auto" w:sz="4" w:space="0"/>
              <w:right w:val="single" w:color="auto" w:sz="4" w:space="0"/>
            </w:tcBorders>
            <w:shd w:val="clear" w:color="auto" w:fill="auto"/>
            <w:noWrap/>
            <w:vAlign w:val="center"/>
          </w:tcPr>
          <w:p w14:paraId="4A9244FE">
            <w:pPr>
              <w:widowControl/>
              <w:ind w:firstLine="180" w:firstLineChars="100"/>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20</w:t>
            </w:r>
          </w:p>
        </w:tc>
        <w:tc>
          <w:tcPr>
            <w:tcW w:w="766" w:type="dxa"/>
            <w:tcBorders>
              <w:top w:val="nil"/>
              <w:left w:val="nil"/>
              <w:bottom w:val="single" w:color="auto" w:sz="4" w:space="0"/>
              <w:right w:val="single" w:color="auto" w:sz="4" w:space="0"/>
            </w:tcBorders>
            <w:shd w:val="clear" w:color="auto" w:fill="auto"/>
            <w:noWrap/>
            <w:vAlign w:val="center"/>
          </w:tcPr>
          <w:p w14:paraId="32060A31">
            <w:pPr>
              <w:widowControl/>
              <w:ind w:firstLine="180" w:firstLineChars="100"/>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20</w:t>
            </w:r>
          </w:p>
        </w:tc>
        <w:tc>
          <w:tcPr>
            <w:tcW w:w="1132" w:type="dxa"/>
            <w:tcBorders>
              <w:top w:val="nil"/>
              <w:left w:val="nil"/>
              <w:bottom w:val="single" w:color="auto" w:sz="4" w:space="0"/>
              <w:right w:val="single" w:color="auto" w:sz="4" w:space="0"/>
            </w:tcBorders>
            <w:shd w:val="clear" w:color="auto" w:fill="auto"/>
            <w:noWrap/>
            <w:vAlign w:val="center"/>
          </w:tcPr>
          <w:p w14:paraId="58BF73F8">
            <w:pPr>
              <w:widowControl/>
              <w:ind w:firstLine="180" w:firstLineChars="1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49" w:type="dxa"/>
            <w:tcBorders>
              <w:top w:val="nil"/>
              <w:left w:val="nil"/>
              <w:bottom w:val="single" w:color="auto" w:sz="4" w:space="0"/>
              <w:right w:val="single" w:color="auto" w:sz="4" w:space="0"/>
            </w:tcBorders>
            <w:shd w:val="clear" w:color="auto" w:fill="auto"/>
            <w:noWrap/>
            <w:vAlign w:val="center"/>
          </w:tcPr>
          <w:p w14:paraId="0C3FB719">
            <w:pPr>
              <w:widowControl/>
              <w:ind w:firstLine="180" w:firstLineChars="1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32" w:type="dxa"/>
            <w:tcBorders>
              <w:top w:val="nil"/>
              <w:left w:val="nil"/>
              <w:bottom w:val="single" w:color="auto" w:sz="4" w:space="0"/>
              <w:right w:val="single" w:color="auto" w:sz="4" w:space="0"/>
            </w:tcBorders>
            <w:shd w:val="clear" w:color="auto" w:fill="auto"/>
            <w:noWrap/>
            <w:vAlign w:val="center"/>
          </w:tcPr>
          <w:p w14:paraId="34172701">
            <w:pPr>
              <w:widowControl/>
              <w:ind w:firstLine="180" w:firstLineChars="1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AF735B8">
        <w:tblPrEx>
          <w:tblCellMar>
            <w:top w:w="0" w:type="dxa"/>
            <w:left w:w="108" w:type="dxa"/>
            <w:bottom w:w="0" w:type="dxa"/>
            <w:right w:w="108" w:type="dxa"/>
          </w:tblCellMar>
        </w:tblPrEx>
        <w:trPr>
          <w:trHeight w:val="198" w:hRule="atLeast"/>
        </w:trPr>
        <w:tc>
          <w:tcPr>
            <w:tcW w:w="2219" w:type="dxa"/>
            <w:tcBorders>
              <w:top w:val="nil"/>
              <w:left w:val="single" w:color="auto" w:sz="4" w:space="0"/>
              <w:bottom w:val="single" w:color="auto" w:sz="4" w:space="0"/>
              <w:right w:val="single" w:color="auto" w:sz="4" w:space="0"/>
            </w:tcBorders>
            <w:shd w:val="clear" w:color="auto" w:fill="auto"/>
            <w:noWrap/>
            <w:vAlign w:val="center"/>
          </w:tcPr>
          <w:p w14:paraId="31D1ACD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促进社会和谐稳定</w:t>
            </w:r>
          </w:p>
        </w:tc>
        <w:tc>
          <w:tcPr>
            <w:tcW w:w="766" w:type="dxa"/>
            <w:tcBorders>
              <w:top w:val="nil"/>
              <w:left w:val="nil"/>
              <w:bottom w:val="single" w:color="auto" w:sz="4" w:space="0"/>
              <w:right w:val="single" w:color="auto" w:sz="4" w:space="0"/>
            </w:tcBorders>
            <w:shd w:val="clear" w:color="auto" w:fill="auto"/>
            <w:noWrap/>
            <w:vAlign w:val="center"/>
          </w:tcPr>
          <w:p w14:paraId="04F31046">
            <w:pPr>
              <w:widowControl/>
              <w:ind w:firstLine="180" w:firstLineChars="1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66" w:type="dxa"/>
            <w:tcBorders>
              <w:top w:val="nil"/>
              <w:left w:val="nil"/>
              <w:bottom w:val="single" w:color="auto" w:sz="4" w:space="0"/>
              <w:right w:val="single" w:color="auto" w:sz="4" w:space="0"/>
            </w:tcBorders>
            <w:shd w:val="clear" w:color="auto" w:fill="auto"/>
            <w:noWrap/>
            <w:vAlign w:val="center"/>
          </w:tcPr>
          <w:p w14:paraId="1158C9A6">
            <w:pPr>
              <w:widowControl/>
              <w:ind w:firstLine="180" w:firstLineChars="1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定性</w:t>
            </w:r>
          </w:p>
        </w:tc>
        <w:tc>
          <w:tcPr>
            <w:tcW w:w="1315" w:type="dxa"/>
            <w:tcBorders>
              <w:top w:val="nil"/>
              <w:left w:val="nil"/>
              <w:bottom w:val="single" w:color="auto" w:sz="4" w:space="0"/>
              <w:right w:val="single" w:color="auto" w:sz="4" w:space="0"/>
            </w:tcBorders>
            <w:shd w:val="clear" w:color="auto" w:fill="auto"/>
            <w:noWrap/>
            <w:vAlign w:val="center"/>
          </w:tcPr>
          <w:p w14:paraId="29DC2954">
            <w:pPr>
              <w:widowControl/>
              <w:ind w:firstLine="180" w:firstLineChars="100"/>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有效改善</w:t>
            </w:r>
          </w:p>
        </w:tc>
        <w:tc>
          <w:tcPr>
            <w:tcW w:w="1016" w:type="dxa"/>
            <w:tcBorders>
              <w:top w:val="nil"/>
              <w:left w:val="nil"/>
              <w:bottom w:val="single" w:color="auto" w:sz="4" w:space="0"/>
              <w:right w:val="single" w:color="auto" w:sz="4" w:space="0"/>
            </w:tcBorders>
            <w:shd w:val="clear" w:color="auto" w:fill="auto"/>
            <w:noWrap/>
            <w:vAlign w:val="center"/>
          </w:tcPr>
          <w:p w14:paraId="527EB984">
            <w:pPr>
              <w:widowControl/>
              <w:ind w:firstLine="180" w:firstLineChars="100"/>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115" w:type="dxa"/>
            <w:tcBorders>
              <w:top w:val="nil"/>
              <w:left w:val="nil"/>
              <w:bottom w:val="single" w:color="auto" w:sz="4" w:space="0"/>
              <w:right w:val="single" w:color="auto" w:sz="4" w:space="0"/>
            </w:tcBorders>
            <w:shd w:val="clear" w:color="auto" w:fill="auto"/>
            <w:noWrap/>
            <w:vAlign w:val="center"/>
          </w:tcPr>
          <w:p w14:paraId="0D10DF90">
            <w:pPr>
              <w:widowControl/>
              <w:ind w:firstLine="180" w:firstLineChars="100"/>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0</w:t>
            </w:r>
          </w:p>
        </w:tc>
        <w:tc>
          <w:tcPr>
            <w:tcW w:w="1224" w:type="dxa"/>
            <w:tcBorders>
              <w:top w:val="nil"/>
              <w:left w:val="nil"/>
              <w:bottom w:val="single" w:color="auto" w:sz="4" w:space="0"/>
              <w:right w:val="single" w:color="auto" w:sz="4" w:space="0"/>
            </w:tcBorders>
            <w:shd w:val="clear" w:color="auto" w:fill="auto"/>
            <w:noWrap/>
            <w:vAlign w:val="center"/>
          </w:tcPr>
          <w:p w14:paraId="5794B42C">
            <w:pPr>
              <w:widowControl/>
              <w:ind w:firstLine="180" w:firstLineChars="100"/>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766" w:type="dxa"/>
            <w:tcBorders>
              <w:top w:val="nil"/>
              <w:left w:val="nil"/>
              <w:bottom w:val="single" w:color="auto" w:sz="4" w:space="0"/>
              <w:right w:val="single" w:color="auto" w:sz="4" w:space="0"/>
            </w:tcBorders>
            <w:shd w:val="clear" w:color="auto" w:fill="auto"/>
            <w:noWrap/>
            <w:vAlign w:val="center"/>
          </w:tcPr>
          <w:p w14:paraId="27670146">
            <w:pPr>
              <w:widowControl/>
              <w:ind w:firstLine="180" w:firstLineChars="100"/>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20</w:t>
            </w:r>
          </w:p>
        </w:tc>
        <w:tc>
          <w:tcPr>
            <w:tcW w:w="766" w:type="dxa"/>
            <w:tcBorders>
              <w:top w:val="nil"/>
              <w:left w:val="nil"/>
              <w:bottom w:val="single" w:color="auto" w:sz="4" w:space="0"/>
              <w:right w:val="single" w:color="auto" w:sz="4" w:space="0"/>
            </w:tcBorders>
            <w:shd w:val="clear" w:color="auto" w:fill="auto"/>
            <w:noWrap/>
            <w:vAlign w:val="center"/>
          </w:tcPr>
          <w:p w14:paraId="50E01924">
            <w:pPr>
              <w:widowControl/>
              <w:ind w:firstLine="180" w:firstLineChars="100"/>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20</w:t>
            </w:r>
          </w:p>
        </w:tc>
        <w:tc>
          <w:tcPr>
            <w:tcW w:w="1132" w:type="dxa"/>
            <w:tcBorders>
              <w:top w:val="nil"/>
              <w:left w:val="nil"/>
              <w:bottom w:val="single" w:color="auto" w:sz="4" w:space="0"/>
              <w:right w:val="single" w:color="auto" w:sz="4" w:space="0"/>
            </w:tcBorders>
            <w:shd w:val="clear" w:color="auto" w:fill="auto"/>
            <w:noWrap/>
            <w:vAlign w:val="center"/>
          </w:tcPr>
          <w:p w14:paraId="4EDA2116">
            <w:pPr>
              <w:widowControl/>
              <w:ind w:firstLine="180" w:firstLineChars="1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49" w:type="dxa"/>
            <w:tcBorders>
              <w:top w:val="nil"/>
              <w:left w:val="nil"/>
              <w:bottom w:val="single" w:color="auto" w:sz="4" w:space="0"/>
              <w:right w:val="single" w:color="auto" w:sz="4" w:space="0"/>
            </w:tcBorders>
            <w:shd w:val="clear" w:color="auto" w:fill="auto"/>
            <w:noWrap/>
            <w:vAlign w:val="center"/>
          </w:tcPr>
          <w:p w14:paraId="147B099C">
            <w:pPr>
              <w:widowControl/>
              <w:ind w:firstLine="180" w:firstLineChars="1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32" w:type="dxa"/>
            <w:tcBorders>
              <w:top w:val="nil"/>
              <w:left w:val="nil"/>
              <w:bottom w:val="single" w:color="auto" w:sz="4" w:space="0"/>
              <w:right w:val="single" w:color="auto" w:sz="4" w:space="0"/>
            </w:tcBorders>
            <w:shd w:val="clear" w:color="auto" w:fill="auto"/>
            <w:noWrap/>
            <w:vAlign w:val="center"/>
          </w:tcPr>
          <w:p w14:paraId="25A8E86F">
            <w:pPr>
              <w:widowControl/>
              <w:ind w:firstLine="180" w:firstLineChars="1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CABFCD1">
        <w:tblPrEx>
          <w:tblCellMar>
            <w:top w:w="0" w:type="dxa"/>
            <w:left w:w="108" w:type="dxa"/>
            <w:bottom w:w="0" w:type="dxa"/>
            <w:right w:w="108" w:type="dxa"/>
          </w:tblCellMar>
        </w:tblPrEx>
        <w:trPr>
          <w:trHeight w:val="198" w:hRule="atLeast"/>
        </w:trPr>
        <w:tc>
          <w:tcPr>
            <w:tcW w:w="2219" w:type="dxa"/>
            <w:tcBorders>
              <w:top w:val="nil"/>
              <w:left w:val="single" w:color="auto" w:sz="4" w:space="0"/>
              <w:bottom w:val="single" w:color="auto" w:sz="4" w:space="0"/>
              <w:right w:val="single" w:color="auto" w:sz="4" w:space="0"/>
            </w:tcBorders>
            <w:shd w:val="clear" w:color="auto" w:fill="auto"/>
            <w:noWrap/>
            <w:vAlign w:val="center"/>
          </w:tcPr>
          <w:p w14:paraId="05BCA7E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提高原农机员群体生活水平</w:t>
            </w:r>
          </w:p>
        </w:tc>
        <w:tc>
          <w:tcPr>
            <w:tcW w:w="766" w:type="dxa"/>
            <w:tcBorders>
              <w:top w:val="nil"/>
              <w:left w:val="nil"/>
              <w:bottom w:val="single" w:color="auto" w:sz="4" w:space="0"/>
              <w:right w:val="single" w:color="auto" w:sz="4" w:space="0"/>
            </w:tcBorders>
            <w:shd w:val="clear" w:color="auto" w:fill="auto"/>
            <w:noWrap/>
            <w:vAlign w:val="center"/>
          </w:tcPr>
          <w:p w14:paraId="3179A232">
            <w:pPr>
              <w:widowControl/>
              <w:ind w:firstLine="180" w:firstLineChars="1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766" w:type="dxa"/>
            <w:tcBorders>
              <w:top w:val="nil"/>
              <w:left w:val="nil"/>
              <w:bottom w:val="single" w:color="auto" w:sz="4" w:space="0"/>
              <w:right w:val="single" w:color="auto" w:sz="4" w:space="0"/>
            </w:tcBorders>
            <w:shd w:val="clear" w:color="auto" w:fill="auto"/>
            <w:noWrap/>
            <w:vAlign w:val="center"/>
          </w:tcPr>
          <w:p w14:paraId="54832490">
            <w:pPr>
              <w:widowControl/>
              <w:ind w:firstLine="180" w:firstLineChars="1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定性</w:t>
            </w:r>
          </w:p>
        </w:tc>
        <w:tc>
          <w:tcPr>
            <w:tcW w:w="1315" w:type="dxa"/>
            <w:tcBorders>
              <w:top w:val="nil"/>
              <w:left w:val="nil"/>
              <w:bottom w:val="single" w:color="auto" w:sz="4" w:space="0"/>
              <w:right w:val="single" w:color="auto" w:sz="4" w:space="0"/>
            </w:tcBorders>
            <w:shd w:val="clear" w:color="auto" w:fill="auto"/>
            <w:noWrap/>
            <w:vAlign w:val="center"/>
          </w:tcPr>
          <w:p w14:paraId="6142BA73">
            <w:pPr>
              <w:widowControl/>
              <w:ind w:firstLine="180" w:firstLineChars="100"/>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有效改善</w:t>
            </w:r>
          </w:p>
        </w:tc>
        <w:tc>
          <w:tcPr>
            <w:tcW w:w="1016" w:type="dxa"/>
            <w:tcBorders>
              <w:top w:val="nil"/>
              <w:left w:val="nil"/>
              <w:bottom w:val="single" w:color="auto" w:sz="4" w:space="0"/>
              <w:right w:val="single" w:color="auto" w:sz="4" w:space="0"/>
            </w:tcBorders>
            <w:shd w:val="clear" w:color="auto" w:fill="auto"/>
            <w:noWrap/>
            <w:vAlign w:val="center"/>
          </w:tcPr>
          <w:p w14:paraId="1E81CF7F">
            <w:pPr>
              <w:widowControl/>
              <w:ind w:firstLine="180" w:firstLineChars="100"/>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115" w:type="dxa"/>
            <w:tcBorders>
              <w:top w:val="nil"/>
              <w:left w:val="nil"/>
              <w:bottom w:val="single" w:color="auto" w:sz="4" w:space="0"/>
              <w:right w:val="single" w:color="auto" w:sz="4" w:space="0"/>
            </w:tcBorders>
            <w:shd w:val="clear" w:color="auto" w:fill="auto"/>
            <w:noWrap/>
            <w:vAlign w:val="center"/>
          </w:tcPr>
          <w:p w14:paraId="7859EB86">
            <w:pPr>
              <w:widowControl/>
              <w:ind w:firstLine="180" w:firstLineChars="100"/>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0</w:t>
            </w:r>
          </w:p>
        </w:tc>
        <w:tc>
          <w:tcPr>
            <w:tcW w:w="1224" w:type="dxa"/>
            <w:tcBorders>
              <w:top w:val="nil"/>
              <w:left w:val="nil"/>
              <w:bottom w:val="single" w:color="auto" w:sz="4" w:space="0"/>
              <w:right w:val="single" w:color="auto" w:sz="4" w:space="0"/>
            </w:tcBorders>
            <w:shd w:val="clear" w:color="auto" w:fill="auto"/>
            <w:noWrap/>
            <w:vAlign w:val="center"/>
          </w:tcPr>
          <w:p w14:paraId="098CAB32">
            <w:pPr>
              <w:widowControl/>
              <w:ind w:firstLine="180" w:firstLineChars="100"/>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766" w:type="dxa"/>
            <w:tcBorders>
              <w:top w:val="nil"/>
              <w:left w:val="nil"/>
              <w:bottom w:val="single" w:color="auto" w:sz="4" w:space="0"/>
              <w:right w:val="single" w:color="auto" w:sz="4" w:space="0"/>
            </w:tcBorders>
            <w:shd w:val="clear" w:color="auto" w:fill="auto"/>
            <w:noWrap/>
            <w:vAlign w:val="center"/>
          </w:tcPr>
          <w:p w14:paraId="16938642">
            <w:pPr>
              <w:widowControl/>
              <w:ind w:firstLine="180" w:firstLineChars="100"/>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20</w:t>
            </w:r>
          </w:p>
        </w:tc>
        <w:tc>
          <w:tcPr>
            <w:tcW w:w="766" w:type="dxa"/>
            <w:tcBorders>
              <w:top w:val="nil"/>
              <w:left w:val="nil"/>
              <w:bottom w:val="single" w:color="auto" w:sz="4" w:space="0"/>
              <w:right w:val="single" w:color="auto" w:sz="4" w:space="0"/>
            </w:tcBorders>
            <w:shd w:val="clear" w:color="auto" w:fill="auto"/>
            <w:noWrap/>
            <w:vAlign w:val="center"/>
          </w:tcPr>
          <w:p w14:paraId="66B1ACF4">
            <w:pPr>
              <w:widowControl/>
              <w:ind w:firstLine="180" w:firstLineChars="100"/>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20</w:t>
            </w:r>
          </w:p>
        </w:tc>
        <w:tc>
          <w:tcPr>
            <w:tcW w:w="1132" w:type="dxa"/>
            <w:tcBorders>
              <w:top w:val="nil"/>
              <w:left w:val="nil"/>
              <w:bottom w:val="single" w:color="auto" w:sz="4" w:space="0"/>
              <w:right w:val="single" w:color="auto" w:sz="4" w:space="0"/>
            </w:tcBorders>
            <w:shd w:val="clear" w:color="auto" w:fill="auto"/>
            <w:noWrap/>
            <w:vAlign w:val="center"/>
          </w:tcPr>
          <w:p w14:paraId="1CB19ABB">
            <w:pPr>
              <w:widowControl/>
              <w:ind w:firstLine="180" w:firstLineChars="1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49" w:type="dxa"/>
            <w:tcBorders>
              <w:top w:val="nil"/>
              <w:left w:val="nil"/>
              <w:bottom w:val="single" w:color="auto" w:sz="4" w:space="0"/>
              <w:right w:val="single" w:color="auto" w:sz="4" w:space="0"/>
            </w:tcBorders>
            <w:shd w:val="clear" w:color="auto" w:fill="auto"/>
            <w:noWrap/>
            <w:vAlign w:val="center"/>
          </w:tcPr>
          <w:p w14:paraId="4352C762">
            <w:pPr>
              <w:widowControl/>
              <w:ind w:firstLine="180" w:firstLineChars="1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32" w:type="dxa"/>
            <w:tcBorders>
              <w:top w:val="nil"/>
              <w:left w:val="nil"/>
              <w:bottom w:val="single" w:color="auto" w:sz="4" w:space="0"/>
              <w:right w:val="single" w:color="auto" w:sz="4" w:space="0"/>
            </w:tcBorders>
            <w:shd w:val="clear" w:color="auto" w:fill="auto"/>
            <w:noWrap/>
            <w:vAlign w:val="center"/>
          </w:tcPr>
          <w:p w14:paraId="06CB32A4">
            <w:pPr>
              <w:widowControl/>
              <w:ind w:firstLine="180" w:firstLineChars="1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739D654">
        <w:tblPrEx>
          <w:tblCellMar>
            <w:top w:w="0" w:type="dxa"/>
            <w:left w:w="108" w:type="dxa"/>
            <w:bottom w:w="0" w:type="dxa"/>
            <w:right w:w="108" w:type="dxa"/>
          </w:tblCellMar>
        </w:tblPrEx>
        <w:trPr>
          <w:trHeight w:val="198" w:hRule="atLeast"/>
        </w:trPr>
        <w:tc>
          <w:tcPr>
            <w:tcW w:w="2219" w:type="dxa"/>
            <w:tcBorders>
              <w:top w:val="nil"/>
              <w:left w:val="single" w:color="auto" w:sz="4" w:space="0"/>
              <w:bottom w:val="single" w:color="auto" w:sz="4" w:space="0"/>
              <w:right w:val="single" w:color="auto" w:sz="4" w:space="0"/>
            </w:tcBorders>
            <w:shd w:val="clear" w:color="auto" w:fill="auto"/>
            <w:noWrap/>
            <w:vAlign w:val="center"/>
          </w:tcPr>
          <w:p w14:paraId="4612741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原农机员满意度</w:t>
            </w:r>
          </w:p>
        </w:tc>
        <w:tc>
          <w:tcPr>
            <w:tcW w:w="766" w:type="dxa"/>
            <w:tcBorders>
              <w:top w:val="nil"/>
              <w:left w:val="nil"/>
              <w:bottom w:val="single" w:color="auto" w:sz="4" w:space="0"/>
              <w:right w:val="single" w:color="auto" w:sz="4" w:space="0"/>
            </w:tcBorders>
            <w:shd w:val="clear" w:color="auto" w:fill="auto"/>
            <w:noWrap/>
            <w:vAlign w:val="center"/>
          </w:tcPr>
          <w:p w14:paraId="6D359515">
            <w:pPr>
              <w:widowControl/>
              <w:ind w:firstLine="180" w:firstLineChars="1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766" w:type="dxa"/>
            <w:tcBorders>
              <w:top w:val="nil"/>
              <w:left w:val="nil"/>
              <w:bottom w:val="single" w:color="auto" w:sz="4" w:space="0"/>
              <w:right w:val="single" w:color="auto" w:sz="4" w:space="0"/>
            </w:tcBorders>
            <w:shd w:val="clear" w:color="auto" w:fill="auto"/>
            <w:noWrap/>
            <w:vAlign w:val="center"/>
          </w:tcPr>
          <w:p w14:paraId="6C449335">
            <w:pPr>
              <w:widowControl/>
              <w:ind w:firstLine="180" w:firstLineChars="1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315" w:type="dxa"/>
            <w:tcBorders>
              <w:top w:val="nil"/>
              <w:left w:val="nil"/>
              <w:bottom w:val="single" w:color="auto" w:sz="4" w:space="0"/>
              <w:right w:val="single" w:color="auto" w:sz="4" w:space="0"/>
            </w:tcBorders>
            <w:shd w:val="clear" w:color="auto" w:fill="auto"/>
            <w:noWrap/>
            <w:vAlign w:val="center"/>
          </w:tcPr>
          <w:p w14:paraId="72A590C1">
            <w:pPr>
              <w:widowControl/>
              <w:ind w:firstLine="180" w:firstLineChars="100"/>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98</w:t>
            </w:r>
          </w:p>
        </w:tc>
        <w:tc>
          <w:tcPr>
            <w:tcW w:w="1016" w:type="dxa"/>
            <w:tcBorders>
              <w:top w:val="nil"/>
              <w:left w:val="nil"/>
              <w:bottom w:val="single" w:color="auto" w:sz="4" w:space="0"/>
              <w:right w:val="single" w:color="auto" w:sz="4" w:space="0"/>
            </w:tcBorders>
            <w:shd w:val="clear" w:color="auto" w:fill="auto"/>
            <w:noWrap/>
            <w:vAlign w:val="center"/>
          </w:tcPr>
          <w:p w14:paraId="60E99D39">
            <w:pPr>
              <w:widowControl/>
              <w:ind w:firstLine="180" w:firstLineChars="100"/>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98</w:t>
            </w:r>
          </w:p>
        </w:tc>
        <w:tc>
          <w:tcPr>
            <w:tcW w:w="1115" w:type="dxa"/>
            <w:tcBorders>
              <w:top w:val="nil"/>
              <w:left w:val="nil"/>
              <w:bottom w:val="single" w:color="auto" w:sz="4" w:space="0"/>
              <w:right w:val="single" w:color="auto" w:sz="4" w:space="0"/>
            </w:tcBorders>
            <w:shd w:val="clear" w:color="auto" w:fill="auto"/>
            <w:noWrap/>
            <w:vAlign w:val="center"/>
          </w:tcPr>
          <w:p w14:paraId="66FCD55D">
            <w:pPr>
              <w:widowControl/>
              <w:ind w:firstLine="180" w:firstLineChars="100"/>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0</w:t>
            </w:r>
          </w:p>
        </w:tc>
        <w:tc>
          <w:tcPr>
            <w:tcW w:w="1224" w:type="dxa"/>
            <w:tcBorders>
              <w:top w:val="nil"/>
              <w:left w:val="nil"/>
              <w:bottom w:val="single" w:color="auto" w:sz="4" w:space="0"/>
              <w:right w:val="single" w:color="auto" w:sz="4" w:space="0"/>
            </w:tcBorders>
            <w:shd w:val="clear" w:color="auto" w:fill="auto"/>
            <w:noWrap/>
            <w:vAlign w:val="center"/>
          </w:tcPr>
          <w:p w14:paraId="3C19E7A1">
            <w:pPr>
              <w:widowControl/>
              <w:ind w:firstLine="180" w:firstLineChars="100"/>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766" w:type="dxa"/>
            <w:tcBorders>
              <w:top w:val="nil"/>
              <w:left w:val="nil"/>
              <w:bottom w:val="single" w:color="auto" w:sz="4" w:space="0"/>
              <w:right w:val="single" w:color="auto" w:sz="4" w:space="0"/>
            </w:tcBorders>
            <w:shd w:val="clear" w:color="auto" w:fill="auto"/>
            <w:noWrap/>
            <w:vAlign w:val="center"/>
          </w:tcPr>
          <w:p w14:paraId="07F0D75D">
            <w:pPr>
              <w:widowControl/>
              <w:ind w:firstLine="180" w:firstLineChars="100"/>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766" w:type="dxa"/>
            <w:tcBorders>
              <w:top w:val="nil"/>
              <w:left w:val="nil"/>
              <w:bottom w:val="single" w:color="auto" w:sz="4" w:space="0"/>
              <w:right w:val="single" w:color="auto" w:sz="4" w:space="0"/>
            </w:tcBorders>
            <w:shd w:val="clear" w:color="auto" w:fill="auto"/>
            <w:noWrap/>
            <w:vAlign w:val="center"/>
          </w:tcPr>
          <w:p w14:paraId="044F6988">
            <w:pPr>
              <w:widowControl/>
              <w:ind w:firstLine="180" w:firstLineChars="100"/>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1132" w:type="dxa"/>
            <w:tcBorders>
              <w:top w:val="nil"/>
              <w:left w:val="nil"/>
              <w:bottom w:val="single" w:color="auto" w:sz="4" w:space="0"/>
              <w:right w:val="single" w:color="auto" w:sz="4" w:space="0"/>
            </w:tcBorders>
            <w:shd w:val="clear" w:color="auto" w:fill="auto"/>
            <w:noWrap/>
            <w:vAlign w:val="center"/>
          </w:tcPr>
          <w:p w14:paraId="10556F12">
            <w:pPr>
              <w:widowControl/>
              <w:ind w:firstLine="180" w:firstLineChars="1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49" w:type="dxa"/>
            <w:tcBorders>
              <w:top w:val="nil"/>
              <w:left w:val="nil"/>
              <w:bottom w:val="single" w:color="auto" w:sz="4" w:space="0"/>
              <w:right w:val="single" w:color="auto" w:sz="4" w:space="0"/>
            </w:tcBorders>
            <w:shd w:val="clear" w:color="auto" w:fill="auto"/>
            <w:noWrap/>
            <w:vAlign w:val="center"/>
          </w:tcPr>
          <w:p w14:paraId="6581EE52">
            <w:pPr>
              <w:widowControl/>
              <w:ind w:firstLine="180" w:firstLineChars="1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32" w:type="dxa"/>
            <w:tcBorders>
              <w:top w:val="nil"/>
              <w:left w:val="nil"/>
              <w:bottom w:val="single" w:color="auto" w:sz="4" w:space="0"/>
              <w:right w:val="single" w:color="auto" w:sz="4" w:space="0"/>
            </w:tcBorders>
            <w:shd w:val="clear" w:color="auto" w:fill="auto"/>
            <w:noWrap/>
            <w:vAlign w:val="center"/>
          </w:tcPr>
          <w:p w14:paraId="0DB5B848">
            <w:pPr>
              <w:widowControl/>
              <w:ind w:firstLine="180" w:firstLineChars="1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bl>
    <w:p w14:paraId="4F8677AB">
      <w:pPr>
        <w:spacing w:line="594" w:lineRule="exact"/>
        <w:rPr>
          <w:rFonts w:ascii="宋体" w:hAnsi="宋体" w:eastAsia="宋体"/>
          <w:color w:val="000000"/>
          <w:sz w:val="32"/>
          <w:szCs w:val="32"/>
        </w:rPr>
        <w:sectPr>
          <w:pgSz w:w="16838" w:h="11906" w:orient="landscape"/>
          <w:pgMar w:top="1797" w:right="1440" w:bottom="1797" w:left="1440" w:header="851" w:footer="992" w:gutter="0"/>
          <w:cols w:space="425" w:num="1"/>
          <w:docGrid w:type="linesAndChars" w:linePitch="312" w:charSpace="0"/>
        </w:sectPr>
      </w:pPr>
    </w:p>
    <w:p w14:paraId="3AF931D4">
      <w:pPr>
        <w:pStyle w:val="4"/>
        <w:rPr>
          <w:rStyle w:val="7"/>
          <w:rFonts w:hint="default" w:eastAsia="宋体"/>
          <w:sz w:val="32"/>
          <w:szCs w:val="32"/>
          <w:lang w:val="en-US" w:eastAsia="zh-CN"/>
        </w:rPr>
      </w:pPr>
      <w:r>
        <w:rPr>
          <w:rStyle w:val="7"/>
          <w:rFonts w:hint="eastAsia"/>
          <w:sz w:val="32"/>
          <w:szCs w:val="32"/>
          <w:lang w:val="en-US" w:eastAsia="zh-CN"/>
        </w:rPr>
        <w:t>2、绩效自评报告或案例</w:t>
      </w:r>
    </w:p>
    <w:p w14:paraId="35337CC8">
      <w:pPr>
        <w:pStyle w:val="4"/>
        <w:rPr>
          <w:rStyle w:val="7"/>
          <w:rFonts w:hint="default" w:eastAsia="宋体"/>
          <w:sz w:val="32"/>
          <w:szCs w:val="32"/>
          <w:lang w:val="en-US" w:eastAsia="zh-CN"/>
        </w:rPr>
      </w:pPr>
      <w:r>
        <w:rPr>
          <w:rStyle w:val="7"/>
          <w:rFonts w:hint="eastAsia"/>
          <w:sz w:val="32"/>
          <w:szCs w:val="32"/>
          <w:lang w:eastAsia="zh-CN"/>
        </w:rPr>
        <w:t>我单位未委托第三方开展绩效评估。</w:t>
      </w:r>
    </w:p>
    <w:p w14:paraId="70298037">
      <w:pPr>
        <w:pStyle w:val="4"/>
        <w:rPr>
          <w:rStyle w:val="7"/>
          <w:rFonts w:hint="eastAsia" w:eastAsia="宋体"/>
          <w:sz w:val="32"/>
          <w:szCs w:val="32"/>
          <w:lang w:val="en-US" w:eastAsia="zh-CN"/>
        </w:rPr>
      </w:pPr>
      <w:r>
        <w:rPr>
          <w:rStyle w:val="7"/>
          <w:rFonts w:hint="eastAsia"/>
          <w:sz w:val="32"/>
          <w:szCs w:val="32"/>
          <w:lang w:val="en-US" w:eastAsia="zh-CN"/>
        </w:rPr>
        <w:t>3、关于绩效自评结果说明</w:t>
      </w:r>
    </w:p>
    <w:p w14:paraId="1EE61D68">
      <w:pPr>
        <w:pStyle w:val="4"/>
        <w:rPr>
          <w:rStyle w:val="7"/>
          <w:rFonts w:hint="eastAsia" w:eastAsia="宋体"/>
          <w:sz w:val="32"/>
          <w:szCs w:val="32"/>
          <w:lang w:eastAsia="zh-CN"/>
        </w:rPr>
      </w:pPr>
      <w:r>
        <w:rPr>
          <w:rStyle w:val="7"/>
          <w:rFonts w:hint="eastAsia"/>
          <w:sz w:val="32"/>
          <w:szCs w:val="32"/>
          <w:lang w:eastAsia="zh-CN"/>
        </w:rPr>
        <w:t>我单位绩效自评均已完成年度绩效目标。</w:t>
      </w:r>
    </w:p>
    <w:p w14:paraId="4F3BA82E">
      <w:pPr>
        <w:pStyle w:val="4"/>
        <w:rPr>
          <w:rStyle w:val="7"/>
          <w:rFonts w:hint="eastAsia" w:eastAsia="宋体"/>
          <w:sz w:val="32"/>
          <w:szCs w:val="32"/>
          <w:lang w:eastAsia="zh-CN"/>
        </w:rPr>
      </w:pPr>
      <w:r>
        <w:rPr>
          <w:rStyle w:val="7"/>
          <w:rFonts w:hint="eastAsia"/>
          <w:sz w:val="32"/>
          <w:szCs w:val="32"/>
          <w:lang w:eastAsia="zh-CN"/>
        </w:rPr>
        <w:t>（三）重点绩效评价结果</w:t>
      </w:r>
    </w:p>
    <w:p w14:paraId="5189F371">
      <w:pPr>
        <w:pStyle w:val="4"/>
        <w:rPr>
          <w:rStyle w:val="7"/>
          <w:rFonts w:hint="default" w:eastAsia="宋体"/>
          <w:sz w:val="32"/>
          <w:szCs w:val="32"/>
          <w:lang w:val="en-US" w:eastAsia="zh-CN"/>
        </w:rPr>
      </w:pPr>
      <w:r>
        <w:rPr>
          <w:rStyle w:val="7"/>
          <w:rFonts w:hint="eastAsia"/>
          <w:sz w:val="32"/>
          <w:szCs w:val="32"/>
          <w:lang w:eastAsia="zh-CN"/>
        </w:rPr>
        <w:t>我单位未委托第三方开展重点绩效评价。</w:t>
      </w:r>
    </w:p>
    <w:p w14:paraId="14059828">
      <w:pPr>
        <w:pStyle w:val="4"/>
        <w:rPr>
          <w:sz w:val="32"/>
          <w:szCs w:val="32"/>
        </w:rPr>
      </w:pPr>
      <w:r>
        <w:rPr>
          <w:rStyle w:val="7"/>
          <w:rFonts w:hint="eastAsia"/>
          <w:sz w:val="32"/>
          <w:szCs w:val="32"/>
        </w:rPr>
        <w:t>六、专业名词解释</w:t>
      </w:r>
    </w:p>
    <w:p w14:paraId="07B3CA9A">
      <w:pPr>
        <w:pStyle w:val="4"/>
        <w:rPr>
          <w:sz w:val="32"/>
          <w:szCs w:val="32"/>
        </w:rPr>
      </w:pPr>
      <w:r>
        <w:rPr>
          <w:rStyle w:val="7"/>
          <w:rFonts w:hint="eastAsia"/>
          <w:sz w:val="32"/>
          <w:szCs w:val="32"/>
        </w:rPr>
        <w:t>（一）财政拨款收入</w:t>
      </w:r>
      <w:r>
        <w:rPr>
          <w:rFonts w:hint="eastAsia"/>
          <w:sz w:val="32"/>
          <w:szCs w:val="32"/>
        </w:rPr>
        <w:t>：指本年度从本级财政部门取得的财政拨款，包括一般公共预算财政拨款和政府性基金预算财政拨款。</w:t>
      </w:r>
    </w:p>
    <w:p w14:paraId="23371342">
      <w:pPr>
        <w:pStyle w:val="4"/>
        <w:rPr>
          <w:sz w:val="32"/>
          <w:szCs w:val="32"/>
        </w:rPr>
      </w:pPr>
      <w:r>
        <w:rPr>
          <w:rStyle w:val="7"/>
          <w:rFonts w:hint="eastAsia"/>
          <w:sz w:val="32"/>
          <w:szCs w:val="32"/>
        </w:rPr>
        <w:t>（二）事业收入</w:t>
      </w:r>
      <w:r>
        <w:rPr>
          <w:rFonts w:hint="eastAsia"/>
          <w:sz w:val="32"/>
          <w:szCs w:val="32"/>
        </w:rPr>
        <w:t>：指事业单位开展专业业务活动及其辅助活动取得的现金流入；事业单位收到的财政专户实际核拨的教育收费等资金在此反映。</w:t>
      </w:r>
    </w:p>
    <w:p w14:paraId="22CEB0F1">
      <w:pPr>
        <w:pStyle w:val="4"/>
        <w:rPr>
          <w:sz w:val="32"/>
          <w:szCs w:val="32"/>
        </w:rPr>
      </w:pPr>
      <w:r>
        <w:rPr>
          <w:rStyle w:val="7"/>
          <w:rFonts w:hint="eastAsia"/>
          <w:sz w:val="32"/>
          <w:szCs w:val="32"/>
        </w:rPr>
        <w:t>（三）经营收入</w:t>
      </w:r>
      <w:r>
        <w:rPr>
          <w:rFonts w:hint="eastAsia"/>
          <w:sz w:val="32"/>
          <w:szCs w:val="32"/>
        </w:rPr>
        <w:t>：指事业单位在专业业务活动及其辅助活动之外开展非独立核算经营活动取得的现金流入。</w:t>
      </w:r>
    </w:p>
    <w:p w14:paraId="385E3972">
      <w:pPr>
        <w:pStyle w:val="4"/>
        <w:rPr>
          <w:sz w:val="32"/>
          <w:szCs w:val="32"/>
        </w:rPr>
      </w:pPr>
      <w:r>
        <w:rPr>
          <w:rStyle w:val="7"/>
          <w:rFonts w:hint="eastAsia"/>
          <w:sz w:val="32"/>
          <w:szCs w:val="32"/>
        </w:rPr>
        <w:t>（四）其他收入</w:t>
      </w:r>
      <w:r>
        <w:rPr>
          <w:rFonts w:hint="eastAsia"/>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1ADD7E3B">
      <w:pPr>
        <w:pStyle w:val="4"/>
        <w:rPr>
          <w:sz w:val="32"/>
          <w:szCs w:val="32"/>
        </w:rPr>
      </w:pPr>
      <w:r>
        <w:rPr>
          <w:rStyle w:val="7"/>
          <w:rFonts w:hint="eastAsia"/>
          <w:sz w:val="32"/>
          <w:szCs w:val="32"/>
        </w:rPr>
        <w:t>（五）使用非财政拨款结余</w:t>
      </w:r>
      <w:r>
        <w:rPr>
          <w:rFonts w:hint="eastAsia"/>
          <w:sz w:val="32"/>
          <w:szCs w:val="32"/>
        </w:rPr>
        <w:t>：指单位在当年的“财政拨款收入”、“事业收入”、“经营收入”、“其他收入”等不足以安排当年支出的情况下，使用以前年度积累的非财政拨款结余弥补本年度收支缺口的资金。</w:t>
      </w:r>
    </w:p>
    <w:p w14:paraId="7EAF2069">
      <w:pPr>
        <w:pStyle w:val="4"/>
        <w:rPr>
          <w:sz w:val="32"/>
          <w:szCs w:val="32"/>
        </w:rPr>
      </w:pPr>
      <w:r>
        <w:rPr>
          <w:rStyle w:val="7"/>
          <w:rFonts w:hint="eastAsia"/>
          <w:sz w:val="32"/>
          <w:szCs w:val="32"/>
        </w:rPr>
        <w:t>（六）年初结转和结余</w:t>
      </w:r>
      <w:r>
        <w:rPr>
          <w:rFonts w:hint="eastAsia"/>
          <w:sz w:val="32"/>
          <w:szCs w:val="32"/>
        </w:rPr>
        <w:t>：指单位上年结转本年使用的基本支出结转、项目支出结转和结余、经营结余。</w:t>
      </w:r>
    </w:p>
    <w:p w14:paraId="4BC7D8D3">
      <w:pPr>
        <w:pStyle w:val="4"/>
        <w:rPr>
          <w:sz w:val="32"/>
          <w:szCs w:val="32"/>
        </w:rPr>
      </w:pPr>
      <w:r>
        <w:rPr>
          <w:rStyle w:val="7"/>
          <w:rFonts w:hint="eastAsia"/>
          <w:sz w:val="32"/>
          <w:szCs w:val="32"/>
        </w:rPr>
        <w:t>（七）结余分配</w:t>
      </w:r>
      <w:r>
        <w:rPr>
          <w:rFonts w:hint="eastAsia"/>
          <w:sz w:val="32"/>
          <w:szCs w:val="32"/>
        </w:rPr>
        <w:t>：指单位按照国家有关规定，缴纳所得税、提取专用基金、转入非财政拨款结余等当年结余的分配情况。</w:t>
      </w:r>
    </w:p>
    <w:p w14:paraId="37B3FF5C">
      <w:pPr>
        <w:pStyle w:val="4"/>
        <w:rPr>
          <w:sz w:val="32"/>
          <w:szCs w:val="32"/>
        </w:rPr>
      </w:pPr>
      <w:r>
        <w:rPr>
          <w:rStyle w:val="7"/>
          <w:rFonts w:hint="eastAsia"/>
          <w:sz w:val="32"/>
          <w:szCs w:val="32"/>
        </w:rPr>
        <w:t>（八）年末结转和结余</w:t>
      </w:r>
      <w:r>
        <w:rPr>
          <w:rFonts w:hint="eastAsia"/>
          <w:sz w:val="32"/>
          <w:szCs w:val="32"/>
        </w:rPr>
        <w:t>：指单位结转下年的基本支出结转、项目支出结转和结余、经营结余。</w:t>
      </w:r>
    </w:p>
    <w:p w14:paraId="0DD3EDA5">
      <w:pPr>
        <w:pStyle w:val="4"/>
        <w:rPr>
          <w:sz w:val="32"/>
          <w:szCs w:val="32"/>
        </w:rPr>
      </w:pPr>
      <w:r>
        <w:rPr>
          <w:rStyle w:val="7"/>
          <w:rFonts w:hint="eastAsia"/>
          <w:sz w:val="32"/>
          <w:szCs w:val="32"/>
        </w:rPr>
        <w:t>（九）基本支出</w:t>
      </w:r>
      <w:r>
        <w:rPr>
          <w:rFonts w:hint="eastAsia"/>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7948CF8D">
      <w:pPr>
        <w:pStyle w:val="4"/>
        <w:rPr>
          <w:sz w:val="32"/>
          <w:szCs w:val="32"/>
        </w:rPr>
      </w:pPr>
      <w:r>
        <w:rPr>
          <w:rStyle w:val="7"/>
          <w:rFonts w:hint="eastAsia"/>
          <w:sz w:val="32"/>
          <w:szCs w:val="32"/>
        </w:rPr>
        <w:t>（十）项目支出</w:t>
      </w:r>
      <w:r>
        <w:rPr>
          <w:rFonts w:hint="eastAsia"/>
          <w:sz w:val="32"/>
          <w:szCs w:val="32"/>
        </w:rPr>
        <w:t>：指在基本支出之外为完成特定行政任务和事业发展目标所发生的支出。</w:t>
      </w:r>
    </w:p>
    <w:p w14:paraId="0C2A669D">
      <w:pPr>
        <w:pStyle w:val="4"/>
        <w:rPr>
          <w:sz w:val="32"/>
          <w:szCs w:val="32"/>
        </w:rPr>
      </w:pPr>
      <w:r>
        <w:rPr>
          <w:rStyle w:val="7"/>
          <w:rFonts w:hint="eastAsia"/>
          <w:sz w:val="32"/>
          <w:szCs w:val="32"/>
        </w:rPr>
        <w:t>（十一）经营支出</w:t>
      </w:r>
      <w:r>
        <w:rPr>
          <w:rFonts w:hint="eastAsia"/>
          <w:sz w:val="32"/>
          <w:szCs w:val="32"/>
        </w:rPr>
        <w:t>：指事业单位在专业业务活动及其辅助活动之外开展非独立核算经营活动发生的支出。</w:t>
      </w:r>
    </w:p>
    <w:p w14:paraId="7960FD68">
      <w:pPr>
        <w:pStyle w:val="4"/>
        <w:rPr>
          <w:sz w:val="32"/>
          <w:szCs w:val="32"/>
        </w:rPr>
      </w:pPr>
      <w:r>
        <w:rPr>
          <w:rStyle w:val="7"/>
          <w:rFonts w:hint="eastAsia"/>
          <w:sz w:val="32"/>
          <w:szCs w:val="32"/>
        </w:rPr>
        <w:t>（十二）“三公”经费</w:t>
      </w:r>
      <w:r>
        <w:rPr>
          <w:rFonts w:hint="eastAsia"/>
          <w:sz w:val="32"/>
          <w:szCs w:val="32"/>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32066296">
      <w:pPr>
        <w:pStyle w:val="4"/>
        <w:rPr>
          <w:sz w:val="32"/>
          <w:szCs w:val="32"/>
        </w:rPr>
      </w:pPr>
      <w:r>
        <w:rPr>
          <w:rStyle w:val="7"/>
          <w:rFonts w:hint="eastAsia"/>
          <w:sz w:val="32"/>
          <w:szCs w:val="32"/>
        </w:rPr>
        <w:t>（十三）机关运行经费</w:t>
      </w:r>
      <w:r>
        <w:rPr>
          <w:rFonts w:hint="eastAsia"/>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3A1E22A9">
      <w:pPr>
        <w:pStyle w:val="4"/>
        <w:rPr>
          <w:sz w:val="32"/>
          <w:szCs w:val="32"/>
        </w:rPr>
      </w:pPr>
      <w:r>
        <w:rPr>
          <w:rStyle w:val="7"/>
          <w:rFonts w:hint="eastAsia"/>
          <w:sz w:val="32"/>
          <w:szCs w:val="32"/>
        </w:rPr>
        <w:t>（十四）工资福利支出（支出经济分类科目类级）</w:t>
      </w:r>
      <w:r>
        <w:rPr>
          <w:rFonts w:hint="eastAsia"/>
          <w:sz w:val="32"/>
          <w:szCs w:val="32"/>
        </w:rPr>
        <w:t>：反映单位开支的在职职工和编制外长期聘用人员的各类劳动报酬，以及为上述人员缴纳的各项社会保险费等。</w:t>
      </w:r>
    </w:p>
    <w:p w14:paraId="6A256104">
      <w:pPr>
        <w:pStyle w:val="4"/>
        <w:rPr>
          <w:sz w:val="32"/>
          <w:szCs w:val="32"/>
        </w:rPr>
      </w:pPr>
      <w:r>
        <w:rPr>
          <w:rStyle w:val="7"/>
          <w:rFonts w:hint="eastAsia"/>
          <w:sz w:val="32"/>
          <w:szCs w:val="32"/>
        </w:rPr>
        <w:t>（十五）商品和服务支出（支出经济分类科目类级）</w:t>
      </w:r>
      <w:r>
        <w:rPr>
          <w:rFonts w:hint="eastAsia"/>
          <w:sz w:val="32"/>
          <w:szCs w:val="32"/>
        </w:rPr>
        <w:t>：反映单位购买商品和服务的支出（不包括用于购置固定资产的支出、战略性和应急储备支出）。</w:t>
      </w:r>
    </w:p>
    <w:p w14:paraId="03C224E5">
      <w:pPr>
        <w:pStyle w:val="4"/>
        <w:rPr>
          <w:sz w:val="32"/>
          <w:szCs w:val="32"/>
        </w:rPr>
      </w:pPr>
      <w:r>
        <w:rPr>
          <w:rStyle w:val="7"/>
          <w:rFonts w:hint="eastAsia"/>
          <w:sz w:val="32"/>
          <w:szCs w:val="32"/>
        </w:rPr>
        <w:t>（十六）对个人和家庭的补助（支出经济分类科目类级）</w:t>
      </w:r>
      <w:r>
        <w:rPr>
          <w:rFonts w:hint="eastAsia"/>
          <w:sz w:val="32"/>
          <w:szCs w:val="32"/>
        </w:rPr>
        <w:t>：反映用于对个人和家庭的补助支出。</w:t>
      </w:r>
    </w:p>
    <w:p w14:paraId="5F7D8995">
      <w:pPr>
        <w:pStyle w:val="4"/>
        <w:rPr>
          <w:sz w:val="32"/>
          <w:szCs w:val="32"/>
        </w:rPr>
      </w:pPr>
      <w:r>
        <w:rPr>
          <w:rStyle w:val="7"/>
          <w:rFonts w:hint="eastAsia"/>
          <w:sz w:val="32"/>
          <w:szCs w:val="32"/>
        </w:rPr>
        <w:t>（十七）其他资本性支出（支出经济分类科目类级）</w:t>
      </w:r>
      <w:r>
        <w:rPr>
          <w:rFonts w:hint="eastAsia"/>
          <w:sz w:val="32"/>
          <w:szCs w:val="32"/>
        </w:rPr>
        <w:t>：反映非各级发展与改革部门集中安排的用于购置固定资产、战略性和应急性储备、土地和无形资产，以及构建基础设施、大型修缮和财政支持企业更新改造所发生的支出。</w:t>
      </w:r>
    </w:p>
    <w:p w14:paraId="18AFCD67">
      <w:pPr>
        <w:pStyle w:val="4"/>
        <w:rPr>
          <w:sz w:val="32"/>
          <w:szCs w:val="32"/>
        </w:rPr>
      </w:pPr>
      <w:r>
        <w:rPr>
          <w:rStyle w:val="7"/>
          <w:rFonts w:hint="eastAsia"/>
          <w:sz w:val="32"/>
          <w:szCs w:val="32"/>
        </w:rPr>
        <w:t>七、决算公开联系方式及信息反馈渠道</w:t>
      </w:r>
    </w:p>
    <w:p w14:paraId="485D9C1A">
      <w:pPr>
        <w:pStyle w:val="4"/>
        <w:rPr>
          <w:sz w:val="32"/>
          <w:szCs w:val="32"/>
        </w:rPr>
      </w:pPr>
      <w:r>
        <w:rPr>
          <w:rFonts w:hint="eastAsia"/>
          <w:sz w:val="32"/>
          <w:szCs w:val="32"/>
        </w:rPr>
        <w:t>本单位决算公开信息反馈和联系方式：联系人：熊永祥，联系电话：18996712417</w:t>
      </w:r>
    </w:p>
    <w:p w14:paraId="682D99E7">
      <w:pPr>
        <w:widowControl/>
        <w:shd w:val="clear" w:color="auto" w:fill="FFFFFF"/>
        <w:wordWrap w:val="0"/>
        <w:spacing w:line="400" w:lineRule="atLeast"/>
        <w:jc w:val="left"/>
        <w:rPr>
          <w:rFonts w:ascii="微软雅黑" w:hAnsi="微软雅黑" w:eastAsia="微软雅黑" w:cs="宋体"/>
          <w:b/>
          <w:bCs/>
          <w:color w:val="FF0000"/>
          <w:kern w:val="0"/>
          <w:sz w:val="19"/>
          <w:szCs w:val="19"/>
        </w:rPr>
      </w:pPr>
      <w:r>
        <w:rPr>
          <w:rFonts w:hint="eastAsia" w:ascii="微软雅黑" w:hAnsi="微软雅黑" w:eastAsia="微软雅黑" w:cs="宋体"/>
          <w:b/>
          <w:bCs/>
          <w:color w:val="FF0000"/>
          <w:kern w:val="0"/>
          <w:sz w:val="19"/>
          <w:szCs w:val="19"/>
        </w:rPr>
        <w:t>文件下载</w:t>
      </w:r>
    </w:p>
    <w:p w14:paraId="21DA0E12">
      <w:pPr>
        <w:widowControl/>
        <w:numPr>
          <w:ilvl w:val="0"/>
          <w:numId w:val="0"/>
        </w:numPr>
        <w:shd w:val="clear" w:color="auto" w:fill="FFFFFF"/>
        <w:wordWrap w:val="0"/>
        <w:ind w:left="-360" w:leftChars="0" w:firstLine="420" w:firstLineChars="200"/>
        <w:jc w:val="left"/>
        <w:rPr>
          <w:rFonts w:ascii="微软雅黑" w:hAnsi="微软雅黑" w:eastAsia="微软雅黑" w:cs="宋体"/>
          <w:color w:val="333333"/>
          <w:kern w:val="0"/>
          <w:sz w:val="28"/>
          <w:szCs w:val="28"/>
        </w:rPr>
      </w:pPr>
      <w:r>
        <w:fldChar w:fldCharType="begin"/>
      </w:r>
      <w:r>
        <w:instrText xml:space="preserve"> HYPERLINK "http://www.cqfd.gov.cn/bm/rlsbj/zwgk_36090/fdzdgknr_36093/czyjs_36100/jsgk/202309/W020230921575725942963.docx" \t "_blank" </w:instrText>
      </w:r>
      <w:r>
        <w:fldChar w:fldCharType="separate"/>
      </w:r>
      <w:r>
        <w:rPr>
          <w:rFonts w:hint="eastAsia" w:ascii="微软雅黑" w:hAnsi="微软雅黑" w:eastAsia="微软雅黑" w:cs="宋体"/>
          <w:color w:val="333333"/>
          <w:kern w:val="0"/>
          <w:sz w:val="28"/>
          <w:szCs w:val="28"/>
        </w:rPr>
        <w:t>重庆市丰都县社会保险事务中</w:t>
      </w:r>
      <w:r>
        <w:rPr>
          <w:rFonts w:hint="eastAsia" w:ascii="微软雅黑" w:hAnsi="微软雅黑" w:eastAsia="微软雅黑" w:cs="宋体"/>
          <w:color w:val="333333"/>
          <w:kern w:val="0"/>
          <w:sz w:val="28"/>
          <w:szCs w:val="28"/>
          <w:lang w:eastAsia="zh-CN"/>
        </w:rPr>
        <w:t>心</w:t>
      </w:r>
      <w:r>
        <w:rPr>
          <w:rFonts w:hint="eastAsia" w:ascii="微软雅黑" w:hAnsi="微软雅黑" w:eastAsia="微软雅黑" w:cs="宋体"/>
          <w:color w:val="333333"/>
          <w:kern w:val="0"/>
          <w:sz w:val="28"/>
          <w:szCs w:val="28"/>
        </w:rPr>
        <w:t xml:space="preserve">2022年部门决算情况说明 </w:t>
      </w:r>
      <w:r>
        <w:rPr>
          <w:rFonts w:hint="eastAsia" w:ascii="微软雅黑" w:hAnsi="微软雅黑" w:eastAsia="微软雅黑" w:cs="宋体"/>
          <w:color w:val="333333"/>
          <w:kern w:val="0"/>
          <w:sz w:val="28"/>
          <w:szCs w:val="28"/>
        </w:rPr>
        <w:fldChar w:fldCharType="end"/>
      </w:r>
    </w:p>
    <w:p w14:paraId="241A56BF">
      <w:pPr>
        <w:widowControl/>
        <w:shd w:val="clear" w:color="auto" w:fill="FFFFFF"/>
        <w:wordWrap w:val="0"/>
        <w:spacing w:after="133" w:line="400" w:lineRule="atLeast"/>
        <w:jc w:val="left"/>
        <w:rPr>
          <w:rFonts w:ascii="微软雅黑" w:hAnsi="微软雅黑" w:eastAsia="微软雅黑" w:cs="宋体"/>
          <w:b/>
          <w:bCs/>
          <w:color w:val="FF0000"/>
          <w:kern w:val="0"/>
          <w:sz w:val="19"/>
          <w:szCs w:val="19"/>
        </w:rPr>
      </w:pPr>
      <w:r>
        <w:rPr>
          <w:rFonts w:hint="eastAsia" w:ascii="微软雅黑" w:hAnsi="微软雅黑" w:eastAsia="微软雅黑" w:cs="宋体"/>
          <w:b/>
          <w:bCs/>
          <w:color w:val="FF0000"/>
          <w:kern w:val="0"/>
          <w:sz w:val="19"/>
          <w:szCs w:val="19"/>
        </w:rPr>
        <w:t>附件下载：</w:t>
      </w:r>
    </w:p>
    <w:p w14:paraId="0FF6F09B">
      <w:pPr>
        <w:widowControl/>
        <w:shd w:val="clear" w:color="auto" w:fill="FFFFFF"/>
        <w:wordWrap w:val="0"/>
        <w:spacing w:line="400" w:lineRule="atLeast"/>
        <w:jc w:val="left"/>
        <w:rPr>
          <w:rFonts w:ascii="微软雅黑" w:hAnsi="微软雅黑" w:eastAsia="微软雅黑" w:cs="宋体"/>
          <w:color w:val="333333"/>
          <w:kern w:val="0"/>
          <w:sz w:val="28"/>
          <w:szCs w:val="28"/>
        </w:rPr>
      </w:pPr>
      <w:r>
        <w:rPr>
          <w:rFonts w:hint="eastAsia" w:ascii="微软雅黑" w:hAnsi="微软雅黑" w:eastAsia="微软雅黑" w:cs="宋体"/>
          <w:color w:val="333333"/>
          <w:kern w:val="0"/>
          <w:sz w:val="28"/>
          <w:szCs w:val="28"/>
        </w:rPr>
        <w:t>重庆市丰都县社会保险事务中</w:t>
      </w:r>
      <w:r>
        <w:rPr>
          <w:rFonts w:hint="eastAsia" w:ascii="微软雅黑" w:hAnsi="微软雅黑" w:eastAsia="微软雅黑" w:cs="宋体"/>
          <w:color w:val="333333"/>
          <w:kern w:val="0"/>
          <w:sz w:val="28"/>
          <w:szCs w:val="28"/>
          <w:lang w:eastAsia="zh-CN"/>
        </w:rPr>
        <w:t>心</w:t>
      </w:r>
      <w:r>
        <w:rPr>
          <w:rFonts w:hint="eastAsia" w:ascii="微软雅黑" w:hAnsi="微软雅黑" w:eastAsia="微软雅黑" w:cs="宋体"/>
          <w:color w:val="333333"/>
          <w:kern w:val="0"/>
          <w:sz w:val="28"/>
          <w:szCs w:val="28"/>
        </w:rPr>
        <w:t>2022年度部门决算公开表</w:t>
      </w:r>
    </w:p>
    <w:p w14:paraId="66093BB5">
      <w:pPr>
        <w:rPr>
          <w:rFonts w:ascii="宋体" w:hAnsi="宋体" w:eastAsia="宋体" w:cs="宋体"/>
          <w:sz w:val="32"/>
          <w:szCs w:val="32"/>
        </w:rPr>
      </w:pPr>
    </w:p>
    <w:sectPr>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2E86F6"/>
    <w:multiLevelType w:val="singleLevel"/>
    <w:tmpl w:val="9C2E86F6"/>
    <w:lvl w:ilvl="0" w:tentative="0">
      <w:start w:val="1"/>
      <w:numFmt w:val="decimal"/>
      <w:lvlText w:val="%1."/>
      <w:lvlJc w:val="left"/>
      <w:pPr>
        <w:tabs>
          <w:tab w:val="left" w:pos="312"/>
        </w:tabs>
      </w:pPr>
    </w:lvl>
  </w:abstractNum>
  <w:abstractNum w:abstractNumId="1">
    <w:nsid w:val="EF30E34F"/>
    <w:multiLevelType w:val="singleLevel"/>
    <w:tmpl w:val="EF30E34F"/>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RlMTI0ZmZkNWVkNDk2ZTg4NWYwOTQyMjQxMmY4NGEifQ=="/>
  </w:docVars>
  <w:rsids>
    <w:rsidRoot w:val="000A6D64"/>
    <w:rsid w:val="00024928"/>
    <w:rsid w:val="00061459"/>
    <w:rsid w:val="000A6D64"/>
    <w:rsid w:val="002003D5"/>
    <w:rsid w:val="002070E1"/>
    <w:rsid w:val="00351278"/>
    <w:rsid w:val="00456110"/>
    <w:rsid w:val="00484A2F"/>
    <w:rsid w:val="004A2DC0"/>
    <w:rsid w:val="005904FF"/>
    <w:rsid w:val="005F076F"/>
    <w:rsid w:val="00611A1B"/>
    <w:rsid w:val="00775565"/>
    <w:rsid w:val="007B724F"/>
    <w:rsid w:val="008C29A5"/>
    <w:rsid w:val="0097622E"/>
    <w:rsid w:val="00AB564B"/>
    <w:rsid w:val="00B733EB"/>
    <w:rsid w:val="00BA5B48"/>
    <w:rsid w:val="00CF4CDC"/>
    <w:rsid w:val="00D20F65"/>
    <w:rsid w:val="00D74CAD"/>
    <w:rsid w:val="00DE6577"/>
    <w:rsid w:val="00DF6ED3"/>
    <w:rsid w:val="00EF458B"/>
    <w:rsid w:val="00F325CE"/>
    <w:rsid w:val="00F44D7E"/>
    <w:rsid w:val="02212A6F"/>
    <w:rsid w:val="054160C5"/>
    <w:rsid w:val="093635D0"/>
    <w:rsid w:val="098B6397"/>
    <w:rsid w:val="0DCD2599"/>
    <w:rsid w:val="14531B4D"/>
    <w:rsid w:val="14D71A45"/>
    <w:rsid w:val="17920707"/>
    <w:rsid w:val="1796432A"/>
    <w:rsid w:val="17FD202D"/>
    <w:rsid w:val="190021EF"/>
    <w:rsid w:val="191B6861"/>
    <w:rsid w:val="196F7396"/>
    <w:rsid w:val="19ED659F"/>
    <w:rsid w:val="1B4A1EFB"/>
    <w:rsid w:val="1BF86747"/>
    <w:rsid w:val="20B65E10"/>
    <w:rsid w:val="20FF07F8"/>
    <w:rsid w:val="264C228B"/>
    <w:rsid w:val="26681488"/>
    <w:rsid w:val="27B64475"/>
    <w:rsid w:val="27B879B3"/>
    <w:rsid w:val="2D6E2220"/>
    <w:rsid w:val="2ED57C09"/>
    <w:rsid w:val="31440FA5"/>
    <w:rsid w:val="374E068F"/>
    <w:rsid w:val="37D90437"/>
    <w:rsid w:val="391C7C42"/>
    <w:rsid w:val="39861EF9"/>
    <w:rsid w:val="3AC41413"/>
    <w:rsid w:val="3D4779CC"/>
    <w:rsid w:val="3DA17207"/>
    <w:rsid w:val="3DDE768A"/>
    <w:rsid w:val="3DF774D2"/>
    <w:rsid w:val="433911DA"/>
    <w:rsid w:val="43FA2E3B"/>
    <w:rsid w:val="45A543E8"/>
    <w:rsid w:val="465F6A86"/>
    <w:rsid w:val="46920306"/>
    <w:rsid w:val="47B52358"/>
    <w:rsid w:val="4834324B"/>
    <w:rsid w:val="48CE107F"/>
    <w:rsid w:val="4BFB72E6"/>
    <w:rsid w:val="4DD229A6"/>
    <w:rsid w:val="4E0650C2"/>
    <w:rsid w:val="4E7204E9"/>
    <w:rsid w:val="54C75890"/>
    <w:rsid w:val="55595D79"/>
    <w:rsid w:val="5568222A"/>
    <w:rsid w:val="56A33C92"/>
    <w:rsid w:val="56C63229"/>
    <w:rsid w:val="577F0538"/>
    <w:rsid w:val="58207565"/>
    <w:rsid w:val="591621FE"/>
    <w:rsid w:val="591F15CA"/>
    <w:rsid w:val="5B1931EA"/>
    <w:rsid w:val="5B332483"/>
    <w:rsid w:val="5BC329F6"/>
    <w:rsid w:val="5BC8495B"/>
    <w:rsid w:val="5E1B4A56"/>
    <w:rsid w:val="5FFE0DB7"/>
    <w:rsid w:val="61B8528D"/>
    <w:rsid w:val="61BD655B"/>
    <w:rsid w:val="65D67586"/>
    <w:rsid w:val="671E3C78"/>
    <w:rsid w:val="67C8434F"/>
    <w:rsid w:val="6B014C93"/>
    <w:rsid w:val="6E0426F6"/>
    <w:rsid w:val="6F921D5B"/>
    <w:rsid w:val="70D50793"/>
    <w:rsid w:val="70E77FF1"/>
    <w:rsid w:val="754C4112"/>
    <w:rsid w:val="79E61F64"/>
    <w:rsid w:val="7DDD39AD"/>
    <w:rsid w:val="7E3C55CB"/>
    <w:rsid w:val="7E4B3D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semiHidden/>
    <w:unhideWhenUsed/>
    <w:qFormat/>
    <w:uiPriority w:val="99"/>
    <w:rPr>
      <w:color w:val="0000FF"/>
      <w:u w:val="single"/>
    </w:rPr>
  </w:style>
  <w:style w:type="character" w:customStyle="1" w:styleId="9">
    <w:name w:val="页眉 Char"/>
    <w:basedOn w:val="6"/>
    <w:link w:val="3"/>
    <w:semiHidden/>
    <w:qFormat/>
    <w:uiPriority w:val="99"/>
    <w:rPr>
      <w:kern w:val="2"/>
      <w:sz w:val="18"/>
      <w:szCs w:val="18"/>
    </w:rPr>
  </w:style>
  <w:style w:type="character" w:customStyle="1" w:styleId="10">
    <w:name w:val="页脚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5368</Words>
  <Characters>6102</Characters>
  <Lines>45</Lines>
  <Paragraphs>12</Paragraphs>
  <TotalTime>6</TotalTime>
  <ScaleCrop>false</ScaleCrop>
  <LinksUpToDate>false</LinksUpToDate>
  <CharactersWithSpaces>6136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2023-09-11T01:31:00Z</dcterms:created>
  <dc:creator>1</dc:creator>
  <cp:lastModifiedBy>温星星</cp:lastModifiedBy>
  <dcterms:modified xsi:type="dcterms:W3CDTF">2025-01-09T07:53:30Z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188909FAD01C49C6AAF4435BEFA0E1B4_12</vt:lpwstr>
  </property>
  <property fmtid="{D5CDD505-2E9C-101B-9397-08002B2CF9AE}" pid="4" name="KSOTemplateDocerSaveRecord">
    <vt:lpwstr>eyJoZGlkIjoiZDRlMTI0ZmZkNWVkNDk2ZTg4NWYwOTQyMjQxMmY4NGEiLCJ1c2VySWQiOiIxMzIzODcwMDMzIn0=</vt:lpwstr>
  </property>
</Properties>
</file>