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A28BB">
      <w:pPr>
        <w:pStyle w:val="6"/>
        <w:spacing w:before="0" w:beforeAutospacing="0" w:after="0" w:afterAutospacing="0" w:line="596" w:lineRule="exact"/>
        <w:jc w:val="both"/>
        <w:rPr>
          <w:rFonts w:hint="default" w:ascii="Times New Roman" w:hAnsi="Times New Roman" w:eastAsia="方正小标宋_GBK" w:cs="Times New Roman"/>
          <w:color w:val="000000" w:themeColor="text1"/>
          <w:sz w:val="36"/>
          <w:szCs w:val="36"/>
        </w:rPr>
      </w:pPr>
    </w:p>
    <w:p w14:paraId="3D3F8BE4">
      <w:pPr>
        <w:pStyle w:val="6"/>
        <w:spacing w:before="0" w:beforeAutospacing="0" w:after="0" w:afterAutospacing="0" w:line="596" w:lineRule="exact"/>
        <w:jc w:val="center"/>
        <w:rPr>
          <w:rFonts w:hint="default" w:ascii="Times New Roman" w:hAnsi="Times New Roman" w:eastAsia="方正小标宋_GBK" w:cs="Times New Roman"/>
          <w:color w:val="000000" w:themeColor="text1"/>
          <w:sz w:val="44"/>
          <w:szCs w:val="44"/>
        </w:rPr>
      </w:pPr>
      <w:bookmarkStart w:id="0" w:name="_GoBack"/>
      <w:r>
        <w:rPr>
          <w:rFonts w:hint="default" w:ascii="Times New Roman" w:hAnsi="Times New Roman" w:eastAsia="方正小标宋_GBK" w:cs="Times New Roman"/>
          <w:color w:val="000000" w:themeColor="text1"/>
          <w:sz w:val="44"/>
          <w:szCs w:val="44"/>
        </w:rPr>
        <w:t>丰都县人力资源和社会保障局</w:t>
      </w:r>
    </w:p>
    <w:p w14:paraId="6CC6C72F">
      <w:pPr>
        <w:pStyle w:val="6"/>
        <w:spacing w:before="0" w:beforeAutospacing="0" w:after="0" w:afterAutospacing="0" w:line="596" w:lineRule="exact"/>
        <w:jc w:val="center"/>
        <w:rPr>
          <w:rFonts w:hint="default" w:ascii="Times New Roman" w:hAnsi="Times New Roman" w:eastAsia="方正小标宋_GBK" w:cs="Times New Roman"/>
          <w:color w:val="000000" w:themeColor="text1"/>
          <w:sz w:val="44"/>
          <w:szCs w:val="44"/>
          <w:shd w:val="clear" w:color="auto" w:fill="FFFFFF"/>
        </w:rPr>
      </w:pPr>
      <w:r>
        <w:rPr>
          <w:rFonts w:hint="default" w:ascii="Times New Roman" w:hAnsi="Times New Roman" w:eastAsia="方正小标宋_GBK" w:cs="Times New Roman"/>
          <w:color w:val="000000" w:themeColor="text1"/>
          <w:sz w:val="44"/>
          <w:szCs w:val="44"/>
          <w:shd w:val="clear" w:color="auto" w:fill="FFFFFF"/>
        </w:rPr>
        <w:t>2024</w:t>
      </w:r>
      <w:r>
        <w:rPr>
          <w:rFonts w:hint="default" w:ascii="Times New Roman" w:hAnsi="Times New Roman" w:eastAsia="方正小标宋_GBK" w:cs="Times New Roman"/>
          <w:color w:val="000000" w:themeColor="text1"/>
          <w:sz w:val="44"/>
          <w:szCs w:val="44"/>
          <w:shd w:val="clear" w:color="auto" w:fill="FFFFFF"/>
        </w:rPr>
        <w:t>年度决算公开说明</w:t>
      </w:r>
      <w:bookmarkEnd w:id="0"/>
    </w:p>
    <w:p w14:paraId="2446F326">
      <w:pPr>
        <w:pStyle w:val="6"/>
        <w:spacing w:before="0" w:beforeAutospacing="0" w:after="0" w:afterAutospacing="0" w:line="596" w:lineRule="exact"/>
        <w:jc w:val="center"/>
        <w:rPr>
          <w:rFonts w:hint="default" w:ascii="Times New Roman" w:hAnsi="Times New Roman" w:eastAsia="方正小标宋_GBK" w:cs="Times New Roman"/>
          <w:color w:val="000000" w:themeColor="text1"/>
          <w:sz w:val="44"/>
          <w:szCs w:val="44"/>
          <w:shd w:val="clear" w:color="auto" w:fill="FFFFFF"/>
        </w:rPr>
      </w:pPr>
    </w:p>
    <w:p w14:paraId="69DF0999">
      <w:pPr>
        <w:pStyle w:val="6"/>
        <w:shd w:val="clear" w:color="auto" w:fill="FFFFFF"/>
        <w:spacing w:before="0" w:beforeAutospacing="0" w:after="0" w:afterAutospacing="0" w:line="596" w:lineRule="exact"/>
        <w:ind w:firstLine="643" w:firstLineChars="200"/>
        <w:rPr>
          <w:rStyle w:val="10"/>
          <w:rFonts w:hint="default" w:ascii="Times New Roman" w:hAnsi="Times New Roman" w:eastAsia="黑体" w:cs="Times New Roman"/>
          <w:color w:val="000000" w:themeColor="text1"/>
          <w:sz w:val="32"/>
          <w:szCs w:val="32"/>
          <w:shd w:val="clear" w:color="auto" w:fill="FFFFFF"/>
        </w:rPr>
      </w:pPr>
      <w:r>
        <w:rPr>
          <w:rStyle w:val="10"/>
          <w:rFonts w:hint="default" w:ascii="Times New Roman" w:hAnsi="Times New Roman" w:eastAsia="黑体" w:cs="Times New Roman"/>
          <w:color w:val="000000" w:themeColor="text1"/>
          <w:sz w:val="32"/>
          <w:szCs w:val="32"/>
          <w:shd w:val="clear" w:color="auto" w:fill="FFFFFF"/>
        </w:rPr>
        <w:t>一、部门基本情况</w:t>
      </w:r>
    </w:p>
    <w:p w14:paraId="4C45FE2E">
      <w:pPr>
        <w:pStyle w:val="6"/>
        <w:shd w:val="clear" w:color="auto" w:fill="FFFFFF"/>
        <w:spacing w:before="0" w:beforeAutospacing="0" w:after="0" w:afterAutospacing="0" w:line="596" w:lineRule="exact"/>
        <w:ind w:firstLine="643" w:firstLineChars="200"/>
        <w:rPr>
          <w:rFonts w:hint="default" w:ascii="Times New Roman" w:hAnsi="Times New Roman" w:eastAsia="方正仿宋_GBK" w:cs="Times New Roman"/>
          <w:color w:val="000000" w:themeColor="text1"/>
          <w:sz w:val="32"/>
          <w:szCs w:val="32"/>
        </w:rPr>
      </w:pPr>
      <w:r>
        <w:rPr>
          <w:rStyle w:val="10"/>
          <w:rFonts w:hint="default" w:ascii="Times New Roman" w:hAnsi="Times New Roman" w:eastAsia="楷体" w:cs="Times New Roman"/>
          <w:color w:val="000000" w:themeColor="text1"/>
          <w:sz w:val="32"/>
          <w:szCs w:val="32"/>
          <w:shd w:val="clear" w:color="auto" w:fill="FFFFFF"/>
        </w:rPr>
        <w:t>（一）职能职责</w:t>
      </w:r>
    </w:p>
    <w:p w14:paraId="29174DAF">
      <w:pPr>
        <w:snapToGrid w:val="0"/>
        <w:spacing w:line="60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1.</w:t>
      </w:r>
      <w:r>
        <w:rPr>
          <w:rFonts w:hint="default" w:ascii="Times New Roman" w:hAnsi="Times New Roman" w:eastAsia="方正仿宋_GBK" w:cs="Times New Roman"/>
          <w:color w:val="000000" w:themeColor="text1"/>
          <w:sz w:val="32"/>
          <w:szCs w:val="32"/>
        </w:rPr>
        <w:t>贯彻执行人力资源和社会保障法律、法规、规章和方针政策；拟订人力资源和社会保障事业发展规划、政策措施，并组织实施和监督检查；拟订机构改革人员定岗和分流政策。</w:t>
      </w:r>
    </w:p>
    <w:p w14:paraId="38786E9F">
      <w:pPr>
        <w:snapToGrid w:val="0"/>
        <w:spacing w:line="60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2.</w:t>
      </w:r>
      <w:r>
        <w:rPr>
          <w:rFonts w:hint="default" w:ascii="Times New Roman" w:hAnsi="Times New Roman" w:eastAsia="方正仿宋_GBK" w:cs="Times New Roman"/>
          <w:color w:val="000000" w:themeColor="text1"/>
          <w:sz w:val="32"/>
          <w:szCs w:val="32"/>
        </w:rPr>
        <w:t>拟订人力资源市场发展规划和人力资源流动政策，建立统一规范的人力资源市场，促进人力资源合理流动、有效配置；综合管理人力资源市场和流动调配工作；负责人才开发和管理工作。</w:t>
      </w:r>
    </w:p>
    <w:p w14:paraId="213E406C">
      <w:pPr>
        <w:snapToGrid w:val="0"/>
        <w:spacing w:line="60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3.</w:t>
      </w:r>
      <w:r>
        <w:rPr>
          <w:rFonts w:hint="default" w:ascii="Times New Roman" w:hAnsi="Times New Roman" w:eastAsia="方正仿宋_GBK" w:cs="Times New Roman"/>
          <w:color w:val="000000" w:themeColor="text1"/>
          <w:sz w:val="32"/>
          <w:szCs w:val="32"/>
        </w:rPr>
        <w:t>负责促进就业工作，拟订统筹城乡的就业发展规划和政策措施，完善公共就业服务体系；牵头组织实施就业援助制度；牵头拟订高校毕业生就业政策措施；拟订国（境）外人员在本县的就业管理政策措施。</w:t>
      </w:r>
    </w:p>
    <w:p w14:paraId="5F576D14">
      <w:pPr>
        <w:snapToGrid w:val="0"/>
        <w:spacing w:line="60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4.</w:t>
      </w:r>
      <w:r>
        <w:rPr>
          <w:rFonts w:hint="default" w:ascii="Times New Roman" w:hAnsi="Times New Roman" w:eastAsia="方正仿宋_GBK" w:cs="Times New Roman"/>
          <w:color w:val="000000" w:themeColor="text1"/>
          <w:sz w:val="32"/>
          <w:szCs w:val="32"/>
        </w:rPr>
        <w:t>负责国（境）外人才、智力引进以及人力资源和社会保障领域的地区、国际交流与合作工作，组织协调相关涉外业务技术合作和人才交流；负责出国（境）培训工作。</w:t>
      </w:r>
    </w:p>
    <w:p w14:paraId="1532E954">
      <w:pPr>
        <w:snapToGrid w:val="0"/>
        <w:spacing w:line="60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5.</w:t>
      </w:r>
      <w:r>
        <w:rPr>
          <w:rFonts w:hint="default" w:ascii="Times New Roman" w:hAnsi="Times New Roman" w:eastAsia="方正仿宋_GBK" w:cs="Times New Roman"/>
          <w:color w:val="000000" w:themeColor="text1"/>
          <w:sz w:val="32"/>
          <w:szCs w:val="32"/>
        </w:rPr>
        <w:t>负责职业能力建设，拟订城乡劳动者职业培训和高技能人才、农村实用人才培养和激励办法；拟订技工学校、职业培训机构、职业技能鉴定机构发展规划并负责管理和监督；贯彻实施职（执）业资格制度，统筹建立面向城乡劳动者的职业培训制度。</w:t>
      </w:r>
    </w:p>
    <w:p w14:paraId="28F5E28F">
      <w:pPr>
        <w:snapToGrid w:val="0"/>
        <w:spacing w:line="60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6.</w:t>
      </w:r>
      <w:r>
        <w:rPr>
          <w:rFonts w:hint="default" w:ascii="Times New Roman" w:hAnsi="Times New Roman" w:eastAsia="方正仿宋_GBK" w:cs="Times New Roman"/>
          <w:color w:val="000000" w:themeColor="text1"/>
          <w:sz w:val="32"/>
          <w:szCs w:val="32"/>
        </w:rPr>
        <w:t>统筹建立覆盖城乡的社会保障体系，负责城乡社会保险及其补充保险政策的组织实施工作；承担社会保险及其补充保险基金行政监督责任。</w:t>
      </w:r>
    </w:p>
    <w:p w14:paraId="59E1AC3E">
      <w:pPr>
        <w:snapToGrid w:val="0"/>
        <w:spacing w:line="60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7.</w:t>
      </w:r>
      <w:r>
        <w:rPr>
          <w:rFonts w:hint="default" w:ascii="Times New Roman" w:hAnsi="Times New Roman" w:eastAsia="方正仿宋_GBK" w:cs="Times New Roman"/>
          <w:color w:val="000000" w:themeColor="text1"/>
          <w:sz w:val="32"/>
          <w:szCs w:val="32"/>
        </w:rPr>
        <w:t>负责就业、失业、社会保险基金预测预警和信息引导，拟订应对预案并组织实施。</w:t>
      </w:r>
    </w:p>
    <w:p w14:paraId="22B93922">
      <w:pPr>
        <w:snapToGrid w:val="0"/>
        <w:spacing w:line="60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8.</w:t>
      </w:r>
      <w:r>
        <w:rPr>
          <w:rFonts w:hint="default" w:ascii="Times New Roman" w:hAnsi="Times New Roman" w:eastAsia="方正仿宋_GBK" w:cs="Times New Roman"/>
          <w:color w:val="000000" w:themeColor="text1"/>
          <w:sz w:val="32"/>
          <w:szCs w:val="32"/>
        </w:rPr>
        <w:t>组织实施机关事业单位人员工资收入分配、津贴补贴、福利和退休管理工作，宏观调控管理企业职工工资收入分配，建立机关企事业单位人员工资正常增长和支付保障机制；负责参加社会养老保险人员享受养老保险待遇的审批；负责机关企事业单位人员工（公）伤认定；负责伤（病）残等级鉴定工作。</w:t>
      </w:r>
    </w:p>
    <w:p w14:paraId="7C12AB63">
      <w:pPr>
        <w:snapToGrid w:val="0"/>
        <w:spacing w:line="60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9.</w:t>
      </w:r>
      <w:r>
        <w:rPr>
          <w:rFonts w:hint="default" w:ascii="Times New Roman" w:hAnsi="Times New Roman" w:eastAsia="方正仿宋_GBK" w:cs="Times New Roman"/>
          <w:color w:val="000000" w:themeColor="text1"/>
          <w:sz w:val="32"/>
          <w:szCs w:val="32"/>
        </w:rPr>
        <w:t>组织实施事业单位人事制度改革；综合管理事业单位人员和机关工勤人员；综合管理专业技术人员并组织实施继续教育政策；负责职称、专家综合管理和高层次专业技术人才选拔、引进、培养工作；牵头推进深化职称制度改革工作。</w:t>
      </w:r>
    </w:p>
    <w:p w14:paraId="0D557D89">
      <w:pPr>
        <w:snapToGrid w:val="0"/>
        <w:spacing w:line="60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10.</w:t>
      </w:r>
      <w:r>
        <w:rPr>
          <w:rFonts w:hint="default" w:ascii="Times New Roman" w:hAnsi="Times New Roman" w:eastAsia="方正仿宋_GBK" w:cs="Times New Roman"/>
          <w:color w:val="000000" w:themeColor="text1"/>
          <w:sz w:val="32"/>
          <w:szCs w:val="32"/>
        </w:rPr>
        <w:t>牵头拟订军队转业干部安置政策和安置计划，负责军队转业干部安置工作；组织实施部分企业军队转业干部解困和稳定政策；协助军队转业干部管理服务和教育培训工作；协调落实军队转业干部随调随迁家属的政策性安置工作。</w:t>
      </w:r>
    </w:p>
    <w:p w14:paraId="626F6579">
      <w:pPr>
        <w:snapToGrid w:val="0"/>
        <w:spacing w:line="60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11.</w:t>
      </w:r>
      <w:r>
        <w:rPr>
          <w:rFonts w:hint="default" w:ascii="Times New Roman" w:hAnsi="Times New Roman" w:eastAsia="方正仿宋_GBK" w:cs="Times New Roman"/>
          <w:color w:val="000000" w:themeColor="text1"/>
          <w:sz w:val="32"/>
          <w:szCs w:val="32"/>
        </w:rPr>
        <w:t>负责行政机关公务员综合管理；组织实施公务员分类、录用、考核、职务任免与升降、奖惩、培训、交流与回避、辞职辞退、申诉控告、职位聘任等方面的法律、法规、规章和方针政策；负责组织参照公务员法单位的申报和管理工作；承办法定、委托或授权管理领导人员的人事任免事项；综合管理奖励表彰工作。</w:t>
      </w:r>
    </w:p>
    <w:p w14:paraId="3F53BD3B">
      <w:pPr>
        <w:snapToGrid w:val="0"/>
        <w:spacing w:line="60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12.</w:t>
      </w:r>
      <w:r>
        <w:rPr>
          <w:rFonts w:hint="default" w:ascii="Times New Roman" w:hAnsi="Times New Roman" w:eastAsia="方正仿宋_GBK" w:cs="Times New Roman"/>
          <w:color w:val="000000" w:themeColor="text1"/>
          <w:sz w:val="32"/>
          <w:szCs w:val="32"/>
        </w:rPr>
        <w:t>组织拟订农村劳务开发管理规划；贯彻执行农民工工作综合性政策；协调解决重点难点问题，维护农民工合法权益。</w:t>
      </w:r>
    </w:p>
    <w:p w14:paraId="729BAAB5">
      <w:pPr>
        <w:snapToGrid w:val="0"/>
        <w:spacing w:line="60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13.</w:t>
      </w:r>
      <w:r>
        <w:rPr>
          <w:rFonts w:hint="default" w:ascii="Times New Roman" w:hAnsi="Times New Roman" w:eastAsia="方正仿宋_GBK" w:cs="Times New Roman"/>
          <w:color w:val="000000" w:themeColor="text1"/>
          <w:sz w:val="32"/>
          <w:szCs w:val="32"/>
        </w:rPr>
        <w:t>统筹实施劳动、人事争议调解仲裁制度；落实劳动关系政策，完善劳动关系协调机制；监督落实消除非法使用童工政策和女工、未成年工的特殊劳动保护政策；组织实施劳动保障监察，协调劳动者维权工作，依法查处重大案件。</w:t>
      </w:r>
    </w:p>
    <w:p w14:paraId="20C75A76">
      <w:pPr>
        <w:pStyle w:val="6"/>
        <w:shd w:val="clear" w:color="auto" w:fill="FFFFFF"/>
        <w:spacing w:before="0" w:beforeAutospacing="0" w:after="0" w:afterAutospacing="0" w:line="60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14.</w:t>
      </w:r>
      <w:r>
        <w:rPr>
          <w:rFonts w:hint="default" w:ascii="Times New Roman" w:hAnsi="Times New Roman" w:eastAsia="方正仿宋_GBK" w:cs="Times New Roman"/>
          <w:color w:val="000000" w:themeColor="text1"/>
          <w:sz w:val="32"/>
          <w:szCs w:val="32"/>
        </w:rPr>
        <w:t>承办县政府交办的其他事项。</w:t>
      </w:r>
    </w:p>
    <w:p w14:paraId="4CF054E4">
      <w:pPr>
        <w:pStyle w:val="6"/>
        <w:shd w:val="clear" w:color="auto" w:fill="FFFFFF"/>
        <w:spacing w:before="0" w:beforeAutospacing="0" w:after="0" w:afterAutospacing="0" w:line="596" w:lineRule="exact"/>
        <w:ind w:firstLine="643" w:firstLineChars="200"/>
        <w:rPr>
          <w:rStyle w:val="10"/>
          <w:rFonts w:hint="default" w:ascii="Times New Roman" w:hAnsi="Times New Roman" w:eastAsia="楷体" w:cs="Times New Roman"/>
          <w:color w:val="000000" w:themeColor="text1"/>
          <w:sz w:val="32"/>
          <w:szCs w:val="32"/>
          <w:shd w:val="clear" w:color="auto" w:fill="FFFFFF"/>
        </w:rPr>
      </w:pPr>
      <w:r>
        <w:rPr>
          <w:rStyle w:val="10"/>
          <w:rFonts w:hint="default" w:ascii="Times New Roman" w:hAnsi="Times New Roman" w:eastAsia="楷体" w:cs="Times New Roman"/>
          <w:color w:val="000000" w:themeColor="text1"/>
          <w:sz w:val="32"/>
          <w:szCs w:val="32"/>
          <w:shd w:val="clear" w:color="auto" w:fill="FFFFFF"/>
        </w:rPr>
        <w:t>（二）机构设置</w:t>
      </w:r>
    </w:p>
    <w:p w14:paraId="38CA4970">
      <w:pPr>
        <w:pStyle w:val="6"/>
        <w:shd w:val="clear" w:color="auto" w:fill="FFFFFF"/>
        <w:spacing w:beforeAutospacing="0" w:after="0" w:afterAutospacing="0" w:line="60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丰都县人力资源和社会保障局内设</w:t>
      </w:r>
      <w:r>
        <w:rPr>
          <w:rFonts w:hint="default" w:ascii="Times New Roman" w:hAnsi="Times New Roman" w:eastAsia="方正仿宋_GBK" w:cs="Times New Roman"/>
          <w:color w:val="000000" w:themeColor="text1"/>
          <w:sz w:val="32"/>
          <w:szCs w:val="32"/>
        </w:rPr>
        <w:t>8</w:t>
      </w:r>
      <w:r>
        <w:rPr>
          <w:rFonts w:hint="default" w:ascii="Times New Roman" w:hAnsi="Times New Roman" w:eastAsia="方正仿宋_GBK" w:cs="Times New Roman"/>
          <w:color w:val="000000" w:themeColor="text1"/>
          <w:sz w:val="32"/>
          <w:szCs w:val="32"/>
        </w:rPr>
        <w:t>个职能科室，分别是：办公室、事业单位人事管理科（职称改革办公室）、机关事业单位工资福利科、就业和人才科、劳动维权科（政策法规科）、社会保障科（县劳动能力鉴定委员会办公室）、行政审批服务科、社保基金监督科。</w:t>
      </w:r>
    </w:p>
    <w:p w14:paraId="5EFB7A33">
      <w:pPr>
        <w:pStyle w:val="6"/>
        <w:shd w:val="clear" w:color="auto" w:fill="FFFFFF"/>
        <w:spacing w:before="0" w:beforeAutospacing="0" w:after="0" w:afterAutospacing="0" w:line="596" w:lineRule="exact"/>
        <w:ind w:firstLine="643" w:firstLineChars="200"/>
        <w:rPr>
          <w:rStyle w:val="10"/>
          <w:rFonts w:hint="default" w:ascii="Times New Roman" w:hAnsi="Times New Roman" w:eastAsia="黑体" w:cs="Times New Roman"/>
          <w:color w:val="000000" w:themeColor="text1"/>
          <w:sz w:val="32"/>
          <w:szCs w:val="32"/>
          <w:shd w:val="clear" w:color="auto" w:fill="FFFFFF"/>
        </w:rPr>
      </w:pPr>
      <w:r>
        <w:rPr>
          <w:rStyle w:val="10"/>
          <w:rFonts w:hint="default" w:ascii="Times New Roman" w:hAnsi="Times New Roman" w:eastAsia="黑体" w:cs="Times New Roman"/>
          <w:color w:val="000000" w:themeColor="text1"/>
          <w:sz w:val="32"/>
          <w:szCs w:val="32"/>
          <w:shd w:val="clear" w:color="auto" w:fill="FFFFFF"/>
        </w:rPr>
        <w:t>二、部门决算收支情况说明</w:t>
      </w:r>
    </w:p>
    <w:p w14:paraId="79ED3D06">
      <w:pPr>
        <w:pStyle w:val="11"/>
        <w:autoSpaceDE w:val="0"/>
        <w:spacing w:line="596"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（一）收入支出决算总体情况说明</w:t>
      </w:r>
    </w:p>
    <w:p w14:paraId="75D01120">
      <w:pPr>
        <w:pStyle w:val="6"/>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2024</w:t>
      </w:r>
      <w:r>
        <w:rPr>
          <w:rFonts w:hint="default" w:ascii="Times New Roman" w:hAnsi="Times New Roman" w:eastAsia="方正仿宋_GBK" w:cs="Times New Roman"/>
          <w:color w:val="000000" w:themeColor="text1"/>
          <w:sz w:val="32"/>
          <w:szCs w:val="32"/>
          <w:shd w:val="clear" w:color="auto" w:fill="FFFFFF"/>
        </w:rPr>
        <w:t>年度收、支总计均为</w:t>
      </w:r>
      <w:r>
        <w:rPr>
          <w:rFonts w:hint="default" w:ascii="Times New Roman" w:hAnsi="Times New Roman" w:eastAsia="方正仿宋_GBK" w:cs="Times New Roman"/>
          <w:color w:val="000000" w:themeColor="text1"/>
          <w:sz w:val="32"/>
          <w:szCs w:val="32"/>
          <w:shd w:val="clear" w:color="auto" w:fill="FFFFFF"/>
        </w:rPr>
        <w:t>11566.93</w:t>
      </w:r>
      <w:r>
        <w:rPr>
          <w:rFonts w:hint="default" w:ascii="Times New Roman" w:hAnsi="Times New Roman" w:eastAsia="方正仿宋_GBK" w:cs="Times New Roman"/>
          <w:color w:val="000000" w:themeColor="text1"/>
          <w:sz w:val="32"/>
          <w:szCs w:val="32"/>
          <w:shd w:val="clear" w:color="auto" w:fill="FFFFFF"/>
        </w:rPr>
        <w:t>万元。</w:t>
      </w:r>
      <w:r>
        <w:rPr>
          <w:rFonts w:hint="default" w:ascii="Times New Roman" w:hAnsi="Times New Roman" w:eastAsia="方正仿宋_GBK" w:cs="Times New Roman"/>
          <w:color w:val="000000" w:themeColor="text1"/>
          <w:sz w:val="32"/>
          <w:szCs w:val="32"/>
          <w:shd w:val="clear" w:color="auto" w:fill="FFFFFF"/>
        </w:rPr>
        <w:t>收、支与2023年度相比，减少636.67万元，下降5.2%</w:t>
      </w:r>
      <w:r>
        <w:rPr>
          <w:rFonts w:hint="default" w:ascii="Times New Roman" w:hAnsi="Times New Roman" w:eastAsia="方正仿宋_GBK" w:cs="Times New Roman"/>
          <w:color w:val="000000" w:themeColor="text1"/>
          <w:sz w:val="32"/>
          <w:szCs w:val="32"/>
          <w:shd w:val="clear" w:color="auto" w:fill="FFFFFF"/>
        </w:rPr>
        <w:t>，主要原因是就业补助资金项目减少。</w:t>
      </w:r>
    </w:p>
    <w:p w14:paraId="46FD0143">
      <w:pPr>
        <w:pStyle w:val="6"/>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color w:val="000000" w:themeColor="text1"/>
          <w:sz w:val="32"/>
          <w:szCs w:val="32"/>
          <w:shd w:val="clear" w:color="auto" w:fill="FFFFFF"/>
        </w:rPr>
      </w:pPr>
      <w:r>
        <w:rPr>
          <w:rStyle w:val="10"/>
          <w:rFonts w:hint="default" w:ascii="Times New Roman" w:hAnsi="Times New Roman" w:eastAsia="方正仿宋_GBK" w:cs="Times New Roman"/>
          <w:color w:val="000000" w:themeColor="text1"/>
          <w:sz w:val="32"/>
          <w:szCs w:val="32"/>
          <w:shd w:val="clear" w:color="auto" w:fill="FFFFFF"/>
        </w:rPr>
        <w:t>1</w:t>
      </w:r>
      <w:r>
        <w:rPr>
          <w:rStyle w:val="10"/>
          <w:rFonts w:hint="default" w:ascii="Times New Roman" w:hAnsi="Times New Roman" w:eastAsia="方正仿宋_GBK" w:cs="Times New Roman"/>
          <w:color w:val="000000" w:themeColor="text1"/>
          <w:sz w:val="32"/>
          <w:szCs w:val="32"/>
          <w:shd w:val="clear" w:color="auto" w:fill="FFFFFF"/>
        </w:rPr>
        <w:t>.收入情况。</w:t>
      </w:r>
      <w:r>
        <w:rPr>
          <w:rFonts w:hint="default" w:ascii="Times New Roman" w:hAnsi="Times New Roman" w:eastAsia="方正仿宋_GBK" w:cs="Times New Roman"/>
          <w:color w:val="000000" w:themeColor="text1"/>
          <w:sz w:val="32"/>
          <w:szCs w:val="32"/>
          <w:shd w:val="clear" w:color="auto" w:fill="FFFFFF"/>
        </w:rPr>
        <w:t>2024</w:t>
      </w:r>
      <w:r>
        <w:rPr>
          <w:rFonts w:hint="default" w:ascii="Times New Roman" w:hAnsi="Times New Roman" w:eastAsia="方正仿宋_GBK" w:cs="Times New Roman"/>
          <w:color w:val="000000" w:themeColor="text1"/>
          <w:sz w:val="32"/>
          <w:szCs w:val="32"/>
          <w:shd w:val="clear" w:color="auto" w:fill="FFFFFF"/>
        </w:rPr>
        <w:t>年度收入合计</w:t>
      </w:r>
      <w:r>
        <w:rPr>
          <w:rFonts w:hint="default" w:ascii="Times New Roman" w:hAnsi="Times New Roman" w:eastAsia="方正仿宋_GBK" w:cs="Times New Roman"/>
          <w:color w:val="000000" w:themeColor="text1"/>
          <w:sz w:val="32"/>
          <w:szCs w:val="32"/>
          <w:shd w:val="clear" w:color="auto" w:fill="FFFFFF"/>
        </w:rPr>
        <w:t>11063.12</w:t>
      </w:r>
      <w:r>
        <w:rPr>
          <w:rFonts w:hint="default" w:ascii="Times New Roman" w:hAnsi="Times New Roman" w:eastAsia="方正仿宋_GBK" w:cs="Times New Roman"/>
          <w:color w:val="000000" w:themeColor="text1"/>
          <w:sz w:val="32"/>
          <w:szCs w:val="32"/>
          <w:shd w:val="clear" w:color="auto" w:fill="FFFFFF"/>
        </w:rPr>
        <w:t>万元，</w:t>
      </w:r>
      <w:r>
        <w:rPr>
          <w:rFonts w:hint="default" w:ascii="Times New Roman" w:hAnsi="Times New Roman" w:eastAsia="方正仿宋_GBK" w:cs="Times New Roman"/>
          <w:color w:val="000000" w:themeColor="text1"/>
          <w:sz w:val="32"/>
          <w:szCs w:val="32"/>
          <w:shd w:val="clear" w:color="auto" w:fill="FFFFFF"/>
        </w:rPr>
        <w:t>与2023年度相比，增加76.68万元，增长0.7%</w:t>
      </w:r>
      <w:r>
        <w:rPr>
          <w:rFonts w:hint="default" w:ascii="Times New Roman" w:hAnsi="Times New Roman" w:eastAsia="方正仿宋_GBK" w:cs="Times New Roman"/>
          <w:color w:val="000000" w:themeColor="text1"/>
          <w:sz w:val="32"/>
          <w:szCs w:val="32"/>
          <w:shd w:val="clear" w:color="auto" w:fill="FFFFFF"/>
        </w:rPr>
        <w:t>，主要原因是</w:t>
      </w:r>
      <w:r>
        <w:rPr>
          <w:rFonts w:hint="default" w:ascii="Times New Roman" w:hAnsi="Times New Roman" w:eastAsia="方正仿宋_GBK" w:cs="Times New Roman"/>
          <w:color w:val="000000" w:themeColor="text1"/>
          <w:sz w:val="32"/>
          <w:szCs w:val="32"/>
          <w:shd w:val="clear" w:color="auto" w:fill="FFFFFF"/>
        </w:rPr>
        <w:t>随着就业压力增大，事业单位公招报考人员急剧增加，导致事业单位公招费用增加。</w:t>
      </w:r>
      <w:r>
        <w:rPr>
          <w:rFonts w:hint="default" w:ascii="Times New Roman" w:hAnsi="Times New Roman" w:eastAsia="方正仿宋_GBK" w:cs="Times New Roman"/>
          <w:color w:val="000000" w:themeColor="text1"/>
          <w:sz w:val="32"/>
          <w:szCs w:val="32"/>
          <w:shd w:val="clear" w:color="auto" w:fill="FFFFFF"/>
        </w:rPr>
        <w:t>其中：财政拨款收入</w:t>
      </w:r>
      <w:r>
        <w:rPr>
          <w:rFonts w:hint="default" w:ascii="Times New Roman" w:hAnsi="Times New Roman" w:eastAsia="方正仿宋_GBK" w:cs="Times New Roman"/>
          <w:color w:val="000000" w:themeColor="text1"/>
          <w:sz w:val="32"/>
          <w:szCs w:val="32"/>
          <w:shd w:val="clear" w:color="auto" w:fill="FFFFFF"/>
        </w:rPr>
        <w:t>10680.73</w:t>
      </w:r>
      <w:r>
        <w:rPr>
          <w:rFonts w:hint="default" w:ascii="Times New Roman" w:hAnsi="Times New Roman" w:eastAsia="方正仿宋_GBK" w:cs="Times New Roman"/>
          <w:color w:val="000000" w:themeColor="text1"/>
          <w:sz w:val="32"/>
          <w:szCs w:val="32"/>
          <w:shd w:val="clear" w:color="auto" w:fill="FFFFFF"/>
        </w:rPr>
        <w:t>万元，占</w:t>
      </w:r>
      <w:r>
        <w:rPr>
          <w:rFonts w:hint="default" w:ascii="Times New Roman" w:hAnsi="Times New Roman" w:eastAsia="方正仿宋_GBK" w:cs="Times New Roman"/>
          <w:color w:val="000000" w:themeColor="text1"/>
          <w:sz w:val="32"/>
          <w:szCs w:val="32"/>
          <w:shd w:val="clear" w:color="auto" w:fill="FFFFFF"/>
        </w:rPr>
        <w:t>96.5%</w:t>
      </w:r>
      <w:r>
        <w:rPr>
          <w:rFonts w:hint="default" w:ascii="Times New Roman" w:hAnsi="Times New Roman" w:eastAsia="方正仿宋_GBK" w:cs="Times New Roman"/>
          <w:color w:val="000000" w:themeColor="text1"/>
          <w:sz w:val="32"/>
          <w:szCs w:val="32"/>
          <w:shd w:val="clear" w:color="auto" w:fill="FFFFFF"/>
        </w:rPr>
        <w:t>；事业收入</w:t>
      </w:r>
      <w:r>
        <w:rPr>
          <w:rFonts w:hint="default" w:ascii="Times New Roman" w:hAnsi="Times New Roman" w:eastAsia="方正仿宋_GBK" w:cs="Times New Roman"/>
          <w:color w:val="000000" w:themeColor="text1"/>
          <w:sz w:val="32"/>
          <w:szCs w:val="32"/>
          <w:shd w:val="clear" w:color="auto" w:fill="FFFFFF"/>
        </w:rPr>
        <w:t>382.38</w:t>
      </w:r>
      <w:r>
        <w:rPr>
          <w:rFonts w:hint="default" w:ascii="Times New Roman" w:hAnsi="Times New Roman" w:eastAsia="方正仿宋_GBK" w:cs="Times New Roman"/>
          <w:color w:val="000000" w:themeColor="text1"/>
          <w:sz w:val="32"/>
          <w:szCs w:val="32"/>
          <w:shd w:val="clear" w:color="auto" w:fill="FFFFFF"/>
        </w:rPr>
        <w:t>万元，占</w:t>
      </w:r>
      <w:r>
        <w:rPr>
          <w:rFonts w:hint="default" w:ascii="Times New Roman" w:hAnsi="Times New Roman" w:eastAsia="方正仿宋_GBK" w:cs="Times New Roman"/>
          <w:color w:val="000000" w:themeColor="text1"/>
          <w:sz w:val="32"/>
          <w:szCs w:val="32"/>
          <w:shd w:val="clear" w:color="auto" w:fill="FFFFFF"/>
        </w:rPr>
        <w:t>3.5%</w:t>
      </w:r>
      <w:r>
        <w:rPr>
          <w:rFonts w:hint="default" w:ascii="Times New Roman" w:hAnsi="Times New Roman" w:eastAsia="方正仿宋_GBK" w:cs="Times New Roman"/>
          <w:color w:val="000000" w:themeColor="text1"/>
          <w:sz w:val="32"/>
          <w:szCs w:val="32"/>
          <w:shd w:val="clear" w:color="auto" w:fill="FFFFFF"/>
        </w:rPr>
        <w:t>。此外，使用非财政拨款结余（含专用结余）</w:t>
      </w:r>
      <w:r>
        <w:rPr>
          <w:rFonts w:hint="default" w:ascii="Times New Roman" w:hAnsi="Times New Roman" w:eastAsia="方正仿宋_GBK" w:cs="Times New Roman"/>
          <w:color w:val="000000" w:themeColor="text1"/>
          <w:sz w:val="32"/>
          <w:szCs w:val="32"/>
          <w:shd w:val="clear" w:color="auto" w:fill="FFFFFF"/>
        </w:rPr>
        <w:t>0.00</w:t>
      </w:r>
      <w:r>
        <w:rPr>
          <w:rFonts w:hint="default" w:ascii="Times New Roman" w:hAnsi="Times New Roman" w:eastAsia="方正仿宋_GBK" w:cs="Times New Roman"/>
          <w:color w:val="000000" w:themeColor="text1"/>
          <w:sz w:val="32"/>
          <w:szCs w:val="32"/>
          <w:shd w:val="clear" w:color="auto" w:fill="FFFFFF"/>
        </w:rPr>
        <w:t>万元，年初结转和结余</w:t>
      </w:r>
      <w:r>
        <w:rPr>
          <w:rFonts w:hint="default" w:ascii="Times New Roman" w:hAnsi="Times New Roman" w:eastAsia="方正仿宋_GBK" w:cs="Times New Roman"/>
          <w:color w:val="000000" w:themeColor="text1"/>
          <w:sz w:val="32"/>
          <w:szCs w:val="32"/>
          <w:shd w:val="clear" w:color="auto" w:fill="FFFFFF"/>
        </w:rPr>
        <w:t>503.81</w:t>
      </w:r>
      <w:r>
        <w:rPr>
          <w:rFonts w:hint="default" w:ascii="Times New Roman" w:hAnsi="Times New Roman" w:eastAsia="方正仿宋_GBK" w:cs="Times New Roman"/>
          <w:color w:val="000000" w:themeColor="text1"/>
          <w:sz w:val="32"/>
          <w:szCs w:val="32"/>
          <w:shd w:val="clear" w:color="auto" w:fill="FFFFFF"/>
        </w:rPr>
        <w:t>万元。</w:t>
      </w:r>
    </w:p>
    <w:p w14:paraId="36CF5F89">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000000" w:themeColor="text1"/>
          <w:sz w:val="32"/>
          <w:szCs w:val="32"/>
          <w:shd w:val="clear" w:color="auto" w:fill="FFFFFF"/>
        </w:rPr>
      </w:pPr>
      <w:r>
        <w:rPr>
          <w:rStyle w:val="10"/>
          <w:rFonts w:hint="default" w:ascii="Times New Roman" w:hAnsi="Times New Roman" w:eastAsia="方正仿宋_GBK" w:cs="Times New Roman"/>
          <w:color w:val="000000" w:themeColor="text1"/>
          <w:sz w:val="32"/>
          <w:szCs w:val="32"/>
          <w:shd w:val="clear" w:color="auto" w:fill="FFFFFF"/>
        </w:rPr>
        <w:t>2</w:t>
      </w:r>
      <w:r>
        <w:rPr>
          <w:rStyle w:val="10"/>
          <w:rFonts w:hint="default" w:ascii="Times New Roman" w:hAnsi="Times New Roman" w:eastAsia="方正仿宋_GBK" w:cs="Times New Roman"/>
          <w:color w:val="000000" w:themeColor="text1"/>
          <w:sz w:val="32"/>
          <w:szCs w:val="32"/>
          <w:shd w:val="clear" w:color="auto" w:fill="FFFFFF"/>
        </w:rPr>
        <w:t>.支出情况。</w:t>
      </w:r>
      <w:r>
        <w:rPr>
          <w:rFonts w:hint="default" w:ascii="Times New Roman" w:hAnsi="Times New Roman" w:eastAsia="方正仿宋_GBK" w:cs="Times New Roman"/>
          <w:color w:val="000000" w:themeColor="text1"/>
          <w:sz w:val="32"/>
          <w:szCs w:val="32"/>
          <w:shd w:val="clear" w:color="auto" w:fill="FFFFFF"/>
        </w:rPr>
        <w:t>2024</w:t>
      </w:r>
      <w:r>
        <w:rPr>
          <w:rFonts w:hint="default" w:ascii="Times New Roman" w:hAnsi="Times New Roman" w:eastAsia="方正仿宋_GBK" w:cs="Times New Roman"/>
          <w:color w:val="000000" w:themeColor="text1"/>
          <w:sz w:val="32"/>
          <w:szCs w:val="32"/>
          <w:shd w:val="clear" w:color="auto" w:fill="FFFFFF"/>
        </w:rPr>
        <w:t>年度支出合计</w:t>
      </w:r>
      <w:r>
        <w:rPr>
          <w:rFonts w:hint="default" w:ascii="Times New Roman" w:hAnsi="Times New Roman" w:eastAsia="方正仿宋_GBK" w:cs="Times New Roman"/>
          <w:color w:val="000000" w:themeColor="text1"/>
          <w:sz w:val="32"/>
          <w:szCs w:val="32"/>
          <w:shd w:val="clear" w:color="auto" w:fill="FFFFFF"/>
        </w:rPr>
        <w:t>11112.71</w:t>
      </w:r>
      <w:r>
        <w:rPr>
          <w:rFonts w:hint="default" w:ascii="Times New Roman" w:hAnsi="Times New Roman" w:eastAsia="方正仿宋_GBK" w:cs="Times New Roman"/>
          <w:color w:val="000000" w:themeColor="text1"/>
          <w:sz w:val="32"/>
          <w:szCs w:val="32"/>
          <w:shd w:val="clear" w:color="auto" w:fill="FFFFFF"/>
        </w:rPr>
        <w:t>万元，</w:t>
      </w:r>
      <w:r>
        <w:rPr>
          <w:rFonts w:hint="default" w:ascii="Times New Roman" w:hAnsi="Times New Roman" w:eastAsia="方正仿宋_GBK" w:cs="Times New Roman"/>
          <w:color w:val="000000" w:themeColor="text1"/>
          <w:sz w:val="32"/>
          <w:szCs w:val="32"/>
          <w:shd w:val="clear" w:color="auto" w:fill="FFFFFF"/>
        </w:rPr>
        <w:t>与2023年度相比，减少587.08万元，下降5.0%</w:t>
      </w:r>
      <w:r>
        <w:rPr>
          <w:rFonts w:hint="default" w:ascii="Times New Roman" w:hAnsi="Times New Roman" w:eastAsia="方正仿宋_GBK" w:cs="Times New Roman"/>
          <w:color w:val="000000" w:themeColor="text1"/>
          <w:sz w:val="32"/>
          <w:szCs w:val="32"/>
          <w:shd w:val="clear" w:color="auto" w:fill="FFFFFF"/>
        </w:rPr>
        <w:t>，主要原因是就业补助资金项目减少。其中：基本支出</w:t>
      </w:r>
      <w:r>
        <w:rPr>
          <w:rFonts w:hint="default" w:ascii="Times New Roman" w:hAnsi="Times New Roman" w:eastAsia="方正仿宋_GBK" w:cs="Times New Roman"/>
          <w:color w:val="000000" w:themeColor="text1"/>
          <w:sz w:val="32"/>
          <w:szCs w:val="32"/>
          <w:shd w:val="clear" w:color="auto" w:fill="FFFFFF"/>
        </w:rPr>
        <w:t>2359.36</w:t>
      </w:r>
      <w:r>
        <w:rPr>
          <w:rFonts w:hint="default" w:ascii="Times New Roman" w:hAnsi="Times New Roman" w:eastAsia="方正仿宋_GBK" w:cs="Times New Roman"/>
          <w:color w:val="000000" w:themeColor="text1"/>
          <w:sz w:val="32"/>
          <w:szCs w:val="32"/>
          <w:shd w:val="clear" w:color="auto" w:fill="FFFFFF"/>
        </w:rPr>
        <w:t>万元，占</w:t>
      </w:r>
      <w:r>
        <w:rPr>
          <w:rFonts w:hint="default" w:ascii="Times New Roman" w:hAnsi="Times New Roman" w:eastAsia="方正仿宋_GBK" w:cs="Times New Roman"/>
          <w:color w:val="000000" w:themeColor="text1"/>
          <w:sz w:val="32"/>
          <w:szCs w:val="32"/>
          <w:shd w:val="clear" w:color="auto" w:fill="FFFFFF"/>
        </w:rPr>
        <w:t>21.2%</w:t>
      </w:r>
      <w:r>
        <w:rPr>
          <w:rFonts w:hint="default" w:ascii="Times New Roman" w:hAnsi="Times New Roman" w:eastAsia="方正仿宋_GBK" w:cs="Times New Roman"/>
          <w:color w:val="000000" w:themeColor="text1"/>
          <w:sz w:val="32"/>
          <w:szCs w:val="32"/>
          <w:shd w:val="clear" w:color="auto" w:fill="FFFFFF"/>
        </w:rPr>
        <w:t>；项目支出</w:t>
      </w:r>
      <w:r>
        <w:rPr>
          <w:rFonts w:hint="default" w:ascii="Times New Roman" w:hAnsi="Times New Roman" w:eastAsia="方正仿宋_GBK" w:cs="Times New Roman"/>
          <w:color w:val="000000" w:themeColor="text1"/>
          <w:sz w:val="32"/>
          <w:szCs w:val="32"/>
          <w:shd w:val="clear" w:color="auto" w:fill="FFFFFF"/>
        </w:rPr>
        <w:t>8753.35</w:t>
      </w:r>
      <w:r>
        <w:rPr>
          <w:rFonts w:hint="default" w:ascii="Times New Roman" w:hAnsi="Times New Roman" w:eastAsia="方正仿宋_GBK" w:cs="Times New Roman"/>
          <w:color w:val="000000" w:themeColor="text1"/>
          <w:sz w:val="32"/>
          <w:szCs w:val="32"/>
          <w:shd w:val="clear" w:color="auto" w:fill="FFFFFF"/>
        </w:rPr>
        <w:t>万元，占</w:t>
      </w:r>
      <w:r>
        <w:rPr>
          <w:rFonts w:hint="default" w:ascii="Times New Roman" w:hAnsi="Times New Roman" w:eastAsia="方正仿宋_GBK" w:cs="Times New Roman"/>
          <w:color w:val="000000" w:themeColor="text1"/>
          <w:sz w:val="32"/>
          <w:szCs w:val="32"/>
          <w:shd w:val="clear" w:color="auto" w:fill="FFFFFF"/>
        </w:rPr>
        <w:t>78.8%</w:t>
      </w:r>
      <w:r>
        <w:rPr>
          <w:rFonts w:hint="default" w:ascii="Times New Roman" w:hAnsi="Times New Roman" w:eastAsia="方正仿宋_GBK" w:cs="Times New Roman"/>
          <w:color w:val="000000" w:themeColor="text1"/>
          <w:sz w:val="32"/>
          <w:szCs w:val="32"/>
          <w:shd w:val="clear" w:color="auto" w:fill="FFFFFF"/>
        </w:rPr>
        <w:t>。此外，结余分配</w:t>
      </w:r>
      <w:r>
        <w:rPr>
          <w:rFonts w:hint="default" w:ascii="Times New Roman" w:hAnsi="Times New Roman" w:eastAsia="方正仿宋_GBK" w:cs="Times New Roman"/>
          <w:color w:val="000000" w:themeColor="text1"/>
          <w:sz w:val="32"/>
          <w:szCs w:val="32"/>
          <w:shd w:val="clear" w:color="auto" w:fill="FFFFFF"/>
        </w:rPr>
        <w:t>0.00</w:t>
      </w:r>
      <w:r>
        <w:rPr>
          <w:rFonts w:hint="default" w:ascii="Times New Roman" w:hAnsi="Times New Roman" w:eastAsia="方正仿宋_GBK" w:cs="Times New Roman"/>
          <w:color w:val="000000" w:themeColor="text1"/>
          <w:sz w:val="32"/>
          <w:szCs w:val="32"/>
          <w:shd w:val="clear" w:color="auto" w:fill="FFFFFF"/>
        </w:rPr>
        <w:t>万元。</w:t>
      </w:r>
    </w:p>
    <w:p w14:paraId="3B7A95C0">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000000" w:themeColor="text1"/>
          <w:sz w:val="32"/>
          <w:szCs w:val="32"/>
        </w:rPr>
      </w:pPr>
      <w:r>
        <w:rPr>
          <w:rStyle w:val="10"/>
          <w:rFonts w:hint="default" w:ascii="Times New Roman" w:hAnsi="Times New Roman" w:eastAsia="方正仿宋_GBK" w:cs="Times New Roman"/>
          <w:color w:val="000000" w:themeColor="text1"/>
          <w:sz w:val="32"/>
          <w:szCs w:val="32"/>
          <w:shd w:val="clear" w:color="auto" w:fill="FFFFFF"/>
        </w:rPr>
        <w:t>3</w:t>
      </w:r>
      <w:r>
        <w:rPr>
          <w:rStyle w:val="10"/>
          <w:rFonts w:hint="default" w:ascii="Times New Roman" w:hAnsi="Times New Roman" w:eastAsia="方正仿宋_GBK" w:cs="Times New Roman"/>
          <w:color w:val="000000" w:themeColor="text1"/>
          <w:sz w:val="32"/>
          <w:szCs w:val="32"/>
          <w:shd w:val="clear" w:color="auto" w:fill="FFFFFF"/>
        </w:rPr>
        <w:t>.结转结余情况。</w:t>
      </w:r>
      <w:r>
        <w:rPr>
          <w:rFonts w:hint="default" w:ascii="Times New Roman" w:hAnsi="Times New Roman" w:eastAsia="方正仿宋_GBK" w:cs="Times New Roman"/>
          <w:color w:val="000000" w:themeColor="text1"/>
          <w:sz w:val="32"/>
          <w:szCs w:val="32"/>
          <w:shd w:val="clear" w:color="auto" w:fill="FFFFFF"/>
        </w:rPr>
        <w:t>2024</w:t>
      </w:r>
      <w:r>
        <w:rPr>
          <w:rFonts w:hint="default" w:ascii="Times New Roman" w:hAnsi="Times New Roman" w:eastAsia="方正仿宋_GBK" w:cs="Times New Roman"/>
          <w:color w:val="000000" w:themeColor="text1"/>
          <w:sz w:val="32"/>
          <w:szCs w:val="32"/>
          <w:shd w:val="clear" w:color="auto" w:fill="FFFFFF"/>
        </w:rPr>
        <w:t>年度年末结转和结余</w:t>
      </w:r>
      <w:r>
        <w:rPr>
          <w:rFonts w:hint="default" w:ascii="Times New Roman" w:hAnsi="Times New Roman" w:eastAsia="方正仿宋_GBK" w:cs="Times New Roman"/>
          <w:color w:val="000000" w:themeColor="text1"/>
          <w:sz w:val="32"/>
          <w:szCs w:val="32"/>
          <w:shd w:val="clear" w:color="auto" w:fill="FFFFFF"/>
        </w:rPr>
        <w:t>454.22</w:t>
      </w:r>
      <w:r>
        <w:rPr>
          <w:rFonts w:hint="default" w:ascii="Times New Roman" w:hAnsi="Times New Roman" w:eastAsia="方正仿宋_GBK" w:cs="Times New Roman"/>
          <w:color w:val="000000" w:themeColor="text1"/>
          <w:sz w:val="32"/>
          <w:szCs w:val="32"/>
          <w:shd w:val="clear" w:color="auto" w:fill="FFFFFF"/>
        </w:rPr>
        <w:t>万元，</w:t>
      </w:r>
      <w:r>
        <w:rPr>
          <w:rFonts w:hint="default" w:ascii="Times New Roman" w:hAnsi="Times New Roman" w:eastAsia="方正仿宋_GBK" w:cs="Times New Roman"/>
          <w:color w:val="000000" w:themeColor="text1"/>
          <w:sz w:val="32"/>
          <w:szCs w:val="32"/>
          <w:shd w:val="clear" w:color="auto" w:fill="FFFFFF"/>
        </w:rPr>
        <w:t>与2023年度相比，减少49.59万元，下降9.8%</w:t>
      </w:r>
      <w:r>
        <w:rPr>
          <w:rFonts w:hint="default" w:ascii="Times New Roman" w:hAnsi="Times New Roman" w:eastAsia="方正仿宋_GBK" w:cs="Times New Roman"/>
          <w:color w:val="000000" w:themeColor="text1"/>
          <w:sz w:val="32"/>
          <w:szCs w:val="32"/>
          <w:shd w:val="clear" w:color="auto" w:fill="FFFFFF"/>
        </w:rPr>
        <w:t>，主要原因是三峡职业技工学校工作经费支出增加，收入减少，导致结余减少。</w:t>
      </w:r>
    </w:p>
    <w:p w14:paraId="47E8CBEF">
      <w:pPr>
        <w:pStyle w:val="11"/>
        <w:autoSpaceDE w:val="0"/>
        <w:spacing w:line="596"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（二）财政拨款收入支出决算总体情况说明</w:t>
      </w:r>
    </w:p>
    <w:p w14:paraId="4D3243EB">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2024</w:t>
      </w:r>
      <w:r>
        <w:rPr>
          <w:rFonts w:hint="default" w:ascii="Times New Roman" w:hAnsi="Times New Roman" w:eastAsia="方正仿宋_GBK" w:cs="Times New Roman"/>
          <w:color w:val="000000" w:themeColor="text1"/>
          <w:sz w:val="32"/>
          <w:szCs w:val="32"/>
          <w:shd w:val="clear" w:color="auto" w:fill="FFFFFF"/>
        </w:rPr>
        <w:t>年度财政拨款收、支总计均为</w:t>
      </w:r>
      <w:r>
        <w:rPr>
          <w:rFonts w:hint="default" w:ascii="Times New Roman" w:hAnsi="Times New Roman" w:eastAsia="方正仿宋_GBK" w:cs="Times New Roman"/>
          <w:color w:val="000000" w:themeColor="text1"/>
          <w:sz w:val="32"/>
          <w:szCs w:val="32"/>
          <w:shd w:val="clear" w:color="auto" w:fill="FFFFFF"/>
        </w:rPr>
        <w:t>10780.73</w:t>
      </w:r>
      <w:r>
        <w:rPr>
          <w:rFonts w:hint="default" w:ascii="Times New Roman" w:hAnsi="Times New Roman" w:eastAsia="方正仿宋_GBK" w:cs="Times New Roman"/>
          <w:color w:val="000000" w:themeColor="text1"/>
          <w:sz w:val="32"/>
          <w:szCs w:val="32"/>
          <w:shd w:val="clear" w:color="auto" w:fill="FFFFFF"/>
        </w:rPr>
        <w:t>万元。与</w:t>
      </w:r>
      <w:r>
        <w:rPr>
          <w:rFonts w:hint="default" w:ascii="Times New Roman" w:hAnsi="Times New Roman" w:eastAsia="方正仿宋_GBK" w:cs="Times New Roman"/>
          <w:color w:val="000000" w:themeColor="text1"/>
          <w:sz w:val="32"/>
          <w:szCs w:val="32"/>
          <w:shd w:val="clear" w:color="auto" w:fill="FFFFFF"/>
        </w:rPr>
        <w:t>2023</w:t>
      </w:r>
      <w:r>
        <w:rPr>
          <w:rFonts w:hint="default" w:ascii="Times New Roman" w:hAnsi="Times New Roman" w:eastAsia="方正仿宋_GBK" w:cs="Times New Roman"/>
          <w:color w:val="000000" w:themeColor="text1"/>
          <w:sz w:val="32"/>
          <w:szCs w:val="32"/>
          <w:shd w:val="clear" w:color="auto" w:fill="FFFFFF"/>
        </w:rPr>
        <w:t>年度相比，</w:t>
      </w:r>
      <w:r>
        <w:rPr>
          <w:rFonts w:hint="default" w:ascii="Times New Roman" w:hAnsi="Times New Roman" w:eastAsia="方正仿宋_GBK" w:cs="Times New Roman"/>
          <w:color w:val="000000" w:themeColor="text1"/>
          <w:sz w:val="32"/>
          <w:szCs w:val="32"/>
          <w:shd w:val="clear" w:color="auto" w:fill="FFFFFF"/>
        </w:rPr>
        <w:t>财政拨款收、支总计各减少462.65万元，下降4.1%</w:t>
      </w:r>
      <w:r>
        <w:rPr>
          <w:rFonts w:hint="default" w:ascii="Times New Roman" w:hAnsi="Times New Roman" w:eastAsia="方正仿宋_GBK" w:cs="Times New Roman"/>
          <w:color w:val="000000" w:themeColor="text1"/>
          <w:sz w:val="32"/>
          <w:szCs w:val="32"/>
          <w:shd w:val="clear" w:color="auto" w:fill="FFFFFF"/>
        </w:rPr>
        <w:t>。主要原因是就业补助资金项目减少。</w:t>
      </w:r>
    </w:p>
    <w:p w14:paraId="51A180A7">
      <w:pPr>
        <w:pStyle w:val="11"/>
        <w:autoSpaceDE w:val="0"/>
        <w:spacing w:line="596"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（三）一般公共预算财政拨款收入支出决算情况说明</w:t>
      </w:r>
    </w:p>
    <w:p w14:paraId="60E20F1F">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000000" w:themeColor="text1"/>
          <w:sz w:val="32"/>
          <w:szCs w:val="32"/>
        </w:rPr>
      </w:pPr>
      <w:r>
        <w:rPr>
          <w:rStyle w:val="10"/>
          <w:rFonts w:hint="default" w:ascii="Times New Roman" w:hAnsi="Times New Roman" w:eastAsia="方正仿宋_GBK" w:cs="Times New Roman"/>
          <w:color w:val="000000" w:themeColor="text1"/>
          <w:sz w:val="32"/>
          <w:szCs w:val="32"/>
          <w:shd w:val="clear" w:color="auto" w:fill="FFFFFF"/>
        </w:rPr>
        <w:t>1</w:t>
      </w:r>
      <w:r>
        <w:rPr>
          <w:rStyle w:val="10"/>
          <w:rFonts w:hint="default" w:ascii="Times New Roman" w:hAnsi="Times New Roman" w:eastAsia="方正仿宋_GBK" w:cs="Times New Roman"/>
          <w:color w:val="000000" w:themeColor="text1"/>
          <w:sz w:val="32"/>
          <w:szCs w:val="32"/>
          <w:shd w:val="clear" w:color="auto" w:fill="FFFFFF"/>
        </w:rPr>
        <w:t>.收入情况。</w:t>
      </w:r>
      <w:r>
        <w:rPr>
          <w:rFonts w:hint="default" w:ascii="Times New Roman" w:hAnsi="Times New Roman" w:eastAsia="方正仿宋_GBK" w:cs="Times New Roman"/>
          <w:color w:val="000000" w:themeColor="text1"/>
          <w:sz w:val="32"/>
          <w:szCs w:val="32"/>
          <w:shd w:val="clear" w:color="auto" w:fill="FFFFFF"/>
        </w:rPr>
        <w:t>2024</w:t>
      </w:r>
      <w:r>
        <w:rPr>
          <w:rFonts w:hint="default" w:ascii="Times New Roman" w:hAnsi="Times New Roman" w:eastAsia="方正仿宋_GBK" w:cs="Times New Roman"/>
          <w:color w:val="000000" w:themeColor="text1"/>
          <w:sz w:val="32"/>
          <w:szCs w:val="32"/>
          <w:shd w:val="clear" w:color="auto" w:fill="FFFFFF"/>
        </w:rPr>
        <w:t>年度一般公共预算财政拨款收入</w:t>
      </w:r>
      <w:r>
        <w:rPr>
          <w:rFonts w:hint="default" w:ascii="Times New Roman" w:hAnsi="Times New Roman" w:eastAsia="方正仿宋_GBK" w:cs="Times New Roman"/>
          <w:color w:val="000000" w:themeColor="text1"/>
          <w:sz w:val="32"/>
          <w:szCs w:val="32"/>
          <w:shd w:val="clear" w:color="auto" w:fill="FFFFFF"/>
        </w:rPr>
        <w:t>10680.73</w:t>
      </w:r>
      <w:r>
        <w:rPr>
          <w:rFonts w:hint="default" w:ascii="Times New Roman" w:hAnsi="Times New Roman" w:eastAsia="方正仿宋_GBK" w:cs="Times New Roman"/>
          <w:color w:val="000000" w:themeColor="text1"/>
          <w:sz w:val="32"/>
          <w:szCs w:val="32"/>
          <w:shd w:val="clear" w:color="auto" w:fill="FFFFFF"/>
        </w:rPr>
        <w:t>万元，</w:t>
      </w:r>
      <w:r>
        <w:rPr>
          <w:rFonts w:hint="default" w:ascii="Times New Roman" w:hAnsi="Times New Roman" w:eastAsia="方正仿宋_GBK" w:cs="Times New Roman"/>
          <w:color w:val="000000" w:themeColor="text1"/>
          <w:sz w:val="32"/>
          <w:szCs w:val="32"/>
          <w:shd w:val="clear" w:color="auto" w:fill="FFFFFF"/>
        </w:rPr>
        <w:t>与2023年度相比，增加113.62万元，增长1.1%</w:t>
      </w:r>
      <w:r>
        <w:rPr>
          <w:rFonts w:hint="default" w:ascii="Times New Roman" w:hAnsi="Times New Roman" w:eastAsia="方正仿宋_GBK" w:cs="Times New Roman"/>
          <w:color w:val="000000" w:themeColor="text1"/>
          <w:sz w:val="32"/>
          <w:szCs w:val="32"/>
          <w:shd w:val="clear" w:color="auto" w:fill="FFFFFF"/>
        </w:rPr>
        <w:t>。主要原因是</w:t>
      </w:r>
      <w:r>
        <w:rPr>
          <w:rFonts w:hint="default" w:ascii="Times New Roman" w:hAnsi="Times New Roman" w:eastAsia="方正仿宋_GBK" w:cs="Times New Roman"/>
          <w:color w:val="000000" w:themeColor="text1"/>
          <w:sz w:val="32"/>
          <w:szCs w:val="32"/>
          <w:shd w:val="clear" w:color="auto" w:fill="FFFFFF"/>
        </w:rPr>
        <w:t>随着就业压力增大，事业单位公招报考人员急剧增加，导致事业单位公招费用增加。</w:t>
      </w:r>
      <w:r>
        <w:rPr>
          <w:rFonts w:hint="default" w:ascii="Times New Roman" w:hAnsi="Times New Roman" w:eastAsia="方正仿宋_GBK" w:cs="Times New Roman"/>
          <w:color w:val="000000" w:themeColor="text1"/>
          <w:sz w:val="32"/>
          <w:szCs w:val="32"/>
          <w:shd w:val="clear" w:color="auto" w:fill="FFFFFF"/>
        </w:rPr>
        <w:t>较年初预算数减少799.44万元，下降7.0%</w:t>
      </w:r>
      <w:r>
        <w:rPr>
          <w:rFonts w:hint="default" w:ascii="Times New Roman" w:hAnsi="Times New Roman" w:eastAsia="方正仿宋_GBK" w:cs="Times New Roman"/>
          <w:color w:val="000000" w:themeColor="text1"/>
          <w:sz w:val="32"/>
          <w:szCs w:val="32"/>
          <w:shd w:val="clear" w:color="auto" w:fill="FFFFFF"/>
        </w:rPr>
        <w:t>。主要原因是社保中心年初预算了单双解人员补贴，实际未支付。此外，年初财政拨款结转和结余</w:t>
      </w:r>
      <w:r>
        <w:rPr>
          <w:rFonts w:hint="default" w:ascii="Times New Roman" w:hAnsi="Times New Roman" w:eastAsia="方正仿宋_GBK" w:cs="Times New Roman"/>
          <w:color w:val="000000" w:themeColor="text1"/>
          <w:sz w:val="32"/>
          <w:szCs w:val="32"/>
          <w:shd w:val="clear" w:color="auto" w:fill="FFFFFF"/>
        </w:rPr>
        <w:t>100.00</w:t>
      </w:r>
      <w:r>
        <w:rPr>
          <w:rFonts w:hint="default" w:ascii="Times New Roman" w:hAnsi="Times New Roman" w:eastAsia="方正仿宋_GBK" w:cs="Times New Roman"/>
          <w:color w:val="000000" w:themeColor="text1"/>
          <w:sz w:val="32"/>
          <w:szCs w:val="32"/>
          <w:shd w:val="clear" w:color="auto" w:fill="FFFFFF"/>
        </w:rPr>
        <w:t>万元。</w:t>
      </w:r>
    </w:p>
    <w:p w14:paraId="4E1044E7">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000000" w:themeColor="text1"/>
          <w:sz w:val="32"/>
          <w:szCs w:val="32"/>
          <w:shd w:val="clear" w:color="auto" w:fill="FFFFFF"/>
        </w:rPr>
      </w:pPr>
      <w:r>
        <w:rPr>
          <w:rStyle w:val="10"/>
          <w:rFonts w:hint="default" w:ascii="Times New Roman" w:hAnsi="Times New Roman" w:eastAsia="方正仿宋_GBK" w:cs="Times New Roman"/>
          <w:color w:val="000000" w:themeColor="text1"/>
          <w:sz w:val="32"/>
          <w:szCs w:val="32"/>
          <w:shd w:val="clear" w:color="auto" w:fill="FFFFFF"/>
        </w:rPr>
        <w:t>2</w:t>
      </w:r>
      <w:r>
        <w:rPr>
          <w:rStyle w:val="10"/>
          <w:rFonts w:hint="default" w:ascii="Times New Roman" w:hAnsi="Times New Roman" w:eastAsia="方正仿宋_GBK" w:cs="Times New Roman"/>
          <w:color w:val="000000" w:themeColor="text1"/>
          <w:sz w:val="32"/>
          <w:szCs w:val="32"/>
          <w:shd w:val="clear" w:color="auto" w:fill="FFFFFF"/>
        </w:rPr>
        <w:t>.支出情况。</w:t>
      </w:r>
      <w:r>
        <w:rPr>
          <w:rFonts w:hint="default" w:ascii="Times New Roman" w:hAnsi="Times New Roman" w:eastAsia="方正仿宋_GBK" w:cs="Times New Roman"/>
          <w:color w:val="000000" w:themeColor="text1"/>
          <w:sz w:val="32"/>
          <w:szCs w:val="32"/>
          <w:shd w:val="clear" w:color="auto" w:fill="FFFFFF"/>
        </w:rPr>
        <w:t>2024</w:t>
      </w:r>
      <w:r>
        <w:rPr>
          <w:rFonts w:hint="default" w:ascii="Times New Roman" w:hAnsi="Times New Roman" w:eastAsia="方正仿宋_GBK" w:cs="Times New Roman"/>
          <w:color w:val="000000" w:themeColor="text1"/>
          <w:sz w:val="32"/>
          <w:szCs w:val="32"/>
          <w:shd w:val="clear" w:color="auto" w:fill="FFFFFF"/>
        </w:rPr>
        <w:t>年度一般公共预算财政拨款支出</w:t>
      </w:r>
      <w:r>
        <w:rPr>
          <w:rFonts w:hint="default" w:ascii="Times New Roman" w:hAnsi="Times New Roman" w:eastAsia="方正仿宋_GBK" w:cs="Times New Roman"/>
          <w:color w:val="000000" w:themeColor="text1"/>
          <w:sz w:val="32"/>
          <w:szCs w:val="32"/>
          <w:shd w:val="clear" w:color="auto" w:fill="FFFFFF"/>
        </w:rPr>
        <w:t>10680.73</w:t>
      </w:r>
      <w:r>
        <w:rPr>
          <w:rFonts w:hint="default" w:ascii="Times New Roman" w:hAnsi="Times New Roman" w:eastAsia="方正仿宋_GBK" w:cs="Times New Roman"/>
          <w:color w:val="000000" w:themeColor="text1"/>
          <w:sz w:val="32"/>
          <w:szCs w:val="32"/>
          <w:shd w:val="clear" w:color="auto" w:fill="FFFFFF"/>
        </w:rPr>
        <w:t>万元，</w:t>
      </w:r>
      <w:r>
        <w:rPr>
          <w:rFonts w:hint="default" w:ascii="Times New Roman" w:hAnsi="Times New Roman" w:eastAsia="方正仿宋_GBK" w:cs="Times New Roman"/>
          <w:color w:val="000000" w:themeColor="text1"/>
          <w:sz w:val="32"/>
          <w:szCs w:val="32"/>
          <w:shd w:val="clear" w:color="auto" w:fill="FFFFFF"/>
        </w:rPr>
        <w:t>与2023年度相比，减少462.65万元，下降4.2%</w:t>
      </w:r>
      <w:r>
        <w:rPr>
          <w:rFonts w:hint="default" w:ascii="Times New Roman" w:hAnsi="Times New Roman" w:eastAsia="方正仿宋_GBK" w:cs="Times New Roman"/>
          <w:color w:val="000000" w:themeColor="text1"/>
          <w:sz w:val="32"/>
          <w:szCs w:val="32"/>
          <w:shd w:val="clear" w:color="auto" w:fill="FFFFFF"/>
        </w:rPr>
        <w:t>。主要原因是</w:t>
      </w:r>
      <w:r>
        <w:rPr>
          <w:rFonts w:hint="default" w:ascii="Times New Roman" w:hAnsi="Times New Roman" w:eastAsia="方正仿宋_GBK" w:cs="Times New Roman"/>
          <w:color w:val="000000" w:themeColor="text1"/>
          <w:sz w:val="32"/>
          <w:szCs w:val="32"/>
          <w:shd w:val="clear" w:color="auto" w:fill="FFFFFF"/>
        </w:rPr>
        <w:t>2023年有财政统筹返还的社保专项资金，2024年没有。</w:t>
      </w:r>
      <w:r>
        <w:rPr>
          <w:rFonts w:hint="default" w:ascii="Times New Roman" w:hAnsi="Times New Roman" w:eastAsia="方正仿宋_GBK" w:cs="Times New Roman"/>
          <w:color w:val="000000" w:themeColor="text1"/>
          <w:sz w:val="32"/>
          <w:szCs w:val="32"/>
          <w:shd w:val="clear" w:color="auto" w:fill="FFFFFF"/>
        </w:rPr>
        <w:t>较年初预算数减少799.44万元，下降7.0%</w:t>
      </w:r>
      <w:r>
        <w:rPr>
          <w:rFonts w:hint="default" w:ascii="Times New Roman" w:hAnsi="Times New Roman" w:eastAsia="方正仿宋_GBK" w:cs="Times New Roman"/>
          <w:color w:val="000000" w:themeColor="text1"/>
          <w:sz w:val="32"/>
          <w:szCs w:val="32"/>
          <w:shd w:val="clear" w:color="auto" w:fill="FFFFFF"/>
        </w:rPr>
        <w:t>。主要原</w:t>
      </w:r>
      <w:r>
        <w:rPr>
          <w:rFonts w:hint="default" w:ascii="Times New Roman" w:hAnsi="Times New Roman" w:eastAsia="方正仿宋_GBK" w:cs="Times New Roman"/>
          <w:color w:val="000000" w:themeColor="text1"/>
          <w:sz w:val="32"/>
          <w:szCs w:val="32"/>
          <w:shd w:val="clear" w:color="auto" w:fill="FFFFFF"/>
        </w:rPr>
        <w:t>因是</w:t>
      </w:r>
      <w:r>
        <w:rPr>
          <w:rFonts w:hint="default" w:ascii="Times New Roman" w:hAnsi="Times New Roman" w:eastAsia="方正仿宋_GBK" w:cs="Times New Roman"/>
          <w:color w:val="000000" w:themeColor="text1"/>
          <w:sz w:val="32"/>
          <w:szCs w:val="32"/>
          <w:shd w:val="clear" w:color="auto" w:fill="FFFFFF"/>
        </w:rPr>
        <w:t>社保中心年初预算了单双解人员补贴，实际未支付。</w:t>
      </w:r>
    </w:p>
    <w:p w14:paraId="0CDBACE8">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一般公共预算财政拨款支出主要用途如下：</w:t>
      </w:r>
    </w:p>
    <w:p w14:paraId="63EED36B">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1</w:t>
      </w:r>
      <w:r>
        <w:rPr>
          <w:rFonts w:hint="default" w:ascii="Times New Roman" w:hAnsi="Times New Roman" w:eastAsia="方正仿宋_GBK" w:cs="Times New Roman"/>
          <w:color w:val="000000" w:themeColor="text1"/>
          <w:sz w:val="32"/>
          <w:szCs w:val="32"/>
          <w:shd w:val="clear" w:color="auto" w:fill="FFFFFF"/>
        </w:rPr>
        <w:t>）一般公共服务支出</w:t>
      </w:r>
      <w:r>
        <w:rPr>
          <w:rFonts w:hint="default" w:ascii="Times New Roman" w:hAnsi="Times New Roman" w:eastAsia="方正仿宋_GBK" w:cs="Times New Roman"/>
          <w:color w:val="000000" w:themeColor="text1"/>
          <w:sz w:val="32"/>
          <w:szCs w:val="32"/>
          <w:shd w:val="clear" w:color="auto" w:fill="FFFFFF"/>
        </w:rPr>
        <w:t>2.85</w:t>
      </w:r>
      <w:r>
        <w:rPr>
          <w:rFonts w:hint="default" w:ascii="Times New Roman" w:hAnsi="Times New Roman" w:eastAsia="方正仿宋_GBK" w:cs="Times New Roman"/>
          <w:color w:val="000000" w:themeColor="text1"/>
          <w:sz w:val="32"/>
          <w:szCs w:val="32"/>
          <w:shd w:val="clear" w:color="auto" w:fill="FFFFFF"/>
        </w:rPr>
        <w:t>万元，占</w:t>
      </w:r>
      <w:r>
        <w:rPr>
          <w:rFonts w:hint="default" w:ascii="Times New Roman" w:hAnsi="Times New Roman" w:eastAsia="方正仿宋_GBK" w:cs="Times New Roman"/>
          <w:color w:val="000000" w:themeColor="text1"/>
          <w:sz w:val="32"/>
          <w:szCs w:val="32"/>
          <w:shd w:val="clear" w:color="auto" w:fill="FFFFFF"/>
        </w:rPr>
        <w:t>0.0%</w:t>
      </w:r>
      <w:r>
        <w:rPr>
          <w:rFonts w:hint="default" w:ascii="Times New Roman" w:hAnsi="Times New Roman" w:eastAsia="方正仿宋_GBK" w:cs="Times New Roman"/>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较年初预算数增加2.85万元，增长100.0%</w:t>
      </w:r>
      <w:r>
        <w:rPr>
          <w:rFonts w:hint="default" w:ascii="Times New Roman" w:hAnsi="Times New Roman" w:eastAsia="方正仿宋_GBK" w:cs="Times New Roman"/>
          <w:color w:val="000000" w:themeColor="text1"/>
          <w:sz w:val="32"/>
          <w:szCs w:val="32"/>
          <w:shd w:val="clear" w:color="auto" w:fill="FFFFFF"/>
        </w:rPr>
        <w:t>，主要原因是今年新增创新人才服务费用2.85万元。</w:t>
      </w:r>
    </w:p>
    <w:p w14:paraId="7A587014">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2</w:t>
      </w:r>
      <w:r>
        <w:rPr>
          <w:rFonts w:hint="default" w:ascii="Times New Roman" w:hAnsi="Times New Roman" w:eastAsia="方正仿宋_GBK" w:cs="Times New Roman"/>
          <w:color w:val="000000" w:themeColor="text1"/>
          <w:sz w:val="32"/>
          <w:szCs w:val="32"/>
          <w:shd w:val="clear" w:color="auto" w:fill="FFFFFF"/>
        </w:rPr>
        <w:t>）教育支出</w:t>
      </w:r>
      <w:r>
        <w:rPr>
          <w:rFonts w:hint="default" w:ascii="Times New Roman" w:hAnsi="Times New Roman" w:eastAsia="方正仿宋_GBK" w:cs="Times New Roman"/>
          <w:color w:val="000000" w:themeColor="text1"/>
          <w:sz w:val="32"/>
          <w:szCs w:val="32"/>
          <w:shd w:val="clear" w:color="auto" w:fill="FFFFFF"/>
        </w:rPr>
        <w:t>257.18</w:t>
      </w:r>
      <w:r>
        <w:rPr>
          <w:rFonts w:hint="default" w:ascii="Times New Roman" w:hAnsi="Times New Roman" w:eastAsia="方正仿宋_GBK" w:cs="Times New Roman"/>
          <w:color w:val="000000" w:themeColor="text1"/>
          <w:sz w:val="32"/>
          <w:szCs w:val="32"/>
          <w:shd w:val="clear" w:color="auto" w:fill="FFFFFF"/>
        </w:rPr>
        <w:t>万元，占</w:t>
      </w:r>
      <w:r>
        <w:rPr>
          <w:rFonts w:hint="default" w:ascii="Times New Roman" w:hAnsi="Times New Roman" w:eastAsia="方正仿宋_GBK" w:cs="Times New Roman"/>
          <w:color w:val="000000" w:themeColor="text1"/>
          <w:sz w:val="32"/>
          <w:szCs w:val="32"/>
          <w:shd w:val="clear" w:color="auto" w:fill="FFFFFF"/>
        </w:rPr>
        <w:t>2.4%</w:t>
      </w:r>
      <w:r>
        <w:rPr>
          <w:rFonts w:hint="default" w:ascii="Times New Roman" w:hAnsi="Times New Roman" w:eastAsia="方正仿宋_GBK" w:cs="Times New Roman"/>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较年初预算数增加253.18万元，增长6329.5%</w:t>
      </w:r>
      <w:r>
        <w:rPr>
          <w:rFonts w:hint="default" w:ascii="Times New Roman" w:hAnsi="Times New Roman" w:eastAsia="方正仿宋_GBK" w:cs="Times New Roman"/>
          <w:color w:val="000000" w:themeColor="text1"/>
          <w:sz w:val="32"/>
          <w:szCs w:val="32"/>
          <w:shd w:val="clear" w:color="auto" w:fill="FFFFFF"/>
        </w:rPr>
        <w:t>，主要原因是三峡技校支出增加。</w:t>
      </w:r>
    </w:p>
    <w:p w14:paraId="2733B0D7">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3</w:t>
      </w:r>
      <w:r>
        <w:rPr>
          <w:rFonts w:hint="default" w:ascii="Times New Roman" w:hAnsi="Times New Roman" w:eastAsia="方正仿宋_GBK" w:cs="Times New Roman"/>
          <w:color w:val="000000" w:themeColor="text1"/>
          <w:sz w:val="32"/>
          <w:szCs w:val="32"/>
          <w:shd w:val="clear" w:color="auto" w:fill="FFFFFF"/>
        </w:rPr>
        <w:t>）社会保障和就业支出</w:t>
      </w:r>
      <w:r>
        <w:rPr>
          <w:rFonts w:hint="default" w:ascii="Times New Roman" w:hAnsi="Times New Roman" w:eastAsia="方正仿宋_GBK" w:cs="Times New Roman"/>
          <w:color w:val="000000" w:themeColor="text1"/>
          <w:sz w:val="32"/>
          <w:szCs w:val="32"/>
          <w:shd w:val="clear" w:color="auto" w:fill="FFFFFF"/>
        </w:rPr>
        <w:t>9445.82</w:t>
      </w:r>
      <w:r>
        <w:rPr>
          <w:rFonts w:hint="default" w:ascii="Times New Roman" w:hAnsi="Times New Roman" w:eastAsia="方正仿宋_GBK" w:cs="Times New Roman"/>
          <w:color w:val="000000" w:themeColor="text1"/>
          <w:sz w:val="32"/>
          <w:szCs w:val="32"/>
          <w:shd w:val="clear" w:color="auto" w:fill="FFFFFF"/>
        </w:rPr>
        <w:t>万元，占</w:t>
      </w:r>
      <w:r>
        <w:rPr>
          <w:rFonts w:hint="default" w:ascii="Times New Roman" w:hAnsi="Times New Roman" w:eastAsia="方正仿宋_GBK" w:cs="Times New Roman"/>
          <w:color w:val="000000" w:themeColor="text1"/>
          <w:sz w:val="32"/>
          <w:szCs w:val="32"/>
          <w:shd w:val="clear" w:color="auto" w:fill="FFFFFF"/>
        </w:rPr>
        <w:t>88.4%</w:t>
      </w:r>
      <w:r>
        <w:rPr>
          <w:rFonts w:hint="default" w:ascii="Times New Roman" w:hAnsi="Times New Roman" w:eastAsia="方正仿宋_GBK" w:cs="Times New Roman"/>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较年初预算数减少1319.44万元，下降12.3%</w:t>
      </w:r>
      <w:r>
        <w:rPr>
          <w:rFonts w:hint="default" w:ascii="Times New Roman" w:hAnsi="Times New Roman" w:eastAsia="方正仿宋_GBK" w:cs="Times New Roman"/>
          <w:color w:val="000000" w:themeColor="text1"/>
          <w:sz w:val="32"/>
          <w:szCs w:val="32"/>
          <w:shd w:val="clear" w:color="auto" w:fill="FFFFFF"/>
        </w:rPr>
        <w:t>，主要原因是社保中心年初预算了单双解人员补贴，实际未支付。</w:t>
      </w:r>
    </w:p>
    <w:p w14:paraId="5EC354C3">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4</w:t>
      </w:r>
      <w:r>
        <w:rPr>
          <w:rFonts w:hint="default" w:ascii="Times New Roman" w:hAnsi="Times New Roman" w:eastAsia="方正仿宋_GBK" w:cs="Times New Roman"/>
          <w:color w:val="000000" w:themeColor="text1"/>
          <w:sz w:val="32"/>
          <w:szCs w:val="32"/>
          <w:shd w:val="clear" w:color="auto" w:fill="FFFFFF"/>
        </w:rPr>
        <w:t>）卫生健康支出</w:t>
      </w:r>
      <w:r>
        <w:rPr>
          <w:rFonts w:hint="default" w:ascii="Times New Roman" w:hAnsi="Times New Roman" w:eastAsia="方正仿宋_GBK" w:cs="Times New Roman"/>
          <w:color w:val="000000" w:themeColor="text1"/>
          <w:sz w:val="32"/>
          <w:szCs w:val="32"/>
          <w:shd w:val="clear" w:color="auto" w:fill="FFFFFF"/>
        </w:rPr>
        <w:t>130.28</w:t>
      </w:r>
      <w:r>
        <w:rPr>
          <w:rFonts w:hint="default" w:ascii="Times New Roman" w:hAnsi="Times New Roman" w:eastAsia="方正仿宋_GBK" w:cs="Times New Roman"/>
          <w:color w:val="000000" w:themeColor="text1"/>
          <w:sz w:val="32"/>
          <w:szCs w:val="32"/>
          <w:shd w:val="clear" w:color="auto" w:fill="FFFFFF"/>
        </w:rPr>
        <w:t>万元，占</w:t>
      </w:r>
      <w:r>
        <w:rPr>
          <w:rFonts w:hint="default" w:ascii="Times New Roman" w:hAnsi="Times New Roman" w:eastAsia="方正仿宋_GBK" w:cs="Times New Roman"/>
          <w:color w:val="000000" w:themeColor="text1"/>
          <w:sz w:val="32"/>
          <w:szCs w:val="32"/>
          <w:shd w:val="clear" w:color="auto" w:fill="FFFFFF"/>
        </w:rPr>
        <w:t>1.2%</w:t>
      </w:r>
      <w:r>
        <w:rPr>
          <w:rFonts w:hint="default" w:ascii="Times New Roman" w:hAnsi="Times New Roman" w:eastAsia="方正仿宋_GBK" w:cs="Times New Roman"/>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较年初预算数增加1.09万元，增长0.8%</w:t>
      </w:r>
      <w:r>
        <w:rPr>
          <w:rFonts w:hint="default" w:ascii="Times New Roman" w:hAnsi="Times New Roman" w:eastAsia="方正仿宋_GBK" w:cs="Times New Roman"/>
          <w:color w:val="000000" w:themeColor="text1"/>
          <w:sz w:val="32"/>
          <w:szCs w:val="32"/>
          <w:shd w:val="clear" w:color="auto" w:fill="FFFFFF"/>
        </w:rPr>
        <w:t>，主要原因是</w:t>
      </w:r>
      <w:r>
        <w:rPr>
          <w:rFonts w:hint="default" w:ascii="Times New Roman" w:hAnsi="Times New Roman" w:eastAsia="方正仿宋_GBK" w:cs="Times New Roman"/>
          <w:color w:val="000000" w:themeColor="text1"/>
          <w:sz w:val="32"/>
          <w:szCs w:val="32"/>
          <w:shd w:val="clear" w:color="auto" w:fill="FFFFFF"/>
        </w:rPr>
        <w:t>人员增加。</w:t>
      </w:r>
    </w:p>
    <w:p w14:paraId="4C3ECA17">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5</w:t>
      </w:r>
      <w:r>
        <w:rPr>
          <w:rFonts w:hint="default" w:ascii="Times New Roman" w:hAnsi="Times New Roman" w:eastAsia="方正仿宋_GBK" w:cs="Times New Roman"/>
          <w:color w:val="000000" w:themeColor="text1"/>
          <w:sz w:val="32"/>
          <w:szCs w:val="32"/>
          <w:shd w:val="clear" w:color="auto" w:fill="FFFFFF"/>
        </w:rPr>
        <w:t>）农林水支出</w:t>
      </w:r>
      <w:r>
        <w:rPr>
          <w:rFonts w:hint="default" w:ascii="Times New Roman" w:hAnsi="Times New Roman" w:eastAsia="方正仿宋_GBK" w:cs="Times New Roman"/>
          <w:color w:val="000000" w:themeColor="text1"/>
          <w:sz w:val="32"/>
          <w:szCs w:val="32"/>
          <w:shd w:val="clear" w:color="auto" w:fill="FFFFFF"/>
        </w:rPr>
        <w:t>712.07</w:t>
      </w:r>
      <w:r>
        <w:rPr>
          <w:rFonts w:hint="default" w:ascii="Times New Roman" w:hAnsi="Times New Roman" w:eastAsia="方正仿宋_GBK" w:cs="Times New Roman"/>
          <w:color w:val="000000" w:themeColor="text1"/>
          <w:sz w:val="32"/>
          <w:szCs w:val="32"/>
          <w:shd w:val="clear" w:color="auto" w:fill="FFFFFF"/>
        </w:rPr>
        <w:t>万元，占</w:t>
      </w:r>
      <w:r>
        <w:rPr>
          <w:rFonts w:hint="default" w:ascii="Times New Roman" w:hAnsi="Times New Roman" w:eastAsia="方正仿宋_GBK" w:cs="Times New Roman"/>
          <w:color w:val="000000" w:themeColor="text1"/>
          <w:sz w:val="32"/>
          <w:szCs w:val="32"/>
          <w:shd w:val="clear" w:color="auto" w:fill="FFFFFF"/>
        </w:rPr>
        <w:t>6.7%</w:t>
      </w:r>
      <w:r>
        <w:rPr>
          <w:rFonts w:hint="default" w:ascii="Times New Roman" w:hAnsi="Times New Roman" w:eastAsia="方正仿宋_GBK" w:cs="Times New Roman"/>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较年初预算数增加262.06万元，增长58.2%</w:t>
      </w:r>
      <w:r>
        <w:rPr>
          <w:rFonts w:hint="default" w:ascii="Times New Roman" w:hAnsi="Times New Roman" w:eastAsia="方正仿宋_GBK" w:cs="Times New Roman"/>
          <w:color w:val="000000" w:themeColor="text1"/>
          <w:sz w:val="32"/>
          <w:szCs w:val="32"/>
          <w:shd w:val="clear" w:color="auto" w:fill="FFFFFF"/>
        </w:rPr>
        <w:t>，主要原因是就业人才中心跨区域交通补助增加。</w:t>
      </w:r>
    </w:p>
    <w:p w14:paraId="16CB88AF">
      <w:pPr>
        <w:spacing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6</w:t>
      </w:r>
      <w:r>
        <w:rPr>
          <w:rFonts w:hint="default" w:ascii="Times New Roman" w:hAnsi="Times New Roman" w:eastAsia="方正仿宋_GBK" w:cs="Times New Roman"/>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rPr>
        <w:t>住房保障支出</w:t>
      </w:r>
      <w:r>
        <w:rPr>
          <w:rFonts w:hint="default" w:ascii="Times New Roman" w:hAnsi="Times New Roman" w:eastAsia="方正仿宋_GBK" w:cs="Times New Roman"/>
          <w:color w:val="000000" w:themeColor="text1"/>
          <w:sz w:val="32"/>
          <w:szCs w:val="32"/>
          <w:shd w:val="clear" w:color="auto" w:fill="FFFFFF"/>
        </w:rPr>
        <w:t>132.53</w:t>
      </w:r>
      <w:r>
        <w:rPr>
          <w:rFonts w:hint="default" w:ascii="Times New Roman" w:hAnsi="Times New Roman" w:eastAsia="方正仿宋_GBK" w:cs="Times New Roman"/>
          <w:color w:val="000000" w:themeColor="text1"/>
          <w:sz w:val="32"/>
          <w:szCs w:val="32"/>
          <w:shd w:val="clear" w:color="auto" w:fill="FFFFFF"/>
        </w:rPr>
        <w:t>万元，占</w:t>
      </w:r>
      <w:r>
        <w:rPr>
          <w:rFonts w:hint="default" w:ascii="Times New Roman" w:hAnsi="Times New Roman" w:eastAsia="方正仿宋_GBK" w:cs="Times New Roman"/>
          <w:color w:val="000000" w:themeColor="text1"/>
          <w:sz w:val="32"/>
          <w:szCs w:val="32"/>
          <w:shd w:val="clear" w:color="auto" w:fill="FFFFFF"/>
        </w:rPr>
        <w:t>1.2%</w:t>
      </w:r>
      <w:r>
        <w:rPr>
          <w:rFonts w:hint="default" w:ascii="Times New Roman" w:hAnsi="Times New Roman" w:eastAsia="方正仿宋_GBK" w:cs="Times New Roman"/>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较年初预算数增加0.81万元，增长0.6%</w:t>
      </w:r>
      <w:r>
        <w:rPr>
          <w:rFonts w:hint="default" w:ascii="Times New Roman" w:hAnsi="Times New Roman" w:eastAsia="方正仿宋_GBK" w:cs="Times New Roman"/>
          <w:color w:val="000000" w:themeColor="text1"/>
          <w:sz w:val="32"/>
          <w:szCs w:val="32"/>
          <w:shd w:val="clear" w:color="auto" w:fill="FFFFFF"/>
        </w:rPr>
        <w:t>，主要原因是</w:t>
      </w:r>
      <w:r>
        <w:rPr>
          <w:rFonts w:hint="default" w:ascii="Times New Roman" w:hAnsi="Times New Roman" w:eastAsia="方正仿宋_GBK" w:cs="Times New Roman"/>
          <w:color w:val="000000" w:themeColor="text1"/>
          <w:sz w:val="32"/>
          <w:szCs w:val="32"/>
          <w:shd w:val="clear" w:color="auto" w:fill="FFFFFF"/>
        </w:rPr>
        <w:t>人员增加。</w:t>
      </w:r>
    </w:p>
    <w:p w14:paraId="55BAC59D">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000000" w:themeColor="text1"/>
          <w:sz w:val="32"/>
          <w:szCs w:val="32"/>
          <w:shd w:val="clear" w:color="auto" w:fill="FFFFFF"/>
        </w:rPr>
      </w:pPr>
      <w:r>
        <w:rPr>
          <w:rStyle w:val="10"/>
          <w:rFonts w:hint="default" w:ascii="Times New Roman" w:hAnsi="Times New Roman" w:eastAsia="方正仿宋_GBK" w:cs="Times New Roman"/>
          <w:color w:val="000000" w:themeColor="text1"/>
          <w:sz w:val="32"/>
          <w:szCs w:val="32"/>
          <w:shd w:val="clear" w:color="auto" w:fill="FFFFFF"/>
        </w:rPr>
        <w:t>3</w:t>
      </w:r>
      <w:r>
        <w:rPr>
          <w:rStyle w:val="10"/>
          <w:rFonts w:hint="default" w:ascii="Times New Roman" w:hAnsi="Times New Roman" w:eastAsia="方正仿宋_GBK" w:cs="Times New Roman"/>
          <w:color w:val="000000" w:themeColor="text1"/>
          <w:sz w:val="32"/>
          <w:szCs w:val="32"/>
          <w:shd w:val="clear" w:color="auto" w:fill="FFFFFF"/>
        </w:rPr>
        <w:t>.结转结余情况。</w:t>
      </w:r>
      <w:r>
        <w:rPr>
          <w:rFonts w:hint="default" w:ascii="Times New Roman" w:hAnsi="Times New Roman" w:eastAsia="方正仿宋_GBK" w:cs="Times New Roman"/>
          <w:color w:val="000000" w:themeColor="text1"/>
          <w:sz w:val="32"/>
          <w:szCs w:val="32"/>
          <w:shd w:val="clear" w:color="auto" w:fill="FFFFFF"/>
        </w:rPr>
        <w:t>2024</w:t>
      </w:r>
      <w:r>
        <w:rPr>
          <w:rFonts w:hint="default" w:ascii="Times New Roman" w:hAnsi="Times New Roman" w:eastAsia="方正仿宋_GBK" w:cs="Times New Roman"/>
          <w:color w:val="000000" w:themeColor="text1"/>
          <w:sz w:val="32"/>
          <w:szCs w:val="32"/>
          <w:shd w:val="clear" w:color="auto" w:fill="FFFFFF"/>
        </w:rPr>
        <w:t>年度年末一般公共预算财政拨款结转和结余</w:t>
      </w:r>
      <w:r>
        <w:rPr>
          <w:rFonts w:hint="default" w:ascii="Times New Roman" w:hAnsi="Times New Roman" w:eastAsia="方正仿宋_GBK" w:cs="Times New Roman"/>
          <w:color w:val="000000" w:themeColor="text1"/>
          <w:sz w:val="32"/>
          <w:szCs w:val="32"/>
          <w:shd w:val="clear" w:color="auto" w:fill="FFFFFF"/>
        </w:rPr>
        <w:t>100.00</w:t>
      </w:r>
      <w:r>
        <w:rPr>
          <w:rFonts w:hint="default" w:ascii="Times New Roman" w:hAnsi="Times New Roman" w:eastAsia="方正仿宋_GBK" w:cs="Times New Roman"/>
          <w:color w:val="000000" w:themeColor="text1"/>
          <w:sz w:val="32"/>
          <w:szCs w:val="32"/>
          <w:shd w:val="clear" w:color="auto" w:fill="FFFFFF"/>
        </w:rPr>
        <w:t>万元，</w:t>
      </w:r>
      <w:r>
        <w:rPr>
          <w:rFonts w:hint="default" w:ascii="Times New Roman" w:hAnsi="Times New Roman" w:eastAsia="方正仿宋_GBK" w:cs="Times New Roman"/>
          <w:color w:val="000000" w:themeColor="text1"/>
          <w:sz w:val="32"/>
          <w:szCs w:val="32"/>
          <w:shd w:val="clear" w:color="auto" w:fill="FFFFFF"/>
        </w:rPr>
        <w:t>与2023年度相比，无增减</w:t>
      </w:r>
      <w:r>
        <w:rPr>
          <w:rFonts w:hint="default" w:ascii="Times New Roman" w:hAnsi="Times New Roman" w:eastAsia="方正仿宋_GBK" w:cs="Times New Roman"/>
          <w:color w:val="000000" w:themeColor="text1"/>
          <w:sz w:val="32"/>
          <w:szCs w:val="32"/>
          <w:shd w:val="clear" w:color="auto" w:fill="FFFFFF"/>
        </w:rPr>
        <w:t>。</w:t>
      </w:r>
    </w:p>
    <w:p w14:paraId="22020860">
      <w:pPr>
        <w:pStyle w:val="11"/>
        <w:autoSpaceDE w:val="0"/>
        <w:spacing w:line="596"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（四）一般公共预算财政拨款基本支出决算情况说明</w:t>
      </w:r>
    </w:p>
    <w:p w14:paraId="16543FC4">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2024</w:t>
      </w:r>
      <w:r>
        <w:rPr>
          <w:rFonts w:hint="default" w:ascii="Times New Roman" w:hAnsi="Times New Roman" w:eastAsia="方正仿宋_GBK" w:cs="Times New Roman"/>
          <w:color w:val="000000" w:themeColor="text1"/>
          <w:sz w:val="32"/>
          <w:szCs w:val="32"/>
          <w:shd w:val="clear" w:color="auto" w:fill="FFFFFF"/>
        </w:rPr>
        <w:t>年度一般公共财政拨款基本支出</w:t>
      </w:r>
      <w:r>
        <w:rPr>
          <w:rFonts w:hint="default" w:ascii="Times New Roman" w:hAnsi="Times New Roman" w:eastAsia="方正仿宋_GBK" w:cs="Times New Roman"/>
          <w:color w:val="000000" w:themeColor="text1"/>
          <w:sz w:val="32"/>
          <w:szCs w:val="32"/>
          <w:shd w:val="clear" w:color="auto" w:fill="FFFFFF"/>
        </w:rPr>
        <w:t>2359.36</w:t>
      </w:r>
      <w:r>
        <w:rPr>
          <w:rFonts w:hint="default" w:ascii="Times New Roman" w:hAnsi="Times New Roman" w:eastAsia="方正仿宋_GBK" w:cs="Times New Roman"/>
          <w:color w:val="000000" w:themeColor="text1"/>
          <w:sz w:val="32"/>
          <w:szCs w:val="32"/>
          <w:shd w:val="clear" w:color="auto" w:fill="FFFFFF"/>
        </w:rPr>
        <w:t>万元。</w:t>
      </w:r>
    </w:p>
    <w:p w14:paraId="2B943F43">
      <w:pPr>
        <w:pStyle w:val="6"/>
        <w:snapToGrid w:val="0"/>
        <w:spacing w:before="0" w:beforeAutospacing="0" w:after="0" w:afterAutospacing="0" w:line="596" w:lineRule="exact"/>
        <w:jc w:val="both"/>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其中：</w:t>
      </w:r>
    </w:p>
    <w:p w14:paraId="54CF6303">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人员经费</w:t>
      </w:r>
      <w:r>
        <w:rPr>
          <w:rFonts w:hint="default" w:ascii="Times New Roman" w:hAnsi="Times New Roman" w:eastAsia="方正仿宋_GBK" w:cs="Times New Roman"/>
          <w:color w:val="000000" w:themeColor="text1"/>
          <w:sz w:val="32"/>
          <w:szCs w:val="32"/>
          <w:shd w:val="clear" w:color="auto" w:fill="FFFFFF"/>
        </w:rPr>
        <w:t>1923.10</w:t>
      </w:r>
      <w:r>
        <w:rPr>
          <w:rFonts w:hint="default" w:ascii="Times New Roman" w:hAnsi="Times New Roman" w:eastAsia="方正仿宋_GBK" w:cs="Times New Roman"/>
          <w:color w:val="000000" w:themeColor="text1"/>
          <w:sz w:val="32"/>
          <w:szCs w:val="32"/>
          <w:shd w:val="clear" w:color="auto" w:fill="FFFFFF"/>
        </w:rPr>
        <w:t>万元，</w:t>
      </w:r>
      <w:r>
        <w:rPr>
          <w:rFonts w:hint="default" w:ascii="Times New Roman" w:hAnsi="Times New Roman" w:eastAsia="方正仿宋_GBK" w:cs="Times New Roman"/>
          <w:color w:val="000000" w:themeColor="text1"/>
          <w:sz w:val="32"/>
          <w:szCs w:val="32"/>
          <w:shd w:val="clear" w:color="auto" w:fill="FFFFFF"/>
        </w:rPr>
        <w:t>与2023年度相比，减少81.85万元，下降4.1%</w:t>
      </w:r>
      <w:r>
        <w:rPr>
          <w:rFonts w:hint="default" w:ascii="Times New Roman" w:hAnsi="Times New Roman" w:eastAsia="方正仿宋_GBK" w:cs="Times New Roman"/>
          <w:color w:val="000000" w:themeColor="text1"/>
          <w:sz w:val="32"/>
          <w:szCs w:val="32"/>
          <w:shd w:val="clear" w:color="auto" w:fill="FFFFFF"/>
        </w:rPr>
        <w:t>，主要原因是</w:t>
      </w:r>
      <w:r>
        <w:rPr>
          <w:rFonts w:hint="default" w:ascii="Times New Roman" w:hAnsi="Times New Roman" w:eastAsia="方正仿宋_GBK" w:cs="Times New Roman"/>
          <w:color w:val="000000" w:themeColor="text1"/>
          <w:sz w:val="32"/>
          <w:szCs w:val="32"/>
          <w:shd w:val="clear" w:color="auto" w:fill="FFFFFF"/>
        </w:rPr>
        <w:t>人员变动，调出或退休人员工资较高，新进人员工资较低。</w:t>
      </w:r>
      <w:r>
        <w:rPr>
          <w:rFonts w:hint="default" w:ascii="Times New Roman" w:hAnsi="Times New Roman" w:eastAsia="方正仿宋_GBK" w:cs="Times New Roman"/>
          <w:color w:val="000000" w:themeColor="text1"/>
          <w:sz w:val="32"/>
          <w:szCs w:val="32"/>
          <w:shd w:val="clear" w:color="auto" w:fill="FFFFFF"/>
        </w:rPr>
        <w:t>人员经费用途主要包括工资福利支出、社会保险费、住房公积金缴费等。</w:t>
      </w:r>
    </w:p>
    <w:p w14:paraId="60AFEC75">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公用经费</w:t>
      </w:r>
      <w:r>
        <w:rPr>
          <w:rFonts w:hint="default" w:ascii="Times New Roman" w:hAnsi="Times New Roman" w:eastAsia="方正仿宋_GBK" w:cs="Times New Roman"/>
          <w:color w:val="000000" w:themeColor="text1"/>
          <w:sz w:val="32"/>
          <w:szCs w:val="32"/>
          <w:shd w:val="clear" w:color="auto" w:fill="FFFFFF"/>
        </w:rPr>
        <w:t>436.26</w:t>
      </w:r>
      <w:r>
        <w:rPr>
          <w:rFonts w:hint="default" w:ascii="Times New Roman" w:hAnsi="Times New Roman" w:eastAsia="方正仿宋_GBK" w:cs="Times New Roman"/>
          <w:color w:val="000000" w:themeColor="text1"/>
          <w:sz w:val="32"/>
          <w:szCs w:val="32"/>
          <w:shd w:val="clear" w:color="auto" w:fill="FFFFFF"/>
        </w:rPr>
        <w:t>万元，</w:t>
      </w:r>
      <w:r>
        <w:rPr>
          <w:rFonts w:hint="default" w:ascii="Times New Roman" w:hAnsi="Times New Roman" w:eastAsia="方正仿宋_GBK" w:cs="Times New Roman"/>
          <w:color w:val="000000" w:themeColor="text1"/>
          <w:sz w:val="32"/>
          <w:szCs w:val="32"/>
          <w:shd w:val="clear" w:color="auto" w:fill="FFFFFF"/>
        </w:rPr>
        <w:t>与2023年度相比，增加160.55万元，增长58.2%</w:t>
      </w:r>
      <w:r>
        <w:rPr>
          <w:rFonts w:hint="default" w:ascii="Times New Roman" w:hAnsi="Times New Roman" w:eastAsia="方正仿宋_GBK" w:cs="Times New Roman"/>
          <w:color w:val="000000" w:themeColor="text1"/>
          <w:sz w:val="32"/>
          <w:szCs w:val="32"/>
          <w:shd w:val="clear" w:color="auto" w:fill="FFFFFF"/>
        </w:rPr>
        <w:t>，主要原因是</w:t>
      </w:r>
      <w:r>
        <w:rPr>
          <w:rFonts w:hint="default" w:ascii="Times New Roman" w:hAnsi="Times New Roman" w:eastAsia="方正仿宋_GBK" w:cs="Times New Roman"/>
          <w:color w:val="000000" w:themeColor="text1"/>
          <w:sz w:val="32"/>
          <w:szCs w:val="32"/>
          <w:shd w:val="clear" w:color="auto" w:fill="FFFFFF"/>
        </w:rPr>
        <w:t>2024年将 编外人员费用纳入公用经费核算，2023年是作为项目支出核算。</w:t>
      </w:r>
      <w:r>
        <w:rPr>
          <w:rFonts w:hint="default" w:ascii="Times New Roman" w:hAnsi="Times New Roman" w:eastAsia="方正仿宋_GBK" w:cs="Times New Roman"/>
          <w:color w:val="000000" w:themeColor="text1"/>
          <w:sz w:val="32"/>
          <w:szCs w:val="32"/>
          <w:shd w:val="clear" w:color="auto" w:fill="FFFFFF"/>
        </w:rPr>
        <w:t>公用经费用途主要</w:t>
      </w:r>
      <w:r>
        <w:rPr>
          <w:rFonts w:hint="default" w:ascii="Times New Roman" w:hAnsi="Times New Roman" w:eastAsia="方正仿宋_GBK" w:cs="Times New Roman"/>
          <w:color w:val="000000" w:themeColor="text1"/>
          <w:sz w:val="32"/>
          <w:szCs w:val="32"/>
          <w:shd w:val="clear" w:color="auto" w:fill="FFFFFF"/>
        </w:rPr>
        <w:t>包括办公费、水电费、邮寄费、编外人员劳务费等。</w:t>
      </w:r>
    </w:p>
    <w:p w14:paraId="523E1A4A">
      <w:pPr>
        <w:pStyle w:val="11"/>
        <w:autoSpaceDE w:val="0"/>
        <w:spacing w:line="596"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（五）政府性基金预算收支决算情况说明</w:t>
      </w:r>
    </w:p>
    <w:p w14:paraId="1C7B1A80">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本部门</w:t>
      </w:r>
      <w:r>
        <w:rPr>
          <w:rFonts w:hint="default" w:ascii="Times New Roman" w:hAnsi="Times New Roman" w:eastAsia="方正仿宋_GBK" w:cs="Times New Roman"/>
          <w:color w:val="000000" w:themeColor="text1"/>
          <w:sz w:val="32"/>
          <w:szCs w:val="32"/>
          <w:shd w:val="clear" w:color="auto" w:fill="FFFFFF"/>
        </w:rPr>
        <w:t>2024</w:t>
      </w:r>
      <w:r>
        <w:rPr>
          <w:rFonts w:hint="default" w:ascii="Times New Roman" w:hAnsi="Times New Roman" w:eastAsia="方正仿宋_GBK" w:cs="Times New Roman"/>
          <w:color w:val="000000" w:themeColor="text1"/>
          <w:sz w:val="32"/>
          <w:szCs w:val="32"/>
          <w:shd w:val="clear" w:color="auto" w:fill="FFFFFF"/>
        </w:rPr>
        <w:t>年度无政府性基金预算财政拨款收支。</w:t>
      </w:r>
    </w:p>
    <w:p w14:paraId="7246FE79">
      <w:pPr>
        <w:pStyle w:val="11"/>
        <w:autoSpaceDE w:val="0"/>
        <w:spacing w:line="596"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（六）国有资本经营预算财政拨款支出决算情况说明</w:t>
      </w:r>
    </w:p>
    <w:p w14:paraId="3D85C129">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本部门</w:t>
      </w:r>
      <w:r>
        <w:rPr>
          <w:rFonts w:hint="default" w:ascii="Times New Roman" w:hAnsi="Times New Roman" w:eastAsia="方正仿宋_GBK" w:cs="Times New Roman"/>
          <w:color w:val="000000" w:themeColor="text1"/>
          <w:sz w:val="32"/>
          <w:szCs w:val="32"/>
          <w:shd w:val="clear" w:color="auto" w:fill="FFFFFF"/>
        </w:rPr>
        <w:t>2024</w:t>
      </w:r>
      <w:r>
        <w:rPr>
          <w:rFonts w:hint="default" w:ascii="Times New Roman" w:hAnsi="Times New Roman" w:eastAsia="方正仿宋_GBK" w:cs="Times New Roman"/>
          <w:color w:val="000000" w:themeColor="text1"/>
          <w:sz w:val="32"/>
          <w:szCs w:val="32"/>
          <w:shd w:val="clear" w:color="auto" w:fill="FFFFFF"/>
        </w:rPr>
        <w:t>年度无国有资本经营预算财政拨款支出。</w:t>
      </w:r>
    </w:p>
    <w:p w14:paraId="1DAC21B6">
      <w:pPr>
        <w:pStyle w:val="6"/>
        <w:shd w:val="clear" w:color="auto" w:fill="FFFFFF"/>
        <w:spacing w:before="0" w:beforeAutospacing="0" w:after="0" w:afterAutospacing="0" w:line="596" w:lineRule="exact"/>
        <w:ind w:firstLine="643" w:firstLineChars="200"/>
        <w:rPr>
          <w:rStyle w:val="10"/>
          <w:rFonts w:hint="default" w:ascii="Times New Roman" w:hAnsi="Times New Roman" w:eastAsia="黑体" w:cs="Times New Roman"/>
          <w:color w:val="000000" w:themeColor="text1"/>
          <w:sz w:val="32"/>
          <w:szCs w:val="32"/>
          <w:shd w:val="clear" w:color="auto" w:fill="FFFFFF"/>
        </w:rPr>
      </w:pPr>
      <w:r>
        <w:rPr>
          <w:rStyle w:val="10"/>
          <w:rFonts w:hint="default" w:ascii="Times New Roman" w:hAnsi="Times New Roman" w:eastAsia="黑体" w:cs="Times New Roman"/>
          <w:color w:val="000000" w:themeColor="text1"/>
          <w:sz w:val="32"/>
          <w:szCs w:val="32"/>
          <w:shd w:val="clear" w:color="auto" w:fill="FFFFFF"/>
        </w:rPr>
        <w:t>三、财政拨款“三公”经费情况说明</w:t>
      </w:r>
    </w:p>
    <w:p w14:paraId="27C24435">
      <w:pPr>
        <w:pStyle w:val="11"/>
        <w:autoSpaceDE w:val="0"/>
        <w:spacing w:line="596"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（一）“三公”经费支出总体情况说明</w:t>
      </w:r>
    </w:p>
    <w:p w14:paraId="52336F7F">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2024</w:t>
      </w:r>
      <w:r>
        <w:rPr>
          <w:rFonts w:hint="default" w:ascii="Times New Roman" w:hAnsi="Times New Roman" w:eastAsia="方正仿宋_GBK" w:cs="Times New Roman"/>
          <w:color w:val="000000" w:themeColor="text1"/>
          <w:sz w:val="32"/>
          <w:szCs w:val="32"/>
          <w:shd w:val="clear" w:color="auto" w:fill="FFFFFF"/>
        </w:rPr>
        <w:t>年度“三公”经费支出共计</w:t>
      </w:r>
      <w:r>
        <w:rPr>
          <w:rFonts w:hint="default" w:ascii="Times New Roman" w:hAnsi="Times New Roman" w:eastAsia="方正仿宋_GBK" w:cs="Times New Roman"/>
          <w:color w:val="000000" w:themeColor="text1"/>
          <w:sz w:val="32"/>
          <w:szCs w:val="32"/>
          <w:shd w:val="clear" w:color="auto" w:fill="FFFFFF"/>
        </w:rPr>
        <w:t>7.55</w:t>
      </w:r>
      <w:r>
        <w:rPr>
          <w:rFonts w:hint="default" w:ascii="Times New Roman" w:hAnsi="Times New Roman" w:eastAsia="方正仿宋_GBK" w:cs="Times New Roman"/>
          <w:color w:val="000000" w:themeColor="text1"/>
          <w:sz w:val="32"/>
          <w:szCs w:val="32"/>
          <w:shd w:val="clear" w:color="auto" w:fill="FFFFFF"/>
        </w:rPr>
        <w:t>万元，</w:t>
      </w:r>
      <w:r>
        <w:rPr>
          <w:rFonts w:hint="default" w:ascii="Times New Roman" w:hAnsi="Times New Roman" w:eastAsia="方正仿宋_GBK" w:cs="Times New Roman"/>
          <w:color w:val="000000" w:themeColor="text1"/>
          <w:sz w:val="32"/>
          <w:szCs w:val="32"/>
          <w:shd w:val="clear" w:color="auto" w:fill="FFFFFF"/>
        </w:rPr>
        <w:t>较年初预算数减少3.35万元，下降30.7%</w:t>
      </w:r>
      <w:r>
        <w:rPr>
          <w:rFonts w:hint="default" w:ascii="Times New Roman" w:hAnsi="Times New Roman" w:eastAsia="方正仿宋_GBK" w:cs="Times New Roman"/>
          <w:color w:val="000000" w:themeColor="text1"/>
          <w:sz w:val="32"/>
          <w:szCs w:val="32"/>
          <w:shd w:val="clear" w:color="auto" w:fill="FFFFFF"/>
        </w:rPr>
        <w:t>，主要原因是厉行节约</w:t>
      </w:r>
      <w:r>
        <w:rPr>
          <w:rFonts w:hint="default" w:ascii="Times New Roman" w:hAnsi="Times New Roman" w:eastAsia="方正仿宋_GBK" w:cs="Times New Roman"/>
          <w:color w:val="000000" w:themeColor="text1"/>
          <w:sz w:val="32"/>
          <w:szCs w:val="32"/>
          <w:shd w:val="clear" w:color="auto" w:fill="FFFFFF"/>
        </w:rPr>
        <w:t>，严格控制接待费。</w:t>
      </w:r>
      <w:r>
        <w:rPr>
          <w:rFonts w:hint="default" w:ascii="Times New Roman" w:hAnsi="Times New Roman" w:eastAsia="方正仿宋_GBK" w:cs="Times New Roman"/>
          <w:color w:val="000000" w:themeColor="text1"/>
          <w:sz w:val="32"/>
          <w:szCs w:val="32"/>
          <w:shd w:val="clear" w:color="auto" w:fill="FFFFFF"/>
        </w:rPr>
        <w:t>较上年支出数增加0.37万元，增长5.2%</w:t>
      </w:r>
      <w:r>
        <w:rPr>
          <w:rFonts w:hint="default" w:ascii="Times New Roman" w:hAnsi="Times New Roman" w:eastAsia="方正仿宋_GBK" w:cs="Times New Roman"/>
          <w:color w:val="000000" w:themeColor="text1"/>
          <w:sz w:val="32"/>
          <w:szCs w:val="32"/>
          <w:shd w:val="clear" w:color="auto" w:fill="FFFFFF"/>
        </w:rPr>
        <w:t>，主要原因是</w:t>
      </w:r>
      <w:r>
        <w:rPr>
          <w:rFonts w:hint="default" w:ascii="Times New Roman" w:hAnsi="Times New Roman" w:eastAsia="方正仿宋_GBK" w:cs="Times New Roman"/>
          <w:color w:val="000000" w:themeColor="text1"/>
          <w:sz w:val="32"/>
          <w:szCs w:val="32"/>
          <w:shd w:val="clear" w:color="auto" w:fill="FFFFFF"/>
        </w:rPr>
        <w:t>2024年新增人才疗养及专家服务团走进丰都等重点接待工作。</w:t>
      </w:r>
    </w:p>
    <w:p w14:paraId="65446160">
      <w:pPr>
        <w:pStyle w:val="11"/>
        <w:autoSpaceDE w:val="0"/>
        <w:spacing w:line="596"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（二）“三公”经费分项支出情况</w:t>
      </w:r>
    </w:p>
    <w:p w14:paraId="0A450124">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1. 2024年度本</w:t>
      </w:r>
      <w:r>
        <w:rPr>
          <w:rFonts w:hint="default" w:ascii="Times New Roman" w:hAnsi="Times New Roman" w:eastAsia="方正仿宋_GBK" w:cs="Times New Roman"/>
          <w:color w:val="000000" w:themeColor="text1"/>
          <w:sz w:val="32"/>
          <w:szCs w:val="32"/>
          <w:shd w:val="clear" w:color="auto" w:fill="FFFFFF"/>
        </w:rPr>
        <w:t>部门</w:t>
      </w:r>
      <w:r>
        <w:rPr>
          <w:rFonts w:hint="default" w:ascii="Times New Roman" w:hAnsi="Times New Roman" w:eastAsia="方正仿宋_GBK" w:cs="Times New Roman"/>
          <w:color w:val="000000" w:themeColor="text1"/>
          <w:sz w:val="32"/>
          <w:szCs w:val="32"/>
          <w:shd w:val="clear" w:color="auto" w:fill="FFFFFF"/>
        </w:rPr>
        <w:t>因公出国（境）费用0.00万元，费用支出较年初预算数无增减，较上年支出数无增减。</w:t>
      </w:r>
      <w:r>
        <w:rPr>
          <w:rFonts w:hint="default" w:ascii="Times New Roman" w:hAnsi="Times New Roman" w:eastAsia="方正仿宋_GBK" w:cs="Times New Roman"/>
          <w:color w:val="000000" w:themeColor="text1"/>
          <w:sz w:val="32"/>
          <w:szCs w:val="32"/>
          <w:shd w:val="clear" w:color="auto" w:fill="FFFFFF"/>
        </w:rPr>
        <w:cr/>
      </w:r>
      <w:r>
        <w:rPr>
          <w:rFonts w:hint="default" w:ascii="Times New Roman" w:hAnsi="Times New Roman" w:eastAsia="方正仿宋_GBK" w:cs="Times New Roman"/>
          <w:color w:val="000000" w:themeColor="text1"/>
          <w:sz w:val="32"/>
          <w:szCs w:val="32"/>
          <w:shd w:val="clear" w:color="auto" w:fill="FFFFFF"/>
        </w:rPr>
        <w:t xml:space="preserve"> </w:t>
      </w:r>
      <w:r>
        <w:rPr>
          <w:rFonts w:hint="default" w:ascii="Times New Roman" w:hAnsi="Times New Roman" w:eastAsia="方正仿宋_GBK" w:cs="Times New Roman"/>
          <w:color w:val="000000" w:themeColor="text1"/>
          <w:sz w:val="32"/>
          <w:szCs w:val="32"/>
          <w:shd w:val="clear" w:color="auto" w:fill="FFFFFF"/>
        </w:rPr>
        <w:t xml:space="preserve">   2. 公务用车购置费0.00万元，费用支出较年初预算数无增减，较上年支出数无增减。</w:t>
      </w:r>
      <w:r>
        <w:rPr>
          <w:rFonts w:hint="default" w:ascii="Times New Roman" w:hAnsi="Times New Roman" w:eastAsia="方正仿宋_GBK" w:cs="Times New Roman"/>
          <w:color w:val="000000" w:themeColor="text1"/>
          <w:sz w:val="32"/>
          <w:szCs w:val="32"/>
          <w:shd w:val="clear" w:color="auto" w:fill="FFFFFF"/>
        </w:rPr>
        <w:cr/>
      </w:r>
      <w:r>
        <w:rPr>
          <w:rFonts w:hint="default" w:ascii="Times New Roman" w:hAnsi="Times New Roman" w:eastAsia="方正仿宋_GBK" w:cs="Times New Roman"/>
          <w:color w:val="000000" w:themeColor="text1"/>
          <w:sz w:val="32"/>
          <w:szCs w:val="32"/>
          <w:shd w:val="clear" w:color="auto" w:fill="FFFFFF"/>
        </w:rPr>
        <w:t xml:space="preserve">    3.</w:t>
      </w:r>
      <w:r>
        <w:rPr>
          <w:rFonts w:hint="default" w:ascii="Times New Roman" w:hAnsi="Times New Roman" w:eastAsia="方正仿宋_GBK" w:cs="Times New Roman"/>
          <w:color w:val="000000" w:themeColor="text1"/>
          <w:sz w:val="32"/>
          <w:szCs w:val="32"/>
          <w:shd w:val="clear" w:color="auto" w:fill="FFFFFF"/>
        </w:rPr>
        <w:t>公务用车运行维护费</w:t>
      </w:r>
      <w:r>
        <w:rPr>
          <w:rFonts w:hint="default" w:ascii="Times New Roman" w:hAnsi="Times New Roman" w:eastAsia="方正仿宋_GBK" w:cs="Times New Roman"/>
          <w:color w:val="000000" w:themeColor="text1"/>
          <w:sz w:val="32"/>
          <w:szCs w:val="32"/>
          <w:shd w:val="clear" w:color="auto" w:fill="FFFFFF"/>
        </w:rPr>
        <w:t>5.40</w:t>
      </w:r>
      <w:r>
        <w:rPr>
          <w:rFonts w:hint="default" w:ascii="Times New Roman" w:hAnsi="Times New Roman" w:eastAsia="方正仿宋_GBK" w:cs="Times New Roman"/>
          <w:color w:val="000000" w:themeColor="text1"/>
          <w:sz w:val="32"/>
          <w:szCs w:val="32"/>
          <w:shd w:val="clear" w:color="auto" w:fill="FFFFFF"/>
        </w:rPr>
        <w:t>万元，主要用</w:t>
      </w:r>
      <w:r>
        <w:rPr>
          <w:rFonts w:hint="default" w:ascii="Times New Roman" w:hAnsi="Times New Roman" w:eastAsia="方正仿宋_GBK" w:cs="Times New Roman"/>
          <w:color w:val="000000" w:themeColor="text1"/>
          <w:sz w:val="32"/>
          <w:szCs w:val="32"/>
          <w:shd w:val="clear" w:color="auto" w:fill="FFFFFF"/>
        </w:rPr>
        <w:t>于</w:t>
      </w:r>
      <w:r>
        <w:rPr>
          <w:rFonts w:hint="default" w:ascii="Times New Roman" w:hAnsi="Times New Roman" w:eastAsia="方正仿宋_GBK" w:cs="Times New Roman"/>
          <w:color w:val="000000" w:themeColor="text1"/>
          <w:sz w:val="32"/>
          <w:szCs w:val="32"/>
          <w:shd w:val="clear" w:color="auto" w:fill="FFFFFF"/>
        </w:rPr>
        <w:t>公务用车保险费、过路过桥费、燃油费、维护维修费等。</w:t>
      </w:r>
      <w:r>
        <w:rPr>
          <w:rFonts w:hint="default" w:ascii="Times New Roman" w:hAnsi="Times New Roman" w:eastAsia="方正仿宋_GBK" w:cs="Times New Roman"/>
          <w:color w:val="000000" w:themeColor="text1"/>
          <w:sz w:val="32"/>
          <w:szCs w:val="32"/>
          <w:shd w:val="clear" w:color="auto" w:fill="FFFFFF"/>
        </w:rPr>
        <w:t>费用支出</w:t>
      </w:r>
      <w:r>
        <w:rPr>
          <w:rFonts w:hint="default" w:ascii="Times New Roman" w:hAnsi="Times New Roman" w:eastAsia="方正仿宋_GBK" w:cs="Times New Roman"/>
          <w:color w:val="000000" w:themeColor="text1"/>
          <w:sz w:val="32"/>
          <w:szCs w:val="32"/>
          <w:shd w:val="clear" w:color="auto" w:fill="FFFFFF"/>
        </w:rPr>
        <w:t>较年初预算数无增减</w:t>
      </w:r>
      <w:r>
        <w:rPr>
          <w:rFonts w:hint="default" w:ascii="Times New Roman" w:hAnsi="Times New Roman" w:eastAsia="方正仿宋_GBK" w:cs="Times New Roman"/>
          <w:color w:val="000000" w:themeColor="text1"/>
          <w:sz w:val="32"/>
          <w:szCs w:val="32"/>
          <w:shd w:val="clear" w:color="auto" w:fill="FFFFFF"/>
        </w:rPr>
        <w:t>，主要原因</w:t>
      </w:r>
      <w:r>
        <w:rPr>
          <w:rFonts w:hint="default" w:ascii="Times New Roman" w:hAnsi="Times New Roman" w:eastAsia="方正仿宋_GBK" w:cs="Times New Roman"/>
          <w:color w:val="000000" w:themeColor="text1"/>
          <w:sz w:val="32"/>
          <w:szCs w:val="32"/>
          <w:shd w:val="clear" w:color="auto" w:fill="FFFFFF"/>
        </w:rPr>
        <w:t>是严格执行预算。</w:t>
      </w:r>
      <w:r>
        <w:rPr>
          <w:rFonts w:hint="default" w:ascii="Times New Roman" w:hAnsi="Times New Roman" w:eastAsia="方正仿宋_GBK" w:cs="Times New Roman"/>
          <w:color w:val="000000" w:themeColor="text1"/>
          <w:sz w:val="32"/>
          <w:szCs w:val="32"/>
          <w:shd w:val="clear" w:color="auto" w:fill="FFFFFF"/>
        </w:rPr>
        <w:t>较上年支出数减少0.60万元，下降10.0%</w:t>
      </w:r>
      <w:r>
        <w:rPr>
          <w:rFonts w:hint="default" w:ascii="Times New Roman" w:hAnsi="Times New Roman" w:eastAsia="方正仿宋_GBK" w:cs="Times New Roman"/>
          <w:color w:val="000000" w:themeColor="text1"/>
          <w:sz w:val="32"/>
          <w:szCs w:val="32"/>
          <w:shd w:val="clear" w:color="auto" w:fill="FFFFFF"/>
        </w:rPr>
        <w:t>，主要原因是厉行节约，严格管理公务用车使用。</w:t>
      </w:r>
    </w:p>
    <w:p w14:paraId="2F1792D1">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4</w:t>
      </w:r>
      <w:r>
        <w:rPr>
          <w:rFonts w:hint="default" w:ascii="Times New Roman" w:hAnsi="Times New Roman" w:eastAsia="方正仿宋_GBK" w:cs="Times New Roman"/>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公务接待费</w:t>
      </w:r>
      <w:r>
        <w:rPr>
          <w:rFonts w:hint="default" w:ascii="Times New Roman" w:hAnsi="Times New Roman" w:eastAsia="方正仿宋_GBK" w:cs="Times New Roman"/>
          <w:color w:val="000000" w:themeColor="text1"/>
          <w:sz w:val="32"/>
          <w:szCs w:val="32"/>
          <w:shd w:val="clear" w:color="auto" w:fill="FFFFFF"/>
        </w:rPr>
        <w:t>2.15</w:t>
      </w:r>
      <w:r>
        <w:rPr>
          <w:rFonts w:hint="default" w:ascii="Times New Roman" w:hAnsi="Times New Roman" w:eastAsia="方正仿宋_GBK" w:cs="Times New Roman"/>
          <w:color w:val="000000" w:themeColor="text1"/>
          <w:sz w:val="32"/>
          <w:szCs w:val="32"/>
          <w:shd w:val="clear" w:color="auto" w:fill="FFFFFF"/>
        </w:rPr>
        <w:t>万元，主要用于接待</w:t>
      </w:r>
      <w:r>
        <w:rPr>
          <w:rFonts w:hint="default" w:ascii="Times New Roman" w:hAnsi="Times New Roman" w:eastAsia="方正仿宋_GBK" w:cs="Times New Roman"/>
          <w:color w:val="000000" w:themeColor="text1"/>
          <w:sz w:val="32"/>
          <w:szCs w:val="32"/>
          <w:shd w:val="clear" w:color="auto" w:fill="FFFFFF"/>
        </w:rPr>
        <w:t>人才疗养及专家服务团走进丰都等重点接待工作</w:t>
      </w:r>
      <w:r>
        <w:rPr>
          <w:rFonts w:hint="default" w:ascii="Times New Roman" w:hAnsi="Times New Roman" w:eastAsia="方正仿宋_GBK" w:cs="Times New Roman"/>
          <w:color w:val="000000" w:themeColor="text1"/>
          <w:sz w:val="32"/>
          <w:szCs w:val="32"/>
          <w:shd w:val="clear" w:color="auto" w:fill="FFFFFF"/>
        </w:rPr>
        <w:t>调研、</w:t>
      </w:r>
      <w:r>
        <w:rPr>
          <w:rFonts w:hint="default" w:ascii="Times New Roman" w:hAnsi="Times New Roman" w:eastAsia="方正仿宋_GBK" w:cs="Times New Roman"/>
          <w:color w:val="000000" w:themeColor="text1"/>
          <w:sz w:val="32"/>
          <w:szCs w:val="32"/>
          <w:shd w:val="clear" w:color="auto" w:fill="FFFFFF"/>
        </w:rPr>
        <w:t>开展就业工作指导、市社会保险局工作检查和区县交换检查等。费用支出</w:t>
      </w:r>
      <w:r>
        <w:rPr>
          <w:rFonts w:hint="default" w:ascii="Times New Roman" w:hAnsi="Times New Roman" w:eastAsia="方正仿宋_GBK" w:cs="Times New Roman"/>
          <w:color w:val="000000" w:themeColor="text1"/>
          <w:sz w:val="32"/>
          <w:szCs w:val="32"/>
          <w:shd w:val="clear" w:color="auto" w:fill="FFFFFF"/>
        </w:rPr>
        <w:t>较年初预算数减少3.35万元，下降60.9%</w:t>
      </w:r>
      <w:r>
        <w:rPr>
          <w:rFonts w:hint="default" w:ascii="Times New Roman" w:hAnsi="Times New Roman" w:eastAsia="方正仿宋_GBK" w:cs="Times New Roman"/>
          <w:color w:val="000000" w:themeColor="text1"/>
          <w:sz w:val="32"/>
          <w:szCs w:val="32"/>
          <w:shd w:val="clear" w:color="auto" w:fill="FFFFFF"/>
        </w:rPr>
        <w:t>，主要原因是厉行节约</w:t>
      </w:r>
      <w:r>
        <w:rPr>
          <w:rFonts w:hint="default" w:ascii="Times New Roman" w:hAnsi="Times New Roman" w:eastAsia="方正仿宋_GBK" w:cs="Times New Roman"/>
          <w:color w:val="000000" w:themeColor="text1"/>
          <w:sz w:val="32"/>
          <w:szCs w:val="32"/>
          <w:shd w:val="clear" w:color="auto" w:fill="FFFFFF"/>
        </w:rPr>
        <w:t>，严格控制接待费。</w:t>
      </w:r>
      <w:r>
        <w:rPr>
          <w:rFonts w:hint="default" w:ascii="Times New Roman" w:hAnsi="Times New Roman" w:eastAsia="方正仿宋_GBK" w:cs="Times New Roman"/>
          <w:color w:val="000000" w:themeColor="text1"/>
          <w:sz w:val="32"/>
          <w:szCs w:val="32"/>
          <w:shd w:val="clear" w:color="auto" w:fill="FFFFFF"/>
        </w:rPr>
        <w:t>较上年支出数增加0.97万元，增长82.2%</w:t>
      </w:r>
      <w:r>
        <w:rPr>
          <w:rFonts w:hint="default" w:ascii="Times New Roman" w:hAnsi="Times New Roman" w:eastAsia="方正仿宋_GBK" w:cs="Times New Roman"/>
          <w:color w:val="000000" w:themeColor="text1"/>
          <w:sz w:val="32"/>
          <w:szCs w:val="32"/>
          <w:shd w:val="clear" w:color="auto" w:fill="FFFFFF"/>
        </w:rPr>
        <w:t>，主要原因是</w:t>
      </w:r>
      <w:r>
        <w:rPr>
          <w:rFonts w:hint="default" w:ascii="Times New Roman" w:hAnsi="Times New Roman" w:eastAsia="方正仿宋_GBK" w:cs="Times New Roman"/>
          <w:color w:val="000000" w:themeColor="text1"/>
          <w:sz w:val="32"/>
          <w:szCs w:val="32"/>
          <w:shd w:val="clear" w:color="auto" w:fill="FFFFFF"/>
        </w:rPr>
        <w:t>2024年新增人才疗养及专家服务团走进丰都等重点接待工作。</w:t>
      </w:r>
    </w:p>
    <w:p w14:paraId="18F5F19A">
      <w:pPr>
        <w:pStyle w:val="11"/>
        <w:autoSpaceDE w:val="0"/>
        <w:spacing w:line="596"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（三）“三公”经费实物量情况</w:t>
      </w:r>
    </w:p>
    <w:p w14:paraId="1CF8AE80">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2024</w:t>
      </w:r>
      <w:r>
        <w:rPr>
          <w:rFonts w:hint="default" w:ascii="Times New Roman" w:hAnsi="Times New Roman" w:eastAsia="方正仿宋_GBK" w:cs="Times New Roman"/>
          <w:color w:val="000000" w:themeColor="text1"/>
          <w:sz w:val="32"/>
          <w:szCs w:val="32"/>
          <w:shd w:val="clear" w:color="auto" w:fill="FFFFFF"/>
        </w:rPr>
        <w:t>年度本部门因公出国（境）共计</w:t>
      </w:r>
      <w:r>
        <w:rPr>
          <w:rFonts w:hint="default" w:ascii="Times New Roman" w:hAnsi="Times New Roman" w:eastAsia="方正仿宋_GBK" w:cs="Times New Roman"/>
          <w:color w:val="000000" w:themeColor="text1"/>
          <w:sz w:val="32"/>
          <w:szCs w:val="32"/>
          <w:shd w:val="clear" w:color="auto" w:fill="FFFFFF"/>
        </w:rPr>
        <w:t>0</w:t>
      </w:r>
      <w:r>
        <w:rPr>
          <w:rFonts w:hint="default" w:ascii="Times New Roman" w:hAnsi="Times New Roman" w:eastAsia="方正仿宋_GBK" w:cs="Times New Roman"/>
          <w:color w:val="000000" w:themeColor="text1"/>
          <w:sz w:val="32"/>
          <w:szCs w:val="32"/>
          <w:shd w:val="clear" w:color="auto" w:fill="FFFFFF"/>
        </w:rPr>
        <w:t>个团组，</w:t>
      </w:r>
      <w:r>
        <w:rPr>
          <w:rFonts w:hint="default" w:ascii="Times New Roman" w:hAnsi="Times New Roman" w:eastAsia="方正仿宋_GBK" w:cs="Times New Roman"/>
          <w:color w:val="000000" w:themeColor="text1"/>
          <w:sz w:val="32"/>
          <w:szCs w:val="32"/>
          <w:shd w:val="clear" w:color="auto" w:fill="FFFFFF"/>
        </w:rPr>
        <w:t>0</w:t>
      </w:r>
      <w:r>
        <w:rPr>
          <w:rFonts w:hint="default" w:ascii="Times New Roman" w:hAnsi="Times New Roman" w:eastAsia="方正仿宋_GBK" w:cs="Times New Roman"/>
          <w:color w:val="000000" w:themeColor="text1"/>
          <w:sz w:val="32"/>
          <w:szCs w:val="32"/>
          <w:shd w:val="clear" w:color="auto" w:fill="FFFFFF"/>
        </w:rPr>
        <w:t>人；公务用车购置</w:t>
      </w:r>
      <w:r>
        <w:rPr>
          <w:rFonts w:hint="default" w:ascii="Times New Roman" w:hAnsi="Times New Roman" w:eastAsia="方正仿宋_GBK" w:cs="Times New Roman"/>
          <w:color w:val="000000" w:themeColor="text1"/>
          <w:sz w:val="32"/>
          <w:szCs w:val="32"/>
          <w:shd w:val="clear" w:color="auto" w:fill="FFFFFF"/>
        </w:rPr>
        <w:t>0</w:t>
      </w:r>
      <w:r>
        <w:rPr>
          <w:rFonts w:hint="default" w:ascii="Times New Roman" w:hAnsi="Times New Roman" w:eastAsia="方正仿宋_GBK" w:cs="Times New Roman"/>
          <w:color w:val="000000" w:themeColor="text1"/>
          <w:sz w:val="32"/>
          <w:szCs w:val="32"/>
          <w:shd w:val="clear" w:color="auto" w:fill="FFFFFF"/>
        </w:rPr>
        <w:t>辆，公务车保有量为</w:t>
      </w:r>
      <w:r>
        <w:rPr>
          <w:rFonts w:hint="default" w:ascii="Times New Roman" w:hAnsi="Times New Roman" w:eastAsia="方正仿宋_GBK" w:cs="Times New Roman"/>
          <w:color w:val="000000" w:themeColor="text1"/>
          <w:sz w:val="32"/>
          <w:szCs w:val="32"/>
          <w:shd w:val="clear" w:color="auto" w:fill="FFFFFF"/>
        </w:rPr>
        <w:t>2</w:t>
      </w:r>
      <w:r>
        <w:rPr>
          <w:rFonts w:hint="default" w:ascii="Times New Roman" w:hAnsi="Times New Roman" w:eastAsia="方正仿宋_GBK" w:cs="Times New Roman"/>
          <w:color w:val="000000" w:themeColor="text1"/>
          <w:sz w:val="32"/>
          <w:szCs w:val="32"/>
          <w:shd w:val="clear" w:color="auto" w:fill="FFFFFF"/>
        </w:rPr>
        <w:t>辆；国内公务接待</w:t>
      </w:r>
      <w:r>
        <w:rPr>
          <w:rFonts w:hint="default" w:ascii="Times New Roman" w:hAnsi="Times New Roman" w:eastAsia="方正仿宋_GBK" w:cs="Times New Roman"/>
          <w:color w:val="000000" w:themeColor="text1"/>
          <w:sz w:val="32"/>
          <w:szCs w:val="32"/>
          <w:shd w:val="clear" w:color="auto" w:fill="FFFFFF"/>
        </w:rPr>
        <w:t>20</w:t>
      </w:r>
      <w:r>
        <w:rPr>
          <w:rFonts w:hint="default" w:ascii="Times New Roman" w:hAnsi="Times New Roman" w:eastAsia="方正仿宋_GBK" w:cs="Times New Roman"/>
          <w:color w:val="000000" w:themeColor="text1"/>
          <w:sz w:val="32"/>
          <w:szCs w:val="32"/>
          <w:shd w:val="clear" w:color="auto" w:fill="FFFFFF"/>
        </w:rPr>
        <w:t>批次</w:t>
      </w:r>
      <w:r>
        <w:rPr>
          <w:rFonts w:hint="default" w:ascii="Times New Roman" w:hAnsi="Times New Roman" w:eastAsia="方正仿宋_GBK" w:cs="Times New Roman"/>
          <w:color w:val="000000" w:themeColor="text1"/>
          <w:sz w:val="32"/>
          <w:szCs w:val="32"/>
          <w:shd w:val="clear" w:color="auto" w:fill="FFFFFF"/>
        </w:rPr>
        <w:t>238</w:t>
      </w:r>
      <w:r>
        <w:rPr>
          <w:rFonts w:hint="default" w:ascii="Times New Roman" w:hAnsi="Times New Roman" w:eastAsia="方正仿宋_GBK" w:cs="Times New Roman"/>
          <w:color w:val="000000" w:themeColor="text1"/>
          <w:sz w:val="32"/>
          <w:szCs w:val="32"/>
          <w:shd w:val="clear" w:color="auto" w:fill="FFFFFF"/>
        </w:rPr>
        <w:t>人，其中：国内外事接待</w:t>
      </w:r>
      <w:r>
        <w:rPr>
          <w:rFonts w:hint="default" w:ascii="Times New Roman" w:hAnsi="Times New Roman" w:eastAsia="方正仿宋_GBK" w:cs="Times New Roman"/>
          <w:color w:val="000000" w:themeColor="text1"/>
          <w:sz w:val="32"/>
          <w:szCs w:val="32"/>
          <w:shd w:val="clear" w:color="auto" w:fill="FFFFFF"/>
        </w:rPr>
        <w:t>0</w:t>
      </w:r>
      <w:r>
        <w:rPr>
          <w:rFonts w:hint="default" w:ascii="Times New Roman" w:hAnsi="Times New Roman" w:eastAsia="方正仿宋_GBK" w:cs="Times New Roman"/>
          <w:color w:val="000000" w:themeColor="text1"/>
          <w:sz w:val="32"/>
          <w:szCs w:val="32"/>
          <w:shd w:val="clear" w:color="auto" w:fill="FFFFFF"/>
        </w:rPr>
        <w:t>批次，</w:t>
      </w:r>
      <w:r>
        <w:rPr>
          <w:rFonts w:hint="default" w:ascii="Times New Roman" w:hAnsi="Times New Roman" w:eastAsia="方正仿宋_GBK" w:cs="Times New Roman"/>
          <w:color w:val="000000" w:themeColor="text1"/>
          <w:sz w:val="32"/>
          <w:szCs w:val="32"/>
          <w:shd w:val="clear" w:color="auto" w:fill="FFFFFF"/>
        </w:rPr>
        <w:t>0</w:t>
      </w:r>
      <w:r>
        <w:rPr>
          <w:rFonts w:hint="default" w:ascii="Times New Roman" w:hAnsi="Times New Roman" w:eastAsia="方正仿宋_GBK" w:cs="Times New Roman"/>
          <w:color w:val="000000" w:themeColor="text1"/>
          <w:sz w:val="32"/>
          <w:szCs w:val="32"/>
          <w:shd w:val="clear" w:color="auto" w:fill="FFFFFF"/>
        </w:rPr>
        <w:t>人；国（境）外公务接待</w:t>
      </w:r>
      <w:r>
        <w:rPr>
          <w:rFonts w:hint="default" w:ascii="Times New Roman" w:hAnsi="Times New Roman" w:eastAsia="方正仿宋_GBK" w:cs="Times New Roman"/>
          <w:color w:val="000000" w:themeColor="text1"/>
          <w:sz w:val="32"/>
          <w:szCs w:val="32"/>
          <w:shd w:val="clear" w:color="auto" w:fill="FFFFFF"/>
        </w:rPr>
        <w:t>0</w:t>
      </w:r>
      <w:r>
        <w:rPr>
          <w:rFonts w:hint="default" w:ascii="Times New Roman" w:hAnsi="Times New Roman" w:eastAsia="方正仿宋_GBK" w:cs="Times New Roman"/>
          <w:color w:val="000000" w:themeColor="text1"/>
          <w:sz w:val="32"/>
          <w:szCs w:val="32"/>
          <w:shd w:val="clear" w:color="auto" w:fill="FFFFFF"/>
        </w:rPr>
        <w:t>批次，</w:t>
      </w:r>
      <w:r>
        <w:rPr>
          <w:rFonts w:hint="default" w:ascii="Times New Roman" w:hAnsi="Times New Roman" w:eastAsia="方正仿宋_GBK" w:cs="Times New Roman"/>
          <w:color w:val="000000" w:themeColor="text1"/>
          <w:sz w:val="32"/>
          <w:szCs w:val="32"/>
          <w:shd w:val="clear" w:color="auto" w:fill="FFFFFF"/>
        </w:rPr>
        <w:t>0</w:t>
      </w:r>
      <w:r>
        <w:rPr>
          <w:rFonts w:hint="default" w:ascii="Times New Roman" w:hAnsi="Times New Roman" w:eastAsia="方正仿宋_GBK" w:cs="Times New Roman"/>
          <w:color w:val="000000" w:themeColor="text1"/>
          <w:sz w:val="32"/>
          <w:szCs w:val="32"/>
          <w:shd w:val="clear" w:color="auto" w:fill="FFFFFF"/>
        </w:rPr>
        <w:t>人。</w:t>
      </w:r>
      <w:r>
        <w:rPr>
          <w:rFonts w:hint="default" w:ascii="Times New Roman" w:hAnsi="Times New Roman" w:eastAsia="方正仿宋_GBK" w:cs="Times New Roman"/>
          <w:color w:val="000000" w:themeColor="text1"/>
          <w:sz w:val="32"/>
          <w:szCs w:val="32"/>
          <w:shd w:val="clear" w:color="auto" w:fill="FFFFFF"/>
        </w:rPr>
        <w:t>2024</w:t>
      </w:r>
      <w:r>
        <w:rPr>
          <w:rFonts w:hint="default" w:ascii="Times New Roman" w:hAnsi="Times New Roman" w:eastAsia="方正仿宋_GBK" w:cs="Times New Roman"/>
          <w:color w:val="000000" w:themeColor="text1"/>
          <w:sz w:val="32"/>
          <w:szCs w:val="32"/>
          <w:shd w:val="clear" w:color="auto" w:fill="FFFFFF"/>
        </w:rPr>
        <w:t>年本部门人均接待费</w:t>
      </w:r>
      <w:r>
        <w:rPr>
          <w:rFonts w:hint="default" w:ascii="Times New Roman" w:hAnsi="Times New Roman" w:eastAsia="方正仿宋_GBK" w:cs="Times New Roman"/>
          <w:color w:val="000000" w:themeColor="text1"/>
          <w:sz w:val="32"/>
          <w:szCs w:val="32"/>
          <w:shd w:val="clear" w:color="auto" w:fill="FFFFFF"/>
        </w:rPr>
        <w:t>90.51</w:t>
      </w:r>
      <w:r>
        <w:rPr>
          <w:rFonts w:hint="default" w:ascii="Times New Roman" w:hAnsi="Times New Roman" w:eastAsia="方正仿宋_GBK" w:cs="Times New Roman"/>
          <w:color w:val="000000" w:themeColor="text1"/>
          <w:sz w:val="32"/>
          <w:szCs w:val="32"/>
          <w:shd w:val="clear" w:color="auto" w:fill="FFFFFF"/>
        </w:rPr>
        <w:t>元，车均购置费</w:t>
      </w:r>
      <w:r>
        <w:rPr>
          <w:rFonts w:hint="default" w:ascii="Times New Roman" w:hAnsi="Times New Roman" w:eastAsia="方正仿宋_GBK" w:cs="Times New Roman"/>
          <w:color w:val="000000" w:themeColor="text1"/>
          <w:sz w:val="32"/>
          <w:szCs w:val="32"/>
          <w:shd w:val="clear" w:color="auto" w:fill="FFFFFF"/>
        </w:rPr>
        <w:t>0</w:t>
      </w:r>
      <w:r>
        <w:rPr>
          <w:rFonts w:hint="default" w:ascii="Times New Roman" w:hAnsi="Times New Roman" w:eastAsia="方正仿宋_GBK" w:cs="Times New Roman"/>
          <w:color w:val="000000" w:themeColor="text1"/>
          <w:sz w:val="32"/>
          <w:szCs w:val="32"/>
          <w:shd w:val="clear" w:color="auto" w:fill="FFFFFF"/>
        </w:rPr>
        <w:t>万元，车均维护费</w:t>
      </w:r>
      <w:r>
        <w:rPr>
          <w:rFonts w:hint="default" w:ascii="Times New Roman" w:hAnsi="Times New Roman" w:eastAsia="方正仿宋_GBK" w:cs="Times New Roman"/>
          <w:color w:val="000000" w:themeColor="text1"/>
          <w:sz w:val="32"/>
          <w:szCs w:val="32"/>
          <w:shd w:val="clear" w:color="auto" w:fill="FFFFFF"/>
        </w:rPr>
        <w:t>2.70</w:t>
      </w:r>
      <w:r>
        <w:rPr>
          <w:rFonts w:hint="default" w:ascii="Times New Roman" w:hAnsi="Times New Roman" w:eastAsia="方正仿宋_GBK" w:cs="Times New Roman"/>
          <w:color w:val="000000" w:themeColor="text1"/>
          <w:sz w:val="32"/>
          <w:szCs w:val="32"/>
          <w:shd w:val="clear" w:color="auto" w:fill="FFFFFF"/>
        </w:rPr>
        <w:t>万元。</w:t>
      </w:r>
    </w:p>
    <w:p w14:paraId="1E2ECFAE">
      <w:pPr>
        <w:pStyle w:val="6"/>
        <w:shd w:val="clear" w:color="auto" w:fill="FFFFFF"/>
        <w:spacing w:before="0" w:beforeAutospacing="0" w:after="0" w:afterAutospacing="0" w:line="596" w:lineRule="exact"/>
        <w:ind w:firstLine="643" w:firstLineChars="200"/>
        <w:rPr>
          <w:rStyle w:val="10"/>
          <w:rFonts w:hint="default" w:ascii="Times New Roman" w:hAnsi="Times New Roman" w:eastAsia="黑体" w:cs="Times New Roman"/>
          <w:color w:val="000000" w:themeColor="text1"/>
          <w:sz w:val="32"/>
          <w:szCs w:val="32"/>
          <w:shd w:val="clear" w:color="auto" w:fill="FFFFFF"/>
        </w:rPr>
      </w:pPr>
      <w:r>
        <w:rPr>
          <w:rStyle w:val="10"/>
          <w:rFonts w:hint="default" w:ascii="Times New Roman" w:hAnsi="Times New Roman" w:eastAsia="黑体" w:cs="Times New Roman"/>
          <w:color w:val="000000" w:themeColor="text1"/>
          <w:sz w:val="32"/>
          <w:szCs w:val="32"/>
          <w:shd w:val="clear" w:color="auto" w:fill="FFFFFF"/>
        </w:rPr>
        <w:t>四、其他需要说明的事项</w:t>
      </w:r>
    </w:p>
    <w:p w14:paraId="193AC5D9">
      <w:pPr>
        <w:pStyle w:val="6"/>
        <w:shd w:val="clear" w:color="auto" w:fill="FFFFFF"/>
        <w:spacing w:before="0" w:beforeAutospacing="0" w:after="0" w:afterAutospacing="0" w:line="596" w:lineRule="exact"/>
        <w:ind w:firstLine="643" w:firstLineChars="200"/>
        <w:jc w:val="both"/>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（一）财政拨款会议费、培训费和差旅费情况说明</w:t>
      </w:r>
    </w:p>
    <w:p w14:paraId="1C5D62EC">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本年度会议费支出</w:t>
      </w:r>
      <w:r>
        <w:rPr>
          <w:rFonts w:hint="default" w:ascii="Times New Roman" w:hAnsi="Times New Roman" w:eastAsia="方正仿宋_GBK" w:cs="Times New Roman"/>
          <w:color w:val="000000" w:themeColor="text1"/>
          <w:sz w:val="32"/>
          <w:szCs w:val="32"/>
          <w:shd w:val="clear" w:color="auto" w:fill="FFFFFF"/>
        </w:rPr>
        <w:t>0.99</w:t>
      </w:r>
      <w:r>
        <w:rPr>
          <w:rFonts w:hint="default" w:ascii="Times New Roman" w:hAnsi="Times New Roman" w:eastAsia="方正仿宋_GBK" w:cs="Times New Roman"/>
          <w:color w:val="000000" w:themeColor="text1"/>
          <w:sz w:val="32"/>
          <w:szCs w:val="32"/>
          <w:shd w:val="clear" w:color="auto" w:fill="FFFFFF"/>
        </w:rPr>
        <w:t>万元，</w:t>
      </w:r>
      <w:r>
        <w:rPr>
          <w:rFonts w:hint="default" w:ascii="Times New Roman" w:hAnsi="Times New Roman" w:eastAsia="方正仿宋_GBK" w:cs="Times New Roman"/>
          <w:color w:val="000000" w:themeColor="text1"/>
          <w:sz w:val="32"/>
          <w:szCs w:val="32"/>
          <w:shd w:val="clear" w:color="auto" w:fill="FFFFFF"/>
        </w:rPr>
        <w:t>与2023年度相比，增加0.67万元，增长209.4%</w:t>
      </w:r>
      <w:r>
        <w:rPr>
          <w:rFonts w:hint="default" w:ascii="Times New Roman" w:hAnsi="Times New Roman" w:eastAsia="方正仿宋_GBK" w:cs="Times New Roman"/>
          <w:color w:val="000000" w:themeColor="text1"/>
          <w:sz w:val="32"/>
          <w:szCs w:val="32"/>
          <w:shd w:val="clear" w:color="auto" w:fill="FFFFFF"/>
        </w:rPr>
        <w:t>，主要原因是重庆市社保局在我县召开全市22个区县的社保工作调研会。本年度培训费支出</w:t>
      </w:r>
      <w:r>
        <w:rPr>
          <w:rFonts w:hint="default" w:ascii="Times New Roman" w:hAnsi="Times New Roman" w:eastAsia="方正仿宋_GBK" w:cs="Times New Roman"/>
          <w:color w:val="000000" w:themeColor="text1"/>
          <w:sz w:val="32"/>
          <w:szCs w:val="32"/>
          <w:shd w:val="clear" w:color="auto" w:fill="FFFFFF"/>
        </w:rPr>
        <w:t>3.53</w:t>
      </w:r>
      <w:r>
        <w:rPr>
          <w:rFonts w:hint="default" w:ascii="Times New Roman" w:hAnsi="Times New Roman" w:eastAsia="方正仿宋_GBK" w:cs="Times New Roman"/>
          <w:color w:val="000000" w:themeColor="text1"/>
          <w:sz w:val="32"/>
          <w:szCs w:val="32"/>
          <w:shd w:val="clear" w:color="auto" w:fill="FFFFFF"/>
        </w:rPr>
        <w:t>万元，</w:t>
      </w:r>
      <w:r>
        <w:rPr>
          <w:rFonts w:hint="default" w:ascii="Times New Roman" w:hAnsi="Times New Roman" w:eastAsia="方正仿宋_GBK" w:cs="Times New Roman"/>
          <w:color w:val="000000" w:themeColor="text1"/>
          <w:sz w:val="32"/>
          <w:szCs w:val="32"/>
          <w:shd w:val="clear" w:color="auto" w:fill="FFFFFF"/>
        </w:rPr>
        <w:t>与2023年度相比，减少1.77万元，下降33.4%</w:t>
      </w:r>
      <w:r>
        <w:rPr>
          <w:rFonts w:hint="default" w:ascii="Times New Roman" w:hAnsi="Times New Roman" w:eastAsia="方正仿宋_GBK" w:cs="Times New Roman"/>
          <w:color w:val="000000" w:themeColor="text1"/>
          <w:sz w:val="32"/>
          <w:szCs w:val="32"/>
          <w:shd w:val="clear" w:color="auto" w:fill="FFFFFF"/>
        </w:rPr>
        <w:t>，主要原因是本年减少了职工外出培训人次。本年度差旅费支出</w:t>
      </w:r>
      <w:r>
        <w:rPr>
          <w:rFonts w:hint="default" w:ascii="Times New Roman" w:hAnsi="Times New Roman" w:eastAsia="方正仿宋_GBK" w:cs="Times New Roman"/>
          <w:color w:val="000000" w:themeColor="text1"/>
          <w:sz w:val="32"/>
          <w:szCs w:val="32"/>
          <w:shd w:val="clear" w:color="auto" w:fill="FFFFFF"/>
        </w:rPr>
        <w:t>39.94</w:t>
      </w:r>
      <w:r>
        <w:rPr>
          <w:rFonts w:hint="default" w:ascii="Times New Roman" w:hAnsi="Times New Roman" w:eastAsia="方正仿宋_GBK" w:cs="Times New Roman"/>
          <w:color w:val="000000" w:themeColor="text1"/>
          <w:sz w:val="32"/>
          <w:szCs w:val="32"/>
        </w:rPr>
        <w:t>万元，</w:t>
      </w:r>
      <w:r>
        <w:rPr>
          <w:rFonts w:hint="default" w:ascii="Times New Roman" w:hAnsi="Times New Roman" w:eastAsia="方正仿宋_GBK" w:cs="Times New Roman"/>
          <w:color w:val="000000" w:themeColor="text1"/>
          <w:sz w:val="32"/>
          <w:szCs w:val="32"/>
          <w:shd w:val="clear" w:color="auto" w:fill="FFFFFF"/>
        </w:rPr>
        <w:t>与2023年度相比，增加3.51万元，增长9.6%</w:t>
      </w:r>
      <w:r>
        <w:rPr>
          <w:rFonts w:hint="default" w:ascii="Times New Roman" w:hAnsi="Times New Roman" w:eastAsia="方正仿宋_GBK" w:cs="Times New Roman"/>
          <w:color w:val="000000" w:themeColor="text1"/>
          <w:sz w:val="32"/>
          <w:szCs w:val="32"/>
          <w:shd w:val="clear" w:color="auto" w:fill="FFFFFF"/>
        </w:rPr>
        <w:t>，主要原因是</w:t>
      </w:r>
      <w:r>
        <w:rPr>
          <w:rFonts w:hint="default" w:ascii="Times New Roman" w:hAnsi="Times New Roman" w:eastAsia="方正仿宋_GBK" w:cs="Times New Roman"/>
          <w:color w:val="000000" w:themeColor="text1"/>
          <w:sz w:val="32"/>
          <w:szCs w:val="32"/>
          <w:shd w:val="clear" w:color="auto" w:fill="FFFFFF"/>
        </w:rPr>
        <w:t>根治欠薪、社保参保等重点工作，需要到现场检查或者宣传政策的增多。</w:t>
      </w:r>
    </w:p>
    <w:p w14:paraId="739E6132">
      <w:pPr>
        <w:pStyle w:val="11"/>
        <w:autoSpaceDE w:val="0"/>
        <w:spacing w:line="596"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（二）机关运行经费情况说明</w:t>
      </w:r>
    </w:p>
    <w:p w14:paraId="64969DCC">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2024</w:t>
      </w:r>
      <w:r>
        <w:rPr>
          <w:rFonts w:hint="default" w:ascii="Times New Roman" w:hAnsi="Times New Roman" w:eastAsia="方正仿宋_GBK" w:cs="Times New Roman"/>
          <w:color w:val="000000" w:themeColor="text1"/>
          <w:sz w:val="32"/>
          <w:szCs w:val="32"/>
          <w:shd w:val="clear" w:color="auto" w:fill="FFFFFF"/>
        </w:rPr>
        <w:t>年度本部门机关运行经费支出</w:t>
      </w:r>
      <w:r>
        <w:rPr>
          <w:rFonts w:hint="default" w:ascii="Times New Roman" w:hAnsi="Times New Roman" w:eastAsia="方正仿宋_GBK" w:cs="Times New Roman"/>
          <w:color w:val="000000" w:themeColor="text1"/>
          <w:sz w:val="32"/>
          <w:szCs w:val="32"/>
          <w:shd w:val="clear" w:color="auto" w:fill="FFFFFF"/>
        </w:rPr>
        <w:t>408.32</w:t>
      </w:r>
      <w:r>
        <w:rPr>
          <w:rFonts w:hint="default" w:ascii="Times New Roman" w:hAnsi="Times New Roman" w:eastAsia="方正仿宋_GBK" w:cs="Times New Roman"/>
          <w:color w:val="000000" w:themeColor="text1"/>
          <w:sz w:val="32"/>
          <w:szCs w:val="32"/>
          <w:shd w:val="clear" w:color="auto" w:fill="FFFFFF"/>
        </w:rPr>
        <w:t>万元，机关运行经费主要用于开支</w:t>
      </w:r>
      <w:r>
        <w:rPr>
          <w:rFonts w:hint="default" w:ascii="Times New Roman" w:hAnsi="Times New Roman" w:eastAsia="方正仿宋_GBK" w:cs="Times New Roman"/>
          <w:color w:val="000000" w:themeColor="text1"/>
          <w:sz w:val="32"/>
          <w:szCs w:val="32"/>
        </w:rPr>
        <w:t>办公费、信息网络维护费、水电费、</w:t>
      </w:r>
      <w:r>
        <w:rPr>
          <w:rFonts w:hint="default" w:ascii="Times New Roman" w:hAnsi="Times New Roman" w:eastAsia="方正仿宋_GBK" w:cs="Times New Roman"/>
          <w:color w:val="000000" w:themeColor="text1"/>
          <w:sz w:val="32"/>
          <w:szCs w:val="32"/>
        </w:rPr>
        <w:t>差旅费、</w:t>
      </w:r>
      <w:r>
        <w:rPr>
          <w:rFonts w:hint="default" w:ascii="Times New Roman" w:hAnsi="Times New Roman" w:eastAsia="方正仿宋_GBK" w:cs="Times New Roman"/>
          <w:color w:val="000000" w:themeColor="text1"/>
          <w:sz w:val="32"/>
          <w:szCs w:val="32"/>
        </w:rPr>
        <w:t>邮电费等机关运行经费。</w:t>
      </w:r>
      <w:r>
        <w:rPr>
          <w:rFonts w:hint="default" w:ascii="Times New Roman" w:hAnsi="Times New Roman" w:eastAsia="方正仿宋_GBK" w:cs="Times New Roman"/>
          <w:color w:val="000000" w:themeColor="text1"/>
          <w:sz w:val="32"/>
          <w:szCs w:val="32"/>
          <w:shd w:val="clear" w:color="auto" w:fill="FFFFFF"/>
        </w:rPr>
        <w:t>机关运行经费</w:t>
      </w:r>
      <w:r>
        <w:rPr>
          <w:rFonts w:hint="default" w:ascii="Times New Roman" w:hAnsi="Times New Roman" w:eastAsia="方正仿宋_GBK" w:cs="Times New Roman"/>
          <w:color w:val="000000" w:themeColor="text1"/>
          <w:sz w:val="32"/>
          <w:szCs w:val="32"/>
          <w:shd w:val="clear" w:color="auto" w:fill="FFFFFF"/>
        </w:rPr>
        <w:t>较上年支出数增加156.55万元，增长62.2%</w:t>
      </w:r>
      <w:r>
        <w:rPr>
          <w:rFonts w:hint="default" w:ascii="Times New Roman" w:hAnsi="Times New Roman" w:eastAsia="方正仿宋_GBK" w:cs="Times New Roman"/>
          <w:color w:val="000000" w:themeColor="text1"/>
          <w:sz w:val="32"/>
          <w:szCs w:val="32"/>
          <w:shd w:val="clear" w:color="auto" w:fill="FFFFFF"/>
        </w:rPr>
        <w:t>，主要原</w:t>
      </w:r>
      <w:r>
        <w:rPr>
          <w:rFonts w:hint="default" w:ascii="Times New Roman" w:hAnsi="Times New Roman" w:eastAsia="方正仿宋_GBK" w:cs="Times New Roman"/>
          <w:color w:val="000000" w:themeColor="text1"/>
          <w:sz w:val="32"/>
          <w:szCs w:val="32"/>
        </w:rPr>
        <w:t>因是人员增加。</w:t>
      </w:r>
    </w:p>
    <w:p w14:paraId="1D9DBA48">
      <w:pPr>
        <w:pStyle w:val="11"/>
        <w:autoSpaceDE w:val="0"/>
        <w:spacing w:line="596"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（三）国有资产占用情况说明</w:t>
      </w:r>
    </w:p>
    <w:p w14:paraId="240ADA61">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截至</w:t>
      </w:r>
      <w:r>
        <w:rPr>
          <w:rFonts w:hint="default" w:ascii="Times New Roman" w:hAnsi="Times New Roman" w:eastAsia="方正仿宋_GBK" w:cs="Times New Roman"/>
          <w:color w:val="000000" w:themeColor="text1"/>
          <w:sz w:val="32"/>
          <w:szCs w:val="32"/>
          <w:shd w:val="clear" w:color="auto" w:fill="FFFFFF"/>
        </w:rPr>
        <w:t>2024</w:t>
      </w:r>
      <w:r>
        <w:rPr>
          <w:rFonts w:hint="default" w:ascii="Times New Roman" w:hAnsi="Times New Roman" w:eastAsia="方正仿宋_GBK" w:cs="Times New Roman"/>
          <w:color w:val="000000" w:themeColor="text1"/>
          <w:sz w:val="32"/>
          <w:szCs w:val="32"/>
          <w:shd w:val="clear" w:color="auto" w:fill="FFFFFF"/>
        </w:rPr>
        <w:t>年</w:t>
      </w:r>
      <w:r>
        <w:rPr>
          <w:rFonts w:hint="default" w:ascii="Times New Roman" w:hAnsi="Times New Roman" w:eastAsia="方正仿宋_GBK" w:cs="Times New Roman"/>
          <w:color w:val="000000" w:themeColor="text1"/>
          <w:sz w:val="32"/>
          <w:szCs w:val="32"/>
          <w:shd w:val="clear" w:color="auto" w:fill="FFFFFF"/>
        </w:rPr>
        <w:t>12</w:t>
      </w:r>
      <w:r>
        <w:rPr>
          <w:rFonts w:hint="default" w:ascii="Times New Roman" w:hAnsi="Times New Roman" w:eastAsia="方正仿宋_GBK" w:cs="Times New Roman"/>
          <w:color w:val="000000" w:themeColor="text1"/>
          <w:sz w:val="32"/>
          <w:szCs w:val="32"/>
          <w:shd w:val="clear" w:color="auto" w:fill="FFFFFF"/>
        </w:rPr>
        <w:t>月</w:t>
      </w:r>
      <w:r>
        <w:rPr>
          <w:rFonts w:hint="default" w:ascii="Times New Roman" w:hAnsi="Times New Roman" w:eastAsia="方正仿宋_GBK" w:cs="Times New Roman"/>
          <w:color w:val="000000" w:themeColor="text1"/>
          <w:sz w:val="32"/>
          <w:szCs w:val="32"/>
          <w:shd w:val="clear" w:color="auto" w:fill="FFFFFF"/>
        </w:rPr>
        <w:t>31</w:t>
      </w:r>
      <w:r>
        <w:rPr>
          <w:rFonts w:hint="default" w:ascii="Times New Roman" w:hAnsi="Times New Roman" w:eastAsia="方正仿宋_GBK" w:cs="Times New Roman"/>
          <w:color w:val="000000" w:themeColor="text1"/>
          <w:sz w:val="32"/>
          <w:szCs w:val="32"/>
          <w:shd w:val="clear" w:color="auto" w:fill="FFFFFF"/>
        </w:rPr>
        <w:t>日，本部门共有车辆</w:t>
      </w:r>
      <w:r>
        <w:rPr>
          <w:rFonts w:hint="default" w:ascii="Times New Roman" w:hAnsi="Times New Roman" w:eastAsia="方正仿宋_GBK" w:cs="Times New Roman"/>
          <w:color w:val="000000" w:themeColor="text1"/>
          <w:sz w:val="32"/>
          <w:szCs w:val="32"/>
          <w:shd w:val="clear" w:color="auto" w:fill="FFFFFF"/>
        </w:rPr>
        <w:t>2</w:t>
      </w:r>
      <w:r>
        <w:rPr>
          <w:rFonts w:hint="default" w:ascii="Times New Roman" w:hAnsi="Times New Roman" w:eastAsia="方正仿宋_GBK" w:cs="Times New Roman"/>
          <w:color w:val="000000" w:themeColor="text1"/>
          <w:sz w:val="32"/>
          <w:szCs w:val="32"/>
          <w:shd w:val="clear" w:color="auto" w:fill="FFFFFF"/>
        </w:rPr>
        <w:t>辆，其中，副部（省）级及以上领导用车</w:t>
      </w:r>
      <w:r>
        <w:rPr>
          <w:rFonts w:hint="default" w:ascii="Times New Roman" w:hAnsi="Times New Roman" w:eastAsia="方正仿宋_GBK" w:cs="Times New Roman"/>
          <w:color w:val="000000" w:themeColor="text1"/>
          <w:sz w:val="32"/>
          <w:szCs w:val="32"/>
          <w:shd w:val="clear" w:color="auto" w:fill="FFFFFF"/>
        </w:rPr>
        <w:t>0</w:t>
      </w:r>
      <w:r>
        <w:rPr>
          <w:rFonts w:hint="default" w:ascii="Times New Roman" w:hAnsi="Times New Roman" w:eastAsia="方正仿宋_GBK" w:cs="Times New Roman"/>
          <w:color w:val="000000" w:themeColor="text1"/>
          <w:sz w:val="32"/>
          <w:szCs w:val="32"/>
          <w:shd w:val="clear" w:color="auto" w:fill="FFFFFF"/>
        </w:rPr>
        <w:t>辆、主要负责人用车</w:t>
      </w:r>
      <w:r>
        <w:rPr>
          <w:rFonts w:hint="default" w:ascii="Times New Roman" w:hAnsi="Times New Roman" w:eastAsia="方正仿宋_GBK" w:cs="Times New Roman"/>
          <w:color w:val="000000" w:themeColor="text1"/>
          <w:sz w:val="32"/>
          <w:szCs w:val="32"/>
          <w:shd w:val="clear" w:color="auto" w:fill="FFFFFF"/>
        </w:rPr>
        <w:t>0</w:t>
      </w:r>
      <w:r>
        <w:rPr>
          <w:rFonts w:hint="default" w:ascii="Times New Roman" w:hAnsi="Times New Roman" w:eastAsia="方正仿宋_GBK" w:cs="Times New Roman"/>
          <w:color w:val="000000" w:themeColor="text1"/>
          <w:sz w:val="32"/>
          <w:szCs w:val="32"/>
          <w:shd w:val="clear" w:color="auto" w:fill="FFFFFF"/>
        </w:rPr>
        <w:t>辆、机要通信用车</w:t>
      </w:r>
      <w:r>
        <w:rPr>
          <w:rFonts w:hint="default" w:ascii="Times New Roman" w:hAnsi="Times New Roman" w:eastAsia="方正仿宋_GBK" w:cs="Times New Roman"/>
          <w:color w:val="000000" w:themeColor="text1"/>
          <w:sz w:val="32"/>
          <w:szCs w:val="32"/>
          <w:shd w:val="clear" w:color="auto" w:fill="FFFFFF"/>
        </w:rPr>
        <w:t>0</w:t>
      </w:r>
      <w:r>
        <w:rPr>
          <w:rFonts w:hint="default" w:ascii="Times New Roman" w:hAnsi="Times New Roman" w:eastAsia="方正仿宋_GBK" w:cs="Times New Roman"/>
          <w:color w:val="000000" w:themeColor="text1"/>
          <w:sz w:val="32"/>
          <w:szCs w:val="32"/>
          <w:shd w:val="clear" w:color="auto" w:fill="FFFFFF"/>
        </w:rPr>
        <w:t>辆、应急保障用车</w:t>
      </w:r>
      <w:r>
        <w:rPr>
          <w:rFonts w:hint="default" w:ascii="Times New Roman" w:hAnsi="Times New Roman" w:eastAsia="方正仿宋_GBK" w:cs="Times New Roman"/>
          <w:color w:val="000000" w:themeColor="text1"/>
          <w:sz w:val="32"/>
          <w:szCs w:val="32"/>
          <w:shd w:val="clear" w:color="auto" w:fill="FFFFFF"/>
        </w:rPr>
        <w:t>2</w:t>
      </w:r>
      <w:r>
        <w:rPr>
          <w:rFonts w:hint="default" w:ascii="Times New Roman" w:hAnsi="Times New Roman" w:eastAsia="方正仿宋_GBK" w:cs="Times New Roman"/>
          <w:color w:val="000000" w:themeColor="text1"/>
          <w:sz w:val="32"/>
          <w:szCs w:val="32"/>
          <w:shd w:val="clear" w:color="auto" w:fill="FFFFFF"/>
        </w:rPr>
        <w:t>辆、执法执勤用车</w:t>
      </w:r>
      <w:r>
        <w:rPr>
          <w:rFonts w:hint="default" w:ascii="Times New Roman" w:hAnsi="Times New Roman" w:eastAsia="方正仿宋_GBK" w:cs="Times New Roman"/>
          <w:color w:val="000000" w:themeColor="text1"/>
          <w:sz w:val="32"/>
          <w:szCs w:val="32"/>
          <w:shd w:val="clear" w:color="auto" w:fill="FFFFFF"/>
        </w:rPr>
        <w:t>0</w:t>
      </w:r>
      <w:r>
        <w:rPr>
          <w:rFonts w:hint="default" w:ascii="Times New Roman" w:hAnsi="Times New Roman" w:eastAsia="方正仿宋_GBK" w:cs="Times New Roman"/>
          <w:color w:val="000000" w:themeColor="text1"/>
          <w:sz w:val="32"/>
          <w:szCs w:val="32"/>
          <w:shd w:val="clear" w:color="auto" w:fill="FFFFFF"/>
        </w:rPr>
        <w:t>辆，特种专业技术用车</w:t>
      </w:r>
      <w:r>
        <w:rPr>
          <w:rFonts w:hint="default" w:ascii="Times New Roman" w:hAnsi="Times New Roman" w:eastAsia="方正仿宋_GBK" w:cs="Times New Roman"/>
          <w:color w:val="000000" w:themeColor="text1"/>
          <w:sz w:val="32"/>
          <w:szCs w:val="32"/>
          <w:shd w:val="clear" w:color="auto" w:fill="FFFFFF"/>
        </w:rPr>
        <w:t>0</w:t>
      </w:r>
      <w:r>
        <w:rPr>
          <w:rFonts w:hint="default" w:ascii="Times New Roman" w:hAnsi="Times New Roman" w:eastAsia="方正仿宋_GBK" w:cs="Times New Roman"/>
          <w:color w:val="000000" w:themeColor="text1"/>
          <w:sz w:val="32"/>
          <w:szCs w:val="32"/>
          <w:shd w:val="clear" w:color="auto" w:fill="FFFFFF"/>
        </w:rPr>
        <w:t>辆，离退休干部用车</w:t>
      </w:r>
      <w:r>
        <w:rPr>
          <w:rFonts w:hint="default" w:ascii="Times New Roman" w:hAnsi="Times New Roman" w:eastAsia="方正仿宋_GBK" w:cs="Times New Roman"/>
          <w:color w:val="000000" w:themeColor="text1"/>
          <w:sz w:val="32"/>
          <w:szCs w:val="32"/>
          <w:shd w:val="clear" w:color="auto" w:fill="FFFFFF"/>
        </w:rPr>
        <w:t>0</w:t>
      </w:r>
      <w:r>
        <w:rPr>
          <w:rFonts w:hint="default" w:ascii="Times New Roman" w:hAnsi="Times New Roman" w:eastAsia="方正仿宋_GBK" w:cs="Times New Roman"/>
          <w:color w:val="000000" w:themeColor="text1"/>
          <w:sz w:val="32"/>
          <w:szCs w:val="32"/>
          <w:shd w:val="clear" w:color="auto" w:fill="FFFFFF"/>
        </w:rPr>
        <w:t>辆。单价</w:t>
      </w:r>
      <w:r>
        <w:rPr>
          <w:rFonts w:hint="default" w:ascii="Times New Roman" w:hAnsi="Times New Roman" w:eastAsia="方正仿宋_GBK" w:cs="Times New Roman"/>
          <w:color w:val="000000" w:themeColor="text1"/>
          <w:sz w:val="32"/>
          <w:szCs w:val="32"/>
          <w:shd w:val="clear" w:color="auto" w:fill="FFFFFF"/>
        </w:rPr>
        <w:t>100</w:t>
      </w:r>
      <w:r>
        <w:rPr>
          <w:rFonts w:hint="default" w:ascii="Times New Roman" w:hAnsi="Times New Roman" w:eastAsia="方正仿宋_GBK" w:cs="Times New Roman"/>
          <w:color w:val="000000" w:themeColor="text1"/>
          <w:sz w:val="32"/>
          <w:szCs w:val="32"/>
          <w:shd w:val="clear" w:color="auto" w:fill="FFFFFF"/>
        </w:rPr>
        <w:t>万元（含）以上专用设备</w:t>
      </w:r>
      <w:r>
        <w:rPr>
          <w:rFonts w:hint="default" w:ascii="Times New Roman" w:hAnsi="Times New Roman" w:eastAsia="方正仿宋_GBK" w:cs="Times New Roman"/>
          <w:color w:val="000000" w:themeColor="text1"/>
          <w:sz w:val="32"/>
          <w:szCs w:val="32"/>
          <w:shd w:val="clear" w:color="auto" w:fill="FFFFFF"/>
        </w:rPr>
        <w:t>0</w:t>
      </w:r>
      <w:r>
        <w:rPr>
          <w:rFonts w:hint="default" w:ascii="Times New Roman" w:hAnsi="Times New Roman" w:eastAsia="方正仿宋_GBK" w:cs="Times New Roman"/>
          <w:color w:val="000000" w:themeColor="text1"/>
          <w:sz w:val="32"/>
          <w:szCs w:val="32"/>
          <w:shd w:val="clear" w:color="auto" w:fill="FFFFFF"/>
        </w:rPr>
        <w:t>台（套）。</w:t>
      </w:r>
    </w:p>
    <w:p w14:paraId="486DBCAF">
      <w:pPr>
        <w:pStyle w:val="11"/>
        <w:autoSpaceDE w:val="0"/>
        <w:spacing w:line="596"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（四）政府采购支出情况说明</w:t>
      </w:r>
    </w:p>
    <w:p w14:paraId="0F324DC0">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2024</w:t>
      </w:r>
      <w:r>
        <w:rPr>
          <w:rFonts w:hint="default" w:ascii="Times New Roman" w:hAnsi="Times New Roman" w:eastAsia="方正仿宋_GBK" w:cs="Times New Roman"/>
          <w:color w:val="000000" w:themeColor="text1"/>
          <w:sz w:val="32"/>
          <w:szCs w:val="32"/>
          <w:shd w:val="clear" w:color="auto" w:fill="FFFFFF"/>
        </w:rPr>
        <w:t>年度本部门政府采购支出总额</w:t>
      </w:r>
      <w:r>
        <w:rPr>
          <w:rFonts w:hint="default" w:ascii="Times New Roman" w:hAnsi="Times New Roman" w:eastAsia="方正仿宋_GBK" w:cs="Times New Roman"/>
          <w:color w:val="000000" w:themeColor="text1"/>
          <w:sz w:val="32"/>
          <w:szCs w:val="32"/>
          <w:shd w:val="clear" w:color="auto" w:fill="FFFFFF"/>
        </w:rPr>
        <w:t>98.26</w:t>
      </w:r>
      <w:r>
        <w:rPr>
          <w:rFonts w:hint="default" w:ascii="Times New Roman" w:hAnsi="Times New Roman" w:eastAsia="方正仿宋_GBK" w:cs="Times New Roman"/>
          <w:color w:val="000000" w:themeColor="text1"/>
          <w:sz w:val="32"/>
          <w:szCs w:val="32"/>
          <w:shd w:val="clear" w:color="auto" w:fill="FFFFFF"/>
        </w:rPr>
        <w:t>万元，其中：政府采购货物支出</w:t>
      </w:r>
      <w:r>
        <w:rPr>
          <w:rFonts w:hint="default" w:ascii="Times New Roman" w:hAnsi="Times New Roman" w:eastAsia="方正仿宋_GBK" w:cs="Times New Roman"/>
          <w:color w:val="000000" w:themeColor="text1"/>
          <w:sz w:val="32"/>
          <w:szCs w:val="32"/>
          <w:shd w:val="clear" w:color="auto" w:fill="FFFFFF"/>
        </w:rPr>
        <w:t>28.85</w:t>
      </w:r>
      <w:r>
        <w:rPr>
          <w:rFonts w:hint="default" w:ascii="Times New Roman" w:hAnsi="Times New Roman" w:eastAsia="方正仿宋_GBK" w:cs="Times New Roman"/>
          <w:color w:val="000000" w:themeColor="text1"/>
          <w:sz w:val="32"/>
          <w:szCs w:val="32"/>
          <w:shd w:val="clear" w:color="auto" w:fill="FFFFFF"/>
        </w:rPr>
        <w:t>万元、政府采购工程支出</w:t>
      </w:r>
      <w:r>
        <w:rPr>
          <w:rFonts w:hint="default" w:ascii="Times New Roman" w:hAnsi="Times New Roman" w:eastAsia="方正仿宋_GBK" w:cs="Times New Roman"/>
          <w:color w:val="000000" w:themeColor="text1"/>
          <w:sz w:val="32"/>
          <w:szCs w:val="32"/>
          <w:shd w:val="clear" w:color="auto" w:fill="FFFFFF"/>
        </w:rPr>
        <w:t>0.00</w:t>
      </w:r>
      <w:r>
        <w:rPr>
          <w:rFonts w:hint="default" w:ascii="Times New Roman" w:hAnsi="Times New Roman" w:eastAsia="方正仿宋_GBK" w:cs="Times New Roman"/>
          <w:color w:val="000000" w:themeColor="text1"/>
          <w:sz w:val="32"/>
          <w:szCs w:val="32"/>
          <w:shd w:val="clear" w:color="auto" w:fill="FFFFFF"/>
        </w:rPr>
        <w:t>万元、政府采购服务支出</w:t>
      </w:r>
      <w:r>
        <w:rPr>
          <w:rFonts w:hint="default" w:ascii="Times New Roman" w:hAnsi="Times New Roman" w:eastAsia="方正仿宋_GBK" w:cs="Times New Roman"/>
          <w:color w:val="000000" w:themeColor="text1"/>
          <w:sz w:val="32"/>
          <w:szCs w:val="32"/>
          <w:shd w:val="clear" w:color="auto" w:fill="FFFFFF"/>
        </w:rPr>
        <w:t>69.41</w:t>
      </w:r>
      <w:r>
        <w:rPr>
          <w:rFonts w:hint="default" w:ascii="Times New Roman" w:hAnsi="Times New Roman" w:eastAsia="方正仿宋_GBK" w:cs="Times New Roman"/>
          <w:color w:val="000000" w:themeColor="text1"/>
          <w:sz w:val="32"/>
          <w:szCs w:val="32"/>
          <w:shd w:val="clear" w:color="auto" w:fill="FFFFFF"/>
        </w:rPr>
        <w:t>万元。授予中小企业合同金额</w:t>
      </w:r>
      <w:r>
        <w:rPr>
          <w:rFonts w:hint="default" w:ascii="Times New Roman" w:hAnsi="Times New Roman" w:eastAsia="方正仿宋_GBK" w:cs="Times New Roman"/>
          <w:color w:val="000000" w:themeColor="text1"/>
          <w:sz w:val="32"/>
          <w:szCs w:val="32"/>
          <w:shd w:val="clear" w:color="auto" w:fill="FFFFFF"/>
        </w:rPr>
        <w:t>53.92</w:t>
      </w:r>
      <w:r>
        <w:rPr>
          <w:rFonts w:hint="default" w:ascii="Times New Roman" w:hAnsi="Times New Roman" w:eastAsia="方正仿宋_GBK" w:cs="Times New Roman"/>
          <w:color w:val="000000" w:themeColor="text1"/>
          <w:sz w:val="32"/>
          <w:szCs w:val="32"/>
        </w:rPr>
        <w:t>万</w:t>
      </w:r>
      <w:r>
        <w:rPr>
          <w:rFonts w:hint="default" w:ascii="Times New Roman" w:hAnsi="Times New Roman" w:eastAsia="方正仿宋_GBK" w:cs="Times New Roman"/>
          <w:color w:val="000000" w:themeColor="text1"/>
          <w:sz w:val="32"/>
          <w:szCs w:val="32"/>
          <w:shd w:val="clear" w:color="auto" w:fill="FFFFFF"/>
        </w:rPr>
        <w:t>元，占政府采购支出总额的</w:t>
      </w:r>
      <w:r>
        <w:rPr>
          <w:rFonts w:hint="default" w:ascii="Times New Roman" w:hAnsi="Times New Roman" w:eastAsia="方正仿宋_GBK" w:cs="Times New Roman"/>
          <w:color w:val="000000" w:themeColor="text1"/>
          <w:sz w:val="32"/>
          <w:szCs w:val="32"/>
          <w:shd w:val="clear" w:color="auto" w:fill="FFFFFF"/>
        </w:rPr>
        <w:t>54.9%</w:t>
      </w:r>
      <w:r>
        <w:rPr>
          <w:rFonts w:hint="default" w:ascii="Times New Roman" w:hAnsi="Times New Roman" w:eastAsia="方正仿宋_GBK" w:cs="Times New Roman"/>
          <w:color w:val="000000" w:themeColor="text1"/>
          <w:sz w:val="32"/>
          <w:szCs w:val="32"/>
          <w:shd w:val="clear" w:color="auto" w:fill="FFFFFF"/>
        </w:rPr>
        <w:t>，其中：授予小微企业合同金额</w:t>
      </w:r>
      <w:r>
        <w:rPr>
          <w:rFonts w:hint="default" w:ascii="Times New Roman" w:hAnsi="Times New Roman" w:eastAsia="方正仿宋_GBK" w:cs="Times New Roman"/>
          <w:color w:val="000000" w:themeColor="text1"/>
          <w:sz w:val="32"/>
          <w:szCs w:val="32"/>
          <w:shd w:val="clear" w:color="auto" w:fill="FFFFFF"/>
        </w:rPr>
        <w:t>25.95</w:t>
      </w:r>
      <w:r>
        <w:rPr>
          <w:rFonts w:hint="default" w:ascii="Times New Roman" w:hAnsi="Times New Roman" w:eastAsia="方正仿宋_GBK" w:cs="Times New Roman"/>
          <w:color w:val="000000" w:themeColor="text1"/>
          <w:sz w:val="32"/>
          <w:szCs w:val="32"/>
          <w:shd w:val="clear" w:color="auto" w:fill="FFFFFF"/>
        </w:rPr>
        <w:t>万元，占政府采购支出总额的</w:t>
      </w:r>
      <w:r>
        <w:rPr>
          <w:rFonts w:hint="default" w:ascii="Times New Roman" w:hAnsi="Times New Roman" w:eastAsia="方正仿宋_GBK" w:cs="Times New Roman"/>
          <w:color w:val="000000" w:themeColor="text1"/>
          <w:sz w:val="32"/>
          <w:szCs w:val="32"/>
          <w:shd w:val="clear" w:color="auto" w:fill="FFFFFF"/>
        </w:rPr>
        <w:t>26.4 %</w:t>
      </w:r>
      <w:r>
        <w:rPr>
          <w:rFonts w:hint="default" w:ascii="Times New Roman" w:hAnsi="Times New Roman" w:eastAsia="方正仿宋_GBK" w:cs="Times New Roman"/>
          <w:color w:val="000000" w:themeColor="text1"/>
          <w:sz w:val="32"/>
          <w:szCs w:val="32"/>
          <w:shd w:val="clear" w:color="auto" w:fill="FFFFFF"/>
        </w:rPr>
        <w:t>。主要用于采购</w:t>
      </w:r>
      <w:r>
        <w:rPr>
          <w:rFonts w:hint="default" w:ascii="Times New Roman" w:hAnsi="Times New Roman" w:eastAsia="方正仿宋_GBK" w:cs="Times New Roman"/>
          <w:color w:val="000000" w:themeColor="text1"/>
          <w:sz w:val="32"/>
          <w:szCs w:val="32"/>
        </w:rPr>
        <w:t>办公设备用（电脑、空调</w:t>
      </w:r>
      <w:r>
        <w:rPr>
          <w:rFonts w:hint="default" w:ascii="Times New Roman" w:hAnsi="Times New Roman" w:eastAsia="方正仿宋_GBK" w:cs="Times New Roman"/>
          <w:color w:val="000000" w:themeColor="text1"/>
          <w:sz w:val="32"/>
          <w:szCs w:val="32"/>
        </w:rPr>
        <w:t>等</w:t>
      </w:r>
      <w:r>
        <w:rPr>
          <w:rFonts w:hint="default" w:ascii="Times New Roman" w:hAnsi="Times New Roman" w:eastAsia="方正仿宋_GBK" w:cs="Times New Roman"/>
          <w:color w:val="000000" w:themeColor="text1"/>
          <w:sz w:val="32"/>
          <w:szCs w:val="32"/>
        </w:rPr>
        <w:t>）</w:t>
      </w:r>
      <w:r>
        <w:rPr>
          <w:rFonts w:hint="default" w:ascii="Times New Roman" w:hAnsi="Times New Roman" w:eastAsia="方正仿宋_GBK" w:cs="Times New Roman"/>
          <w:color w:val="000000" w:themeColor="text1"/>
          <w:sz w:val="32"/>
          <w:szCs w:val="32"/>
        </w:rPr>
        <w:t>。</w:t>
      </w:r>
    </w:p>
    <w:p w14:paraId="34BB8350">
      <w:pPr>
        <w:pStyle w:val="12"/>
        <w:spacing w:before="0" w:beforeAutospacing="0" w:after="0" w:afterAutospacing="0" w:line="596" w:lineRule="exact"/>
        <w:ind w:firstLine="643" w:firstLineChars="200"/>
        <w:rPr>
          <w:rStyle w:val="10"/>
          <w:rFonts w:hint="default" w:ascii="Times New Roman" w:hAnsi="Times New Roman" w:eastAsia="黑体" w:cs="Times New Roman"/>
          <w:color w:val="000000" w:themeColor="text1"/>
          <w:sz w:val="32"/>
          <w:szCs w:val="32"/>
          <w:shd w:val="clear" w:color="auto" w:fill="FFFFFF"/>
        </w:rPr>
      </w:pPr>
      <w:r>
        <w:rPr>
          <w:rStyle w:val="10"/>
          <w:rFonts w:hint="default" w:ascii="Times New Roman" w:hAnsi="Times New Roman" w:eastAsia="黑体" w:cs="Times New Roman"/>
          <w:color w:val="000000" w:themeColor="text1"/>
          <w:sz w:val="32"/>
          <w:szCs w:val="32"/>
          <w:shd w:val="clear" w:color="auto" w:fill="FFFFFF"/>
        </w:rPr>
        <w:t>五、2024年度预算绩效管理情况说明</w:t>
      </w:r>
    </w:p>
    <w:p w14:paraId="1D92A0DE">
      <w:pPr>
        <w:pStyle w:val="12"/>
        <w:autoSpaceDE w:val="0"/>
        <w:spacing w:before="0" w:beforeAutospacing="0" w:after="0" w:afterAutospacing="0" w:line="596" w:lineRule="exact"/>
        <w:ind w:firstLine="643" w:firstLineChars="200"/>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（一）单位自评情况</w:t>
      </w:r>
    </w:p>
    <w:p w14:paraId="1A8228B7">
      <w:pPr>
        <w:pStyle w:val="12"/>
        <w:autoSpaceDE w:val="0"/>
        <w:spacing w:before="0" w:beforeAutospacing="0" w:after="0" w:afterAutospacing="0" w:line="596" w:lineRule="exact"/>
        <w:ind w:firstLine="640" w:firstLineChars="200"/>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根据预算绩效管理要求，我部门对部门整体和35个二级项目开展了绩效自评，涉及财政拨款项目支出资金</w:t>
      </w:r>
      <w:r>
        <w:rPr>
          <w:rFonts w:hint="default" w:ascii="Times New Roman" w:hAnsi="Times New Roman" w:eastAsia="方正仿宋_GBK" w:cs="Times New Roman"/>
          <w:color w:val="000000" w:themeColor="text1"/>
          <w:kern w:val="2"/>
          <w:sz w:val="32"/>
          <w:szCs w:val="32"/>
        </w:rPr>
        <w:t>11009.46</w:t>
      </w:r>
      <w:r>
        <w:rPr>
          <w:rFonts w:hint="default" w:ascii="Times New Roman" w:hAnsi="Times New Roman" w:eastAsia="方正仿宋_GBK" w:cs="Times New Roman"/>
          <w:color w:val="000000" w:themeColor="text1"/>
          <w:sz w:val="32"/>
          <w:szCs w:val="32"/>
          <w:shd w:val="clear" w:color="auto" w:fill="FFFFFF"/>
        </w:rPr>
        <w:t>万元</w:t>
      </w:r>
    </w:p>
    <w:p w14:paraId="6DDE9462">
      <w:pPr>
        <w:pStyle w:val="12"/>
        <w:spacing w:before="0" w:beforeAutospacing="0" w:after="0" w:afterAutospacing="0" w:line="596" w:lineRule="exact"/>
        <w:ind w:firstLine="643" w:firstLineChars="200"/>
        <w:rPr>
          <w:rFonts w:hint="default" w:ascii="Times New Roman" w:hAnsi="Times New Roman" w:eastAsia="方正仿宋_GBK" w:cs="Times New Roman"/>
          <w:b/>
          <w:bCs/>
          <w:color w:val="000000" w:themeColor="text1"/>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b/>
          <w:bCs/>
          <w:color w:val="000000" w:themeColor="text1"/>
          <w:sz w:val="32"/>
          <w:szCs w:val="32"/>
          <w:shd w:val="clear" w:color="auto" w:fill="FFFFFF"/>
        </w:rPr>
        <w:t>部门整体绩效自评表</w:t>
      </w:r>
    </w:p>
    <w:tbl>
      <w:tblPr>
        <w:tblStyle w:val="7"/>
        <w:tblW w:w="14620" w:type="dxa"/>
        <w:tblInd w:w="99" w:type="dxa"/>
        <w:tblLayout w:type="autofit"/>
        <w:tblCellMar>
          <w:top w:w="0" w:type="dxa"/>
          <w:left w:w="108" w:type="dxa"/>
          <w:bottom w:w="0" w:type="dxa"/>
          <w:right w:w="108" w:type="dxa"/>
        </w:tblCellMar>
      </w:tblPr>
      <w:tblGrid>
        <w:gridCol w:w="2306"/>
        <w:gridCol w:w="940"/>
        <w:gridCol w:w="940"/>
        <w:gridCol w:w="1980"/>
        <w:gridCol w:w="656"/>
        <w:gridCol w:w="2040"/>
        <w:gridCol w:w="878"/>
        <w:gridCol w:w="1880"/>
        <w:gridCol w:w="940"/>
        <w:gridCol w:w="940"/>
        <w:gridCol w:w="1120"/>
      </w:tblGrid>
      <w:tr w14:paraId="5E68E42D">
        <w:tblPrEx>
          <w:tblCellMar>
            <w:top w:w="0" w:type="dxa"/>
            <w:left w:w="108" w:type="dxa"/>
            <w:bottom w:w="0" w:type="dxa"/>
            <w:right w:w="108" w:type="dxa"/>
          </w:tblCellMar>
        </w:tblPrEx>
        <w:trPr>
          <w:trHeight w:val="799" w:hRule="atLeast"/>
        </w:trPr>
        <w:tc>
          <w:tcPr>
            <w:tcW w:w="1462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E396DA1">
            <w:pPr>
              <w:jc w:val="center"/>
              <w:rPr>
                <w:rFonts w:hint="default" w:ascii="Times New Roman" w:hAnsi="Times New Roman" w:eastAsia="微软雅黑" w:cs="Times New Roman"/>
                <w:b/>
                <w:bCs/>
                <w:color w:val="000000" w:themeColor="text1"/>
                <w:sz w:val="40"/>
                <w:szCs w:val="40"/>
              </w:rPr>
            </w:pPr>
            <w:r>
              <w:rPr>
                <w:rFonts w:hint="default" w:ascii="Times New Roman" w:hAnsi="Times New Roman" w:eastAsia="微软雅黑" w:cs="Times New Roman"/>
                <w:b/>
                <w:bCs/>
                <w:color w:val="000000" w:themeColor="text1"/>
                <w:sz w:val="40"/>
                <w:szCs w:val="40"/>
              </w:rPr>
              <w:t>2024年度部门整体绩效自评表</w:t>
            </w:r>
          </w:p>
        </w:tc>
      </w:tr>
      <w:tr w14:paraId="285FEB3F">
        <w:tblPrEx>
          <w:tblCellMar>
            <w:top w:w="0" w:type="dxa"/>
            <w:left w:w="108" w:type="dxa"/>
            <w:bottom w:w="0" w:type="dxa"/>
            <w:right w:w="108" w:type="dxa"/>
          </w:tblCellMar>
        </w:tblPrEx>
        <w:trPr>
          <w:trHeight w:val="540" w:hRule="atLeast"/>
        </w:trPr>
        <w:tc>
          <w:tcPr>
            <w:tcW w:w="2520" w:type="dxa"/>
            <w:tcBorders>
              <w:top w:val="nil"/>
              <w:left w:val="single" w:color="auto" w:sz="4" w:space="0"/>
              <w:bottom w:val="single" w:color="auto" w:sz="4" w:space="0"/>
              <w:right w:val="single" w:color="auto" w:sz="4" w:space="0"/>
            </w:tcBorders>
            <w:shd w:val="clear" w:color="auto" w:fill="auto"/>
            <w:vAlign w:val="center"/>
          </w:tcPr>
          <w:p w14:paraId="5A94DB7C">
            <w:pPr>
              <w:jc w:val="right"/>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项目名称：</w:t>
            </w: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14:paraId="6F08189B">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丰都县人力资源和社会保障局整体监控</w:t>
            </w:r>
          </w:p>
        </w:tc>
        <w:tc>
          <w:tcPr>
            <w:tcW w:w="1980" w:type="dxa"/>
            <w:tcBorders>
              <w:top w:val="nil"/>
              <w:left w:val="nil"/>
              <w:bottom w:val="single" w:color="auto" w:sz="4" w:space="0"/>
              <w:right w:val="single" w:color="auto" w:sz="4" w:space="0"/>
            </w:tcBorders>
            <w:shd w:val="clear" w:color="auto" w:fill="auto"/>
            <w:vAlign w:val="center"/>
          </w:tcPr>
          <w:p w14:paraId="03AFB7AC">
            <w:pPr>
              <w:jc w:val="right"/>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项目编码：</w:t>
            </w:r>
          </w:p>
        </w:tc>
        <w:tc>
          <w:tcPr>
            <w:tcW w:w="2500" w:type="dxa"/>
            <w:gridSpan w:val="2"/>
            <w:tcBorders>
              <w:top w:val="single" w:color="auto" w:sz="4" w:space="0"/>
              <w:left w:val="nil"/>
              <w:bottom w:val="single" w:color="auto" w:sz="4" w:space="0"/>
              <w:right w:val="single" w:color="auto" w:sz="4" w:space="0"/>
            </w:tcBorders>
            <w:shd w:val="clear" w:color="auto" w:fill="auto"/>
            <w:vAlign w:val="center"/>
          </w:tcPr>
          <w:p w14:paraId="0BE5CBFC">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50023000024P000044</w:t>
            </w:r>
          </w:p>
        </w:tc>
        <w:tc>
          <w:tcPr>
            <w:tcW w:w="860" w:type="dxa"/>
            <w:tcBorders>
              <w:top w:val="nil"/>
              <w:left w:val="nil"/>
              <w:bottom w:val="single" w:color="auto" w:sz="4" w:space="0"/>
              <w:right w:val="single" w:color="auto" w:sz="4" w:space="0"/>
            </w:tcBorders>
            <w:shd w:val="clear" w:color="auto" w:fill="auto"/>
            <w:vAlign w:val="center"/>
          </w:tcPr>
          <w:p w14:paraId="556F8333">
            <w:pPr>
              <w:jc w:val="right"/>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自评总分：</w:t>
            </w:r>
          </w:p>
        </w:tc>
        <w:tc>
          <w:tcPr>
            <w:tcW w:w="2820" w:type="dxa"/>
            <w:gridSpan w:val="2"/>
            <w:tcBorders>
              <w:top w:val="single" w:color="auto" w:sz="4" w:space="0"/>
              <w:left w:val="nil"/>
              <w:bottom w:val="single" w:color="auto" w:sz="4" w:space="0"/>
              <w:right w:val="single" w:color="auto" w:sz="4" w:space="0"/>
            </w:tcBorders>
            <w:shd w:val="clear" w:color="auto" w:fill="auto"/>
            <w:vAlign w:val="center"/>
          </w:tcPr>
          <w:p w14:paraId="59AC5ED4">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98.40</w:t>
            </w:r>
          </w:p>
        </w:tc>
        <w:tc>
          <w:tcPr>
            <w:tcW w:w="940" w:type="dxa"/>
            <w:tcBorders>
              <w:top w:val="nil"/>
              <w:left w:val="nil"/>
              <w:bottom w:val="single" w:color="auto" w:sz="4" w:space="0"/>
              <w:right w:val="single" w:color="auto" w:sz="4" w:space="0"/>
            </w:tcBorders>
            <w:shd w:val="clear" w:color="auto" w:fill="auto"/>
            <w:vAlign w:val="center"/>
          </w:tcPr>
          <w:p w14:paraId="3D9F937E">
            <w:pPr>
              <w:jc w:val="right"/>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　</w:t>
            </w:r>
          </w:p>
        </w:tc>
        <w:tc>
          <w:tcPr>
            <w:tcW w:w="1120" w:type="dxa"/>
            <w:tcBorders>
              <w:top w:val="nil"/>
              <w:left w:val="nil"/>
              <w:bottom w:val="single" w:color="auto" w:sz="4" w:space="0"/>
              <w:right w:val="single" w:color="auto" w:sz="4" w:space="0"/>
            </w:tcBorders>
            <w:shd w:val="clear" w:color="auto" w:fill="auto"/>
            <w:vAlign w:val="center"/>
          </w:tcPr>
          <w:p w14:paraId="001F0803">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r>
      <w:tr w14:paraId="08E38BAC">
        <w:tblPrEx>
          <w:tblCellMar>
            <w:top w:w="0" w:type="dxa"/>
            <w:left w:w="108" w:type="dxa"/>
            <w:bottom w:w="0" w:type="dxa"/>
            <w:right w:w="108" w:type="dxa"/>
          </w:tblCellMar>
        </w:tblPrEx>
        <w:trPr>
          <w:trHeight w:val="810" w:hRule="atLeast"/>
        </w:trPr>
        <w:tc>
          <w:tcPr>
            <w:tcW w:w="2520" w:type="dxa"/>
            <w:tcBorders>
              <w:top w:val="nil"/>
              <w:left w:val="single" w:color="auto" w:sz="4" w:space="0"/>
              <w:bottom w:val="single" w:color="auto" w:sz="4" w:space="0"/>
              <w:right w:val="single" w:color="auto" w:sz="4" w:space="0"/>
            </w:tcBorders>
            <w:shd w:val="clear" w:color="auto" w:fill="auto"/>
            <w:vAlign w:val="center"/>
          </w:tcPr>
          <w:p w14:paraId="60CCDD29">
            <w:pPr>
              <w:jc w:val="right"/>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项目主管部门：</w:t>
            </w: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14:paraId="4E7ADD99">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407-丰都县人力资源和社会保障局</w:t>
            </w:r>
          </w:p>
        </w:tc>
        <w:tc>
          <w:tcPr>
            <w:tcW w:w="1980" w:type="dxa"/>
            <w:tcBorders>
              <w:top w:val="nil"/>
              <w:left w:val="nil"/>
              <w:bottom w:val="single" w:color="auto" w:sz="4" w:space="0"/>
              <w:right w:val="single" w:color="auto" w:sz="4" w:space="0"/>
            </w:tcBorders>
            <w:shd w:val="clear" w:color="auto" w:fill="auto"/>
            <w:vAlign w:val="center"/>
          </w:tcPr>
          <w:p w14:paraId="4A50E6EE">
            <w:pPr>
              <w:jc w:val="right"/>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财政归口处室：</w:t>
            </w:r>
          </w:p>
        </w:tc>
        <w:tc>
          <w:tcPr>
            <w:tcW w:w="2500" w:type="dxa"/>
            <w:gridSpan w:val="2"/>
            <w:tcBorders>
              <w:top w:val="single" w:color="auto" w:sz="4" w:space="0"/>
              <w:left w:val="nil"/>
              <w:bottom w:val="single" w:color="auto" w:sz="4" w:space="0"/>
              <w:right w:val="single" w:color="auto" w:sz="4" w:space="0"/>
            </w:tcBorders>
            <w:shd w:val="clear" w:color="auto" w:fill="auto"/>
            <w:vAlign w:val="center"/>
          </w:tcPr>
          <w:p w14:paraId="1364672F">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004-社保科</w:t>
            </w:r>
          </w:p>
        </w:tc>
        <w:tc>
          <w:tcPr>
            <w:tcW w:w="860" w:type="dxa"/>
            <w:tcBorders>
              <w:top w:val="nil"/>
              <w:left w:val="nil"/>
              <w:bottom w:val="single" w:color="auto" w:sz="4" w:space="0"/>
              <w:right w:val="single" w:color="auto" w:sz="4" w:space="0"/>
            </w:tcBorders>
            <w:shd w:val="clear" w:color="auto" w:fill="auto"/>
            <w:vAlign w:val="center"/>
          </w:tcPr>
          <w:p w14:paraId="379ACF1A">
            <w:pPr>
              <w:jc w:val="right"/>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部门联系人：</w:t>
            </w:r>
          </w:p>
        </w:tc>
        <w:tc>
          <w:tcPr>
            <w:tcW w:w="2820" w:type="dxa"/>
            <w:gridSpan w:val="2"/>
            <w:tcBorders>
              <w:top w:val="single" w:color="auto" w:sz="4" w:space="0"/>
              <w:left w:val="nil"/>
              <w:bottom w:val="single" w:color="auto" w:sz="4" w:space="0"/>
              <w:right w:val="single" w:color="auto" w:sz="4" w:space="0"/>
            </w:tcBorders>
            <w:shd w:val="clear" w:color="auto" w:fill="auto"/>
            <w:vAlign w:val="center"/>
          </w:tcPr>
          <w:p w14:paraId="386ED351">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陈红</w:t>
            </w:r>
          </w:p>
        </w:tc>
        <w:tc>
          <w:tcPr>
            <w:tcW w:w="940" w:type="dxa"/>
            <w:tcBorders>
              <w:top w:val="nil"/>
              <w:left w:val="nil"/>
              <w:bottom w:val="single" w:color="auto" w:sz="4" w:space="0"/>
              <w:right w:val="single" w:color="auto" w:sz="4" w:space="0"/>
            </w:tcBorders>
            <w:shd w:val="clear" w:color="auto" w:fill="auto"/>
            <w:vAlign w:val="center"/>
          </w:tcPr>
          <w:p w14:paraId="42A25F53">
            <w:pPr>
              <w:jc w:val="right"/>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联系电话：</w:t>
            </w:r>
          </w:p>
        </w:tc>
        <w:tc>
          <w:tcPr>
            <w:tcW w:w="1120" w:type="dxa"/>
            <w:tcBorders>
              <w:top w:val="nil"/>
              <w:left w:val="nil"/>
              <w:bottom w:val="single" w:color="auto" w:sz="4" w:space="0"/>
              <w:right w:val="single" w:color="auto" w:sz="4" w:space="0"/>
            </w:tcBorders>
            <w:shd w:val="clear" w:color="auto" w:fill="auto"/>
            <w:vAlign w:val="center"/>
          </w:tcPr>
          <w:p w14:paraId="28E715AE">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70717885</w:t>
            </w:r>
          </w:p>
        </w:tc>
      </w:tr>
      <w:tr w14:paraId="7D998220">
        <w:tblPrEx>
          <w:tblCellMar>
            <w:top w:w="0" w:type="dxa"/>
            <w:left w:w="108" w:type="dxa"/>
            <w:bottom w:w="0" w:type="dxa"/>
            <w:right w:w="108" w:type="dxa"/>
          </w:tblCellMar>
        </w:tblPrEx>
        <w:trPr>
          <w:trHeight w:val="420" w:hRule="atLeast"/>
        </w:trPr>
        <w:tc>
          <w:tcPr>
            <w:tcW w:w="1462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0984A932">
            <w:pPr>
              <w:jc w:val="center"/>
              <w:rPr>
                <w:rFonts w:hint="default" w:ascii="Times New Roman" w:hAnsi="Times New Roman" w:eastAsia="微软雅黑" w:cs="Times New Roman"/>
                <w:b/>
                <w:bCs/>
                <w:color w:val="000000" w:themeColor="text1"/>
                <w:sz w:val="28"/>
                <w:szCs w:val="28"/>
              </w:rPr>
            </w:pPr>
            <w:r>
              <w:rPr>
                <w:rFonts w:hint="default" w:ascii="Times New Roman" w:hAnsi="Times New Roman" w:eastAsia="微软雅黑" w:cs="Times New Roman"/>
                <w:b/>
                <w:bCs/>
                <w:color w:val="000000" w:themeColor="text1"/>
                <w:sz w:val="28"/>
                <w:szCs w:val="28"/>
              </w:rPr>
              <w:t>资金情况</w:t>
            </w:r>
          </w:p>
        </w:tc>
      </w:tr>
      <w:tr w14:paraId="0F054373">
        <w:tblPrEx>
          <w:tblCellMar>
            <w:top w:w="0" w:type="dxa"/>
            <w:left w:w="108" w:type="dxa"/>
            <w:bottom w:w="0" w:type="dxa"/>
            <w:right w:w="108" w:type="dxa"/>
          </w:tblCellMar>
        </w:tblPrEx>
        <w:trPr>
          <w:trHeight w:val="540" w:hRule="atLeast"/>
        </w:trPr>
        <w:tc>
          <w:tcPr>
            <w:tcW w:w="3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5E79BB">
            <w:pPr>
              <w:jc w:val="cente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c>
          <w:tcPr>
            <w:tcW w:w="2920" w:type="dxa"/>
            <w:gridSpan w:val="2"/>
            <w:tcBorders>
              <w:top w:val="single" w:color="auto" w:sz="4" w:space="0"/>
              <w:left w:val="nil"/>
              <w:bottom w:val="single" w:color="auto" w:sz="4" w:space="0"/>
              <w:right w:val="single" w:color="auto" w:sz="4" w:space="0"/>
            </w:tcBorders>
            <w:shd w:val="clear" w:color="auto" w:fill="auto"/>
            <w:vAlign w:val="center"/>
          </w:tcPr>
          <w:p w14:paraId="64A23A86">
            <w:pPr>
              <w:jc w:val="center"/>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年初预算数</w:t>
            </w:r>
          </w:p>
        </w:tc>
        <w:tc>
          <w:tcPr>
            <w:tcW w:w="2500" w:type="dxa"/>
            <w:gridSpan w:val="2"/>
            <w:tcBorders>
              <w:top w:val="single" w:color="auto" w:sz="4" w:space="0"/>
              <w:left w:val="nil"/>
              <w:bottom w:val="single" w:color="auto" w:sz="4" w:space="0"/>
              <w:right w:val="single" w:color="auto" w:sz="4" w:space="0"/>
            </w:tcBorders>
            <w:shd w:val="clear" w:color="auto" w:fill="auto"/>
            <w:vAlign w:val="center"/>
          </w:tcPr>
          <w:p w14:paraId="4D337004">
            <w:pPr>
              <w:jc w:val="center"/>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全年（调整）预算数</w:t>
            </w:r>
          </w:p>
        </w:tc>
        <w:tc>
          <w:tcPr>
            <w:tcW w:w="2740" w:type="dxa"/>
            <w:gridSpan w:val="2"/>
            <w:tcBorders>
              <w:top w:val="single" w:color="auto" w:sz="4" w:space="0"/>
              <w:left w:val="nil"/>
              <w:bottom w:val="single" w:color="auto" w:sz="4" w:space="0"/>
              <w:right w:val="single" w:color="auto" w:sz="4" w:space="0"/>
            </w:tcBorders>
            <w:shd w:val="clear" w:color="auto" w:fill="auto"/>
            <w:vAlign w:val="center"/>
          </w:tcPr>
          <w:p w14:paraId="4CD41AFC">
            <w:pPr>
              <w:jc w:val="center"/>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全年执行数</w:t>
            </w:r>
          </w:p>
        </w:tc>
        <w:tc>
          <w:tcPr>
            <w:tcW w:w="940" w:type="dxa"/>
            <w:tcBorders>
              <w:top w:val="nil"/>
              <w:left w:val="nil"/>
              <w:bottom w:val="single" w:color="auto" w:sz="4" w:space="0"/>
              <w:right w:val="single" w:color="auto" w:sz="4" w:space="0"/>
            </w:tcBorders>
            <w:shd w:val="clear" w:color="auto" w:fill="auto"/>
            <w:vAlign w:val="center"/>
          </w:tcPr>
          <w:p w14:paraId="55C0238C">
            <w:pPr>
              <w:jc w:val="center"/>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执行率</w:t>
            </w:r>
          </w:p>
        </w:tc>
        <w:tc>
          <w:tcPr>
            <w:tcW w:w="940" w:type="dxa"/>
            <w:tcBorders>
              <w:top w:val="nil"/>
              <w:left w:val="nil"/>
              <w:bottom w:val="single" w:color="auto" w:sz="4" w:space="0"/>
              <w:right w:val="single" w:color="auto" w:sz="4" w:space="0"/>
            </w:tcBorders>
            <w:shd w:val="clear" w:color="auto" w:fill="auto"/>
            <w:vAlign w:val="center"/>
          </w:tcPr>
          <w:p w14:paraId="40A081E9">
            <w:pPr>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执行率权重</w:t>
            </w:r>
          </w:p>
        </w:tc>
        <w:tc>
          <w:tcPr>
            <w:tcW w:w="1120" w:type="dxa"/>
            <w:tcBorders>
              <w:top w:val="nil"/>
              <w:left w:val="nil"/>
              <w:bottom w:val="single" w:color="auto" w:sz="4" w:space="0"/>
              <w:right w:val="single" w:color="auto" w:sz="4" w:space="0"/>
            </w:tcBorders>
            <w:shd w:val="clear" w:color="auto" w:fill="auto"/>
            <w:vAlign w:val="center"/>
          </w:tcPr>
          <w:p w14:paraId="3DFC6190">
            <w:pPr>
              <w:jc w:val="center"/>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执行率得分</w:t>
            </w:r>
          </w:p>
        </w:tc>
      </w:tr>
      <w:tr w14:paraId="0E66B3C2">
        <w:tblPrEx>
          <w:tblCellMar>
            <w:top w:w="0" w:type="dxa"/>
            <w:left w:w="108" w:type="dxa"/>
            <w:bottom w:w="0" w:type="dxa"/>
            <w:right w:w="108" w:type="dxa"/>
          </w:tblCellMar>
        </w:tblPrEx>
        <w:trPr>
          <w:trHeight w:val="540" w:hRule="atLeast"/>
        </w:trPr>
        <w:tc>
          <w:tcPr>
            <w:tcW w:w="2520" w:type="dxa"/>
            <w:tcBorders>
              <w:top w:val="nil"/>
              <w:left w:val="single" w:color="auto" w:sz="4" w:space="0"/>
              <w:bottom w:val="single" w:color="auto" w:sz="4" w:space="0"/>
              <w:right w:val="nil"/>
            </w:tcBorders>
            <w:shd w:val="clear" w:color="auto" w:fill="auto"/>
            <w:vAlign w:val="center"/>
          </w:tcPr>
          <w:p w14:paraId="455053F4">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年度总金额</w:t>
            </w:r>
          </w:p>
        </w:tc>
        <w:tc>
          <w:tcPr>
            <w:tcW w:w="940" w:type="dxa"/>
            <w:tcBorders>
              <w:top w:val="nil"/>
              <w:left w:val="nil"/>
              <w:bottom w:val="single" w:color="auto" w:sz="4" w:space="0"/>
              <w:right w:val="single" w:color="auto" w:sz="4" w:space="0"/>
            </w:tcBorders>
            <w:shd w:val="clear" w:color="auto" w:fill="auto"/>
            <w:vAlign w:val="center"/>
          </w:tcPr>
          <w:p w14:paraId="7F2E616C">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c>
          <w:tcPr>
            <w:tcW w:w="940" w:type="dxa"/>
            <w:tcBorders>
              <w:top w:val="nil"/>
              <w:left w:val="nil"/>
              <w:bottom w:val="single" w:color="auto" w:sz="4" w:space="0"/>
              <w:right w:val="nil"/>
            </w:tcBorders>
            <w:shd w:val="clear" w:color="auto" w:fill="auto"/>
            <w:vAlign w:val="center"/>
          </w:tcPr>
          <w:p w14:paraId="73E87334">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c>
          <w:tcPr>
            <w:tcW w:w="1980" w:type="dxa"/>
            <w:tcBorders>
              <w:top w:val="nil"/>
              <w:left w:val="nil"/>
              <w:bottom w:val="single" w:color="auto" w:sz="4" w:space="0"/>
              <w:right w:val="single" w:color="auto" w:sz="4" w:space="0"/>
            </w:tcBorders>
            <w:shd w:val="clear" w:color="auto" w:fill="auto"/>
            <w:vAlign w:val="center"/>
          </w:tcPr>
          <w:p w14:paraId="2F9B84AA">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xml:space="preserve">114,801,721.42 </w:t>
            </w:r>
          </w:p>
        </w:tc>
        <w:tc>
          <w:tcPr>
            <w:tcW w:w="460" w:type="dxa"/>
            <w:tcBorders>
              <w:top w:val="nil"/>
              <w:left w:val="nil"/>
              <w:bottom w:val="single" w:color="auto" w:sz="4" w:space="0"/>
              <w:right w:val="nil"/>
            </w:tcBorders>
            <w:shd w:val="clear" w:color="auto" w:fill="auto"/>
            <w:vAlign w:val="center"/>
          </w:tcPr>
          <w:p w14:paraId="4EC96131">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c>
          <w:tcPr>
            <w:tcW w:w="2040" w:type="dxa"/>
            <w:tcBorders>
              <w:top w:val="nil"/>
              <w:left w:val="nil"/>
              <w:bottom w:val="single" w:color="auto" w:sz="4" w:space="0"/>
              <w:right w:val="single" w:color="auto" w:sz="4" w:space="0"/>
            </w:tcBorders>
            <w:shd w:val="clear" w:color="auto" w:fill="auto"/>
            <w:vAlign w:val="center"/>
          </w:tcPr>
          <w:p w14:paraId="0BE10B91">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xml:space="preserve">143,675,944.80 </w:t>
            </w:r>
          </w:p>
        </w:tc>
        <w:tc>
          <w:tcPr>
            <w:tcW w:w="860" w:type="dxa"/>
            <w:tcBorders>
              <w:top w:val="nil"/>
              <w:left w:val="nil"/>
              <w:bottom w:val="single" w:color="auto" w:sz="4" w:space="0"/>
              <w:right w:val="nil"/>
            </w:tcBorders>
            <w:shd w:val="clear" w:color="auto" w:fill="auto"/>
            <w:vAlign w:val="center"/>
          </w:tcPr>
          <w:p w14:paraId="635E619B">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c>
          <w:tcPr>
            <w:tcW w:w="1880" w:type="dxa"/>
            <w:tcBorders>
              <w:top w:val="nil"/>
              <w:left w:val="nil"/>
              <w:bottom w:val="single" w:color="auto" w:sz="4" w:space="0"/>
              <w:right w:val="single" w:color="auto" w:sz="4" w:space="0"/>
            </w:tcBorders>
            <w:shd w:val="clear" w:color="auto" w:fill="auto"/>
            <w:vAlign w:val="center"/>
          </w:tcPr>
          <w:p w14:paraId="45E7F814">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xml:space="preserve">120,681,212.66 </w:t>
            </w:r>
          </w:p>
        </w:tc>
        <w:tc>
          <w:tcPr>
            <w:tcW w:w="940" w:type="dxa"/>
            <w:tcBorders>
              <w:top w:val="nil"/>
              <w:left w:val="nil"/>
              <w:bottom w:val="single" w:color="auto" w:sz="4" w:space="0"/>
              <w:right w:val="single" w:color="auto" w:sz="4" w:space="0"/>
            </w:tcBorders>
            <w:shd w:val="clear" w:color="auto" w:fill="auto"/>
            <w:vAlign w:val="center"/>
          </w:tcPr>
          <w:p w14:paraId="0962B002">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c>
          <w:tcPr>
            <w:tcW w:w="940" w:type="dxa"/>
            <w:tcBorders>
              <w:top w:val="nil"/>
              <w:left w:val="nil"/>
              <w:bottom w:val="single" w:color="auto" w:sz="4" w:space="0"/>
              <w:right w:val="single" w:color="auto" w:sz="4" w:space="0"/>
            </w:tcBorders>
            <w:shd w:val="clear" w:color="auto" w:fill="auto"/>
            <w:vAlign w:val="center"/>
          </w:tcPr>
          <w:p w14:paraId="593D950B">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c>
          <w:tcPr>
            <w:tcW w:w="1120" w:type="dxa"/>
            <w:tcBorders>
              <w:top w:val="nil"/>
              <w:left w:val="nil"/>
              <w:bottom w:val="single" w:color="auto" w:sz="4" w:space="0"/>
              <w:right w:val="single" w:color="auto" w:sz="4" w:space="0"/>
            </w:tcBorders>
            <w:shd w:val="clear" w:color="auto" w:fill="auto"/>
            <w:vAlign w:val="center"/>
          </w:tcPr>
          <w:p w14:paraId="4CE8FB2B">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r>
      <w:tr w14:paraId="7BDD8E4D">
        <w:tblPrEx>
          <w:tblCellMar>
            <w:top w:w="0" w:type="dxa"/>
            <w:left w:w="108" w:type="dxa"/>
            <w:bottom w:w="0" w:type="dxa"/>
            <w:right w:w="108" w:type="dxa"/>
          </w:tblCellMar>
        </w:tblPrEx>
        <w:trPr>
          <w:trHeight w:val="810" w:hRule="atLeast"/>
        </w:trPr>
        <w:tc>
          <w:tcPr>
            <w:tcW w:w="2520" w:type="dxa"/>
            <w:tcBorders>
              <w:top w:val="nil"/>
              <w:left w:val="single" w:color="auto" w:sz="4" w:space="0"/>
              <w:bottom w:val="single" w:color="auto" w:sz="4" w:space="0"/>
              <w:right w:val="nil"/>
            </w:tcBorders>
            <w:shd w:val="clear" w:color="auto" w:fill="auto"/>
            <w:vAlign w:val="center"/>
          </w:tcPr>
          <w:p w14:paraId="7AA5C4BA">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其中：财政拨款</w:t>
            </w:r>
          </w:p>
        </w:tc>
        <w:tc>
          <w:tcPr>
            <w:tcW w:w="940" w:type="dxa"/>
            <w:tcBorders>
              <w:top w:val="nil"/>
              <w:left w:val="nil"/>
              <w:bottom w:val="single" w:color="auto" w:sz="4" w:space="0"/>
              <w:right w:val="single" w:color="auto" w:sz="4" w:space="0"/>
            </w:tcBorders>
            <w:shd w:val="clear" w:color="auto" w:fill="auto"/>
            <w:vAlign w:val="center"/>
          </w:tcPr>
          <w:p w14:paraId="195F1E44">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c>
          <w:tcPr>
            <w:tcW w:w="940" w:type="dxa"/>
            <w:tcBorders>
              <w:top w:val="nil"/>
              <w:left w:val="nil"/>
              <w:bottom w:val="single" w:color="auto" w:sz="4" w:space="0"/>
              <w:right w:val="nil"/>
            </w:tcBorders>
            <w:shd w:val="clear" w:color="auto" w:fill="auto"/>
            <w:vAlign w:val="center"/>
          </w:tcPr>
          <w:p w14:paraId="63246A18">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c>
          <w:tcPr>
            <w:tcW w:w="1980" w:type="dxa"/>
            <w:tcBorders>
              <w:top w:val="nil"/>
              <w:left w:val="nil"/>
              <w:bottom w:val="single" w:color="auto" w:sz="4" w:space="0"/>
              <w:right w:val="single" w:color="auto" w:sz="4" w:space="0"/>
            </w:tcBorders>
            <w:shd w:val="clear" w:color="auto" w:fill="auto"/>
            <w:vAlign w:val="center"/>
          </w:tcPr>
          <w:p w14:paraId="78284BE4">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xml:space="preserve">114,801,721.42 </w:t>
            </w:r>
          </w:p>
        </w:tc>
        <w:tc>
          <w:tcPr>
            <w:tcW w:w="460" w:type="dxa"/>
            <w:tcBorders>
              <w:top w:val="nil"/>
              <w:left w:val="nil"/>
              <w:bottom w:val="single" w:color="auto" w:sz="4" w:space="0"/>
              <w:right w:val="nil"/>
            </w:tcBorders>
            <w:shd w:val="clear" w:color="auto" w:fill="auto"/>
            <w:vAlign w:val="center"/>
          </w:tcPr>
          <w:p w14:paraId="107702B2">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c>
          <w:tcPr>
            <w:tcW w:w="2040" w:type="dxa"/>
            <w:tcBorders>
              <w:top w:val="nil"/>
              <w:left w:val="nil"/>
              <w:bottom w:val="single" w:color="auto" w:sz="4" w:space="0"/>
              <w:right w:val="single" w:color="auto" w:sz="4" w:space="0"/>
            </w:tcBorders>
            <w:shd w:val="clear" w:color="auto" w:fill="auto"/>
            <w:vAlign w:val="center"/>
          </w:tcPr>
          <w:p w14:paraId="404BF3FD">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xml:space="preserve">143,675,944.80 </w:t>
            </w:r>
          </w:p>
        </w:tc>
        <w:tc>
          <w:tcPr>
            <w:tcW w:w="860" w:type="dxa"/>
            <w:tcBorders>
              <w:top w:val="nil"/>
              <w:left w:val="nil"/>
              <w:bottom w:val="single" w:color="auto" w:sz="4" w:space="0"/>
              <w:right w:val="nil"/>
            </w:tcBorders>
            <w:shd w:val="clear" w:color="auto" w:fill="auto"/>
            <w:vAlign w:val="center"/>
          </w:tcPr>
          <w:p w14:paraId="5840DADC">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c>
          <w:tcPr>
            <w:tcW w:w="1880" w:type="dxa"/>
            <w:tcBorders>
              <w:top w:val="nil"/>
              <w:left w:val="nil"/>
              <w:bottom w:val="single" w:color="auto" w:sz="4" w:space="0"/>
              <w:right w:val="single" w:color="auto" w:sz="4" w:space="0"/>
            </w:tcBorders>
            <w:shd w:val="clear" w:color="auto" w:fill="auto"/>
            <w:vAlign w:val="center"/>
          </w:tcPr>
          <w:p w14:paraId="4D7B89AF">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xml:space="preserve">120,681,212.66 </w:t>
            </w:r>
          </w:p>
        </w:tc>
        <w:tc>
          <w:tcPr>
            <w:tcW w:w="940" w:type="dxa"/>
            <w:tcBorders>
              <w:top w:val="nil"/>
              <w:left w:val="nil"/>
              <w:bottom w:val="single" w:color="auto" w:sz="4" w:space="0"/>
              <w:right w:val="single" w:color="auto" w:sz="4" w:space="0"/>
            </w:tcBorders>
            <w:shd w:val="clear" w:color="auto" w:fill="auto"/>
            <w:vAlign w:val="center"/>
          </w:tcPr>
          <w:p w14:paraId="53E5E688">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84</w:t>
            </w:r>
          </w:p>
        </w:tc>
        <w:tc>
          <w:tcPr>
            <w:tcW w:w="940" w:type="dxa"/>
            <w:tcBorders>
              <w:top w:val="nil"/>
              <w:left w:val="nil"/>
              <w:bottom w:val="single" w:color="auto" w:sz="4" w:space="0"/>
              <w:right w:val="single" w:color="auto" w:sz="4" w:space="0"/>
            </w:tcBorders>
            <w:shd w:val="clear" w:color="auto" w:fill="auto"/>
            <w:vAlign w:val="center"/>
          </w:tcPr>
          <w:p w14:paraId="5AB7D7B6">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10.00</w:t>
            </w:r>
          </w:p>
        </w:tc>
        <w:tc>
          <w:tcPr>
            <w:tcW w:w="1120" w:type="dxa"/>
            <w:tcBorders>
              <w:top w:val="nil"/>
              <w:left w:val="nil"/>
              <w:bottom w:val="single" w:color="auto" w:sz="4" w:space="0"/>
              <w:right w:val="single" w:color="auto" w:sz="4" w:space="0"/>
            </w:tcBorders>
            <w:shd w:val="clear" w:color="auto" w:fill="auto"/>
            <w:vAlign w:val="center"/>
          </w:tcPr>
          <w:p w14:paraId="754CBA01">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xml:space="preserve">8.40 </w:t>
            </w:r>
          </w:p>
        </w:tc>
      </w:tr>
      <w:tr w14:paraId="29862899">
        <w:tblPrEx>
          <w:tblCellMar>
            <w:top w:w="0" w:type="dxa"/>
            <w:left w:w="108" w:type="dxa"/>
            <w:bottom w:w="0" w:type="dxa"/>
            <w:right w:w="108" w:type="dxa"/>
          </w:tblCellMar>
        </w:tblPrEx>
        <w:trPr>
          <w:trHeight w:val="540" w:hRule="atLeast"/>
        </w:trPr>
        <w:tc>
          <w:tcPr>
            <w:tcW w:w="2520" w:type="dxa"/>
            <w:tcBorders>
              <w:top w:val="nil"/>
              <w:left w:val="single" w:color="auto" w:sz="4" w:space="0"/>
              <w:bottom w:val="single" w:color="auto" w:sz="4" w:space="0"/>
              <w:right w:val="nil"/>
            </w:tcBorders>
            <w:shd w:val="clear" w:color="auto" w:fill="auto"/>
            <w:vAlign w:val="center"/>
          </w:tcPr>
          <w:p w14:paraId="4141040A">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一般公共预算</w:t>
            </w:r>
          </w:p>
        </w:tc>
        <w:tc>
          <w:tcPr>
            <w:tcW w:w="940" w:type="dxa"/>
            <w:tcBorders>
              <w:top w:val="nil"/>
              <w:left w:val="nil"/>
              <w:bottom w:val="single" w:color="auto" w:sz="4" w:space="0"/>
              <w:right w:val="single" w:color="auto" w:sz="4" w:space="0"/>
            </w:tcBorders>
            <w:shd w:val="clear" w:color="auto" w:fill="auto"/>
            <w:vAlign w:val="center"/>
          </w:tcPr>
          <w:p w14:paraId="5647380E">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c>
          <w:tcPr>
            <w:tcW w:w="940" w:type="dxa"/>
            <w:tcBorders>
              <w:top w:val="nil"/>
              <w:left w:val="nil"/>
              <w:bottom w:val="single" w:color="auto" w:sz="4" w:space="0"/>
              <w:right w:val="nil"/>
            </w:tcBorders>
            <w:shd w:val="clear" w:color="auto" w:fill="auto"/>
            <w:vAlign w:val="center"/>
          </w:tcPr>
          <w:p w14:paraId="4E54E33B">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c>
          <w:tcPr>
            <w:tcW w:w="1980" w:type="dxa"/>
            <w:tcBorders>
              <w:top w:val="nil"/>
              <w:left w:val="nil"/>
              <w:bottom w:val="single" w:color="auto" w:sz="4" w:space="0"/>
              <w:right w:val="single" w:color="auto" w:sz="4" w:space="0"/>
            </w:tcBorders>
            <w:shd w:val="clear" w:color="auto" w:fill="auto"/>
            <w:vAlign w:val="center"/>
          </w:tcPr>
          <w:p w14:paraId="39F80D59">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xml:space="preserve">114,801,721.42 </w:t>
            </w:r>
          </w:p>
        </w:tc>
        <w:tc>
          <w:tcPr>
            <w:tcW w:w="460" w:type="dxa"/>
            <w:tcBorders>
              <w:top w:val="nil"/>
              <w:left w:val="nil"/>
              <w:bottom w:val="single" w:color="auto" w:sz="4" w:space="0"/>
              <w:right w:val="nil"/>
            </w:tcBorders>
            <w:shd w:val="clear" w:color="auto" w:fill="auto"/>
            <w:vAlign w:val="center"/>
          </w:tcPr>
          <w:p w14:paraId="63FE5D57">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c>
          <w:tcPr>
            <w:tcW w:w="2040" w:type="dxa"/>
            <w:tcBorders>
              <w:top w:val="nil"/>
              <w:left w:val="nil"/>
              <w:bottom w:val="single" w:color="auto" w:sz="4" w:space="0"/>
              <w:right w:val="single" w:color="auto" w:sz="4" w:space="0"/>
            </w:tcBorders>
            <w:shd w:val="clear" w:color="auto" w:fill="auto"/>
            <w:vAlign w:val="center"/>
          </w:tcPr>
          <w:p w14:paraId="6E5BEB55">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xml:space="preserve">143,675,944.80 </w:t>
            </w:r>
          </w:p>
        </w:tc>
        <w:tc>
          <w:tcPr>
            <w:tcW w:w="860" w:type="dxa"/>
            <w:tcBorders>
              <w:top w:val="nil"/>
              <w:left w:val="nil"/>
              <w:bottom w:val="single" w:color="auto" w:sz="4" w:space="0"/>
              <w:right w:val="nil"/>
            </w:tcBorders>
            <w:shd w:val="clear" w:color="auto" w:fill="auto"/>
            <w:vAlign w:val="center"/>
          </w:tcPr>
          <w:p w14:paraId="3B8588D3">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c>
          <w:tcPr>
            <w:tcW w:w="1880" w:type="dxa"/>
            <w:tcBorders>
              <w:top w:val="nil"/>
              <w:left w:val="nil"/>
              <w:bottom w:val="single" w:color="auto" w:sz="4" w:space="0"/>
              <w:right w:val="single" w:color="auto" w:sz="4" w:space="0"/>
            </w:tcBorders>
            <w:shd w:val="clear" w:color="auto" w:fill="auto"/>
            <w:vAlign w:val="center"/>
          </w:tcPr>
          <w:p w14:paraId="5A9BCA78">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xml:space="preserve">120,681,212.66 </w:t>
            </w:r>
          </w:p>
        </w:tc>
        <w:tc>
          <w:tcPr>
            <w:tcW w:w="940" w:type="dxa"/>
            <w:tcBorders>
              <w:top w:val="nil"/>
              <w:left w:val="nil"/>
              <w:bottom w:val="single" w:color="auto" w:sz="4" w:space="0"/>
              <w:right w:val="single" w:color="auto" w:sz="4" w:space="0"/>
            </w:tcBorders>
            <w:shd w:val="clear" w:color="auto" w:fill="auto"/>
            <w:vAlign w:val="center"/>
          </w:tcPr>
          <w:p w14:paraId="1B13C461">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84</w:t>
            </w:r>
          </w:p>
        </w:tc>
        <w:tc>
          <w:tcPr>
            <w:tcW w:w="940" w:type="dxa"/>
            <w:tcBorders>
              <w:top w:val="nil"/>
              <w:left w:val="nil"/>
              <w:bottom w:val="single" w:color="auto" w:sz="4" w:space="0"/>
              <w:right w:val="single" w:color="auto" w:sz="4" w:space="0"/>
            </w:tcBorders>
            <w:shd w:val="clear" w:color="auto" w:fill="auto"/>
            <w:vAlign w:val="center"/>
          </w:tcPr>
          <w:p w14:paraId="2ECADCE7">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c>
          <w:tcPr>
            <w:tcW w:w="1120" w:type="dxa"/>
            <w:tcBorders>
              <w:top w:val="nil"/>
              <w:left w:val="nil"/>
              <w:bottom w:val="single" w:color="auto" w:sz="4" w:space="0"/>
              <w:right w:val="single" w:color="auto" w:sz="4" w:space="0"/>
            </w:tcBorders>
            <w:shd w:val="clear" w:color="auto" w:fill="auto"/>
            <w:vAlign w:val="center"/>
          </w:tcPr>
          <w:p w14:paraId="4DCEED16">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r>
      <w:tr w14:paraId="18A64F31">
        <w:tblPrEx>
          <w:tblCellMar>
            <w:top w:w="0" w:type="dxa"/>
            <w:left w:w="108" w:type="dxa"/>
            <w:bottom w:w="0" w:type="dxa"/>
            <w:right w:w="108" w:type="dxa"/>
          </w:tblCellMar>
        </w:tblPrEx>
        <w:trPr>
          <w:trHeight w:val="420" w:hRule="atLeast"/>
        </w:trPr>
        <w:tc>
          <w:tcPr>
            <w:tcW w:w="1462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0EC8FCE1">
            <w:pPr>
              <w:jc w:val="center"/>
              <w:rPr>
                <w:rFonts w:hint="default" w:ascii="Times New Roman" w:hAnsi="Times New Roman" w:eastAsia="微软雅黑" w:cs="Times New Roman"/>
                <w:b/>
                <w:bCs/>
                <w:color w:val="000000" w:themeColor="text1"/>
                <w:sz w:val="28"/>
                <w:szCs w:val="28"/>
              </w:rPr>
            </w:pPr>
            <w:r>
              <w:rPr>
                <w:rFonts w:hint="default" w:ascii="Times New Roman" w:hAnsi="Times New Roman" w:eastAsia="微软雅黑" w:cs="Times New Roman"/>
                <w:b/>
                <w:bCs/>
                <w:color w:val="000000" w:themeColor="text1"/>
                <w:sz w:val="28"/>
                <w:szCs w:val="28"/>
              </w:rPr>
              <w:t>绩效目标</w:t>
            </w:r>
          </w:p>
        </w:tc>
      </w:tr>
      <w:tr w14:paraId="4515F316">
        <w:tblPrEx>
          <w:tblCellMar>
            <w:top w:w="0" w:type="dxa"/>
            <w:left w:w="108" w:type="dxa"/>
            <w:bottom w:w="0" w:type="dxa"/>
            <w:right w:w="108" w:type="dxa"/>
          </w:tblCellMar>
        </w:tblPrEx>
        <w:trPr>
          <w:trHeight w:val="270" w:hRule="atLeast"/>
        </w:trPr>
        <w:tc>
          <w:tcPr>
            <w:tcW w:w="63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B6D03DB">
            <w:pPr>
              <w:jc w:val="center"/>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年初绩效目标</w:t>
            </w:r>
          </w:p>
        </w:tc>
        <w:tc>
          <w:tcPr>
            <w:tcW w:w="5240" w:type="dxa"/>
            <w:gridSpan w:val="4"/>
            <w:tcBorders>
              <w:top w:val="single" w:color="auto" w:sz="4" w:space="0"/>
              <w:left w:val="nil"/>
              <w:bottom w:val="single" w:color="auto" w:sz="4" w:space="0"/>
              <w:right w:val="single" w:color="auto" w:sz="4" w:space="0"/>
            </w:tcBorders>
            <w:shd w:val="clear" w:color="auto" w:fill="auto"/>
            <w:vAlign w:val="center"/>
          </w:tcPr>
          <w:p w14:paraId="7883177D">
            <w:pPr>
              <w:jc w:val="center"/>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全年（调整）绩效目标</w:t>
            </w:r>
          </w:p>
        </w:tc>
        <w:tc>
          <w:tcPr>
            <w:tcW w:w="3000" w:type="dxa"/>
            <w:gridSpan w:val="3"/>
            <w:tcBorders>
              <w:top w:val="single" w:color="auto" w:sz="4" w:space="0"/>
              <w:left w:val="nil"/>
              <w:bottom w:val="single" w:color="auto" w:sz="4" w:space="0"/>
              <w:right w:val="single" w:color="auto" w:sz="4" w:space="0"/>
            </w:tcBorders>
            <w:shd w:val="clear" w:color="auto" w:fill="auto"/>
            <w:vAlign w:val="center"/>
          </w:tcPr>
          <w:p w14:paraId="4482DF6D">
            <w:pPr>
              <w:jc w:val="center"/>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全年目标实际完成情况</w:t>
            </w:r>
          </w:p>
        </w:tc>
      </w:tr>
      <w:tr w14:paraId="260C7603">
        <w:tblPrEx>
          <w:tblCellMar>
            <w:top w:w="0" w:type="dxa"/>
            <w:left w:w="108" w:type="dxa"/>
            <w:bottom w:w="0" w:type="dxa"/>
            <w:right w:w="108" w:type="dxa"/>
          </w:tblCellMar>
        </w:tblPrEx>
        <w:trPr>
          <w:trHeight w:val="1665" w:hRule="atLeast"/>
        </w:trPr>
        <w:tc>
          <w:tcPr>
            <w:tcW w:w="6380" w:type="dxa"/>
            <w:gridSpan w:val="4"/>
            <w:tcBorders>
              <w:top w:val="single" w:color="auto" w:sz="4" w:space="0"/>
              <w:left w:val="single" w:color="auto" w:sz="4" w:space="0"/>
              <w:bottom w:val="single" w:color="auto" w:sz="4" w:space="0"/>
              <w:right w:val="single" w:color="auto" w:sz="4" w:space="0"/>
            </w:tcBorders>
            <w:shd w:val="clear" w:color="auto" w:fill="auto"/>
          </w:tcPr>
          <w:p w14:paraId="620D084D">
            <w:pPr>
              <w:rPr>
                <w:rFonts w:hint="default" w:ascii="Times New Roman" w:hAnsi="Times New Roman" w:eastAsia="宋体" w:cs="Times New Roman"/>
                <w:color w:val="000000" w:themeColor="text1"/>
                <w:sz w:val="22"/>
                <w:szCs w:val="22"/>
                <w:lang w:eastAsia="zh-CN"/>
              </w:rPr>
            </w:pPr>
            <w:r>
              <w:rPr>
                <w:rFonts w:hint="default" w:ascii="Times New Roman" w:hAnsi="Times New Roman" w:cs="Times New Roman"/>
                <w:color w:val="000000" w:themeColor="text1"/>
                <w:sz w:val="22"/>
                <w:szCs w:val="22"/>
              </w:rPr>
              <w:t>承办农村劳动力开发就业工作，承担组织农村劳动力跨地区流动和外出务工人员返乡创业；承办外出务工人员的宣传、组织、输出登记和资料建档工作；承办劳务输出的后续服务工作；承担劳务经纪人指导、管理工作；负责掌握重点产业用工需求和人力资源供给情况；负责指导各镇乡街完成重点产业企业招工任务；负责审查重点产业企业定向就业补贴和招聘补贴等工作；负责对重点产业企业招工和用工情况进行统计、上报等工作。负责劳务输出基地建设，指导农村劳动力有序流动，开展流动就业重点监控工作</w:t>
            </w:r>
            <w:r>
              <w:rPr>
                <w:rFonts w:hint="default" w:ascii="Times New Roman" w:hAnsi="Times New Roman" w:cs="Times New Roman"/>
                <w:color w:val="000000" w:themeColor="text1"/>
                <w:sz w:val="22"/>
                <w:szCs w:val="22"/>
                <w:lang w:eastAsia="zh-CN"/>
              </w:rPr>
              <w:t>。</w:t>
            </w:r>
          </w:p>
        </w:tc>
        <w:tc>
          <w:tcPr>
            <w:tcW w:w="5240" w:type="dxa"/>
            <w:gridSpan w:val="4"/>
            <w:tcBorders>
              <w:top w:val="single" w:color="auto" w:sz="4" w:space="0"/>
              <w:left w:val="nil"/>
              <w:bottom w:val="single" w:color="auto" w:sz="4" w:space="0"/>
              <w:right w:val="single" w:color="auto" w:sz="4" w:space="0"/>
            </w:tcBorders>
            <w:shd w:val="clear" w:color="auto" w:fill="auto"/>
          </w:tcPr>
          <w:p w14:paraId="3F402310">
            <w:pPr>
              <w:rPr>
                <w:rFonts w:hint="default" w:ascii="Times New Roman" w:hAnsi="Times New Roman" w:eastAsia="宋体" w:cs="Times New Roman"/>
                <w:color w:val="000000" w:themeColor="text1"/>
                <w:sz w:val="22"/>
                <w:szCs w:val="22"/>
                <w:lang w:eastAsia="zh-CN"/>
              </w:rPr>
            </w:pPr>
            <w:r>
              <w:rPr>
                <w:rFonts w:hint="default" w:ascii="Times New Roman" w:hAnsi="Times New Roman" w:cs="Times New Roman"/>
                <w:color w:val="000000" w:themeColor="text1"/>
                <w:sz w:val="22"/>
                <w:szCs w:val="22"/>
              </w:rPr>
              <w:t>　承办农村劳动力开发就业工作，承担组织农村劳动力跨地区流动和外出务工人员返乡创业；承办外出务工人员的宣传、组织、输出登记和资料建档工作；承办劳务输出的后续服务工作；承担劳务经纪人指导、管理工作；负责掌握重点产业用工需求和人力资源供给情况；负责指导各镇乡街完成重点产业企业招工任务；负责审查重点产业企业定向就业补贴和招聘补贴等工作；负责对重点产业企业招工和用工情况进行统计、上报等工作。负责劳务输出基地建设，指导农村劳动力有序流动，开展流动就业重点监控工作</w:t>
            </w:r>
            <w:r>
              <w:rPr>
                <w:rFonts w:hint="default" w:ascii="Times New Roman" w:hAnsi="Times New Roman" w:cs="Times New Roman"/>
                <w:color w:val="000000" w:themeColor="text1"/>
                <w:sz w:val="22"/>
                <w:szCs w:val="22"/>
                <w:lang w:eastAsia="zh-CN"/>
              </w:rPr>
              <w:t>。</w:t>
            </w:r>
          </w:p>
        </w:tc>
        <w:tc>
          <w:tcPr>
            <w:tcW w:w="3000" w:type="dxa"/>
            <w:gridSpan w:val="3"/>
            <w:tcBorders>
              <w:top w:val="single" w:color="auto" w:sz="4" w:space="0"/>
              <w:left w:val="nil"/>
              <w:bottom w:val="single" w:color="auto" w:sz="4" w:space="0"/>
              <w:right w:val="single" w:color="auto" w:sz="4" w:space="0"/>
            </w:tcBorders>
            <w:shd w:val="clear" w:color="auto" w:fill="auto"/>
          </w:tcPr>
          <w:p w14:paraId="6675DB6F">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就业工作高质完成。今年脱贫人口务工就业35085人，比目标任务人数33856人多1229人，实现脱贫人口务工就业规模不减目标。全县城镇新增就业6058人，完成目标任务4700人的128.89%。离校未就业高校毕业生就业率97.34%，超目标任务7.34个百分点，贫困大学生就业率100%。转移脱贫人口到山东就业77人，完成目标任务40人的192.5%；为10个就业帮扶车间发放带动就业示范奖补32万元，落实公益性岗位“两样补贴”2099人2890万元，落实脱贫人口交通补贴市外16383人374.14万元、市内10150人50.80万元；结合重点产业企业需求，举办电子器件装配、电工、全媒体运营师、丰都麻辣鸡块制作等技能培训，开展职业技能培训4679人次，重点群体就业率64%。社保体系建设持续完善。全县养老保险参保52.98万人（其中在职37.07万人，退休15.91万人），其中城镇职工养老保险参保11.48万人，机关事业单位养老保险参保1.95万人，城乡居民养老保险参保39.55万人；工伤保险参保6.72万人，其中建筑项目参保2.4万人；基金收支平稳运行。全县养老保险收入34.54亿元、支出35.05亿元，职业年金征收2.28亿元、支出2.27亿元，工伤保险征收0.49亿元，支出0.49亿元；通过事业单位公招、特岗教师招聘、“三支一扶”招募等成功引进人才376名，其中博士研究生1名，硕士研究生51名，学士306余名。兑现安家补助116.62万元；申报新重庆人才卡A卡人才4名，认定B卡人才49人；申报“鸿雁计划”人才4名，兑现人才奖励和引才补助18万元。全年累计开展急需紧缺人才引进、国企人才招聘、就业民生360直播招聘等引才活动18场次，从市外引进各类人才348名。举办成渝地区双城经济圈专家服务团“走进丰都”活动，邀请能源、材料、食品、畜牧、医疗、文旅等7个行业领域的13个专家到丰智力服务，解决重大技术难题23个。劳动关系构建和谐稳定。狠抓保障农民工工资工作。强力推进农民工工资“一金三制”，每月通报乡镇（街道）、县级单位、重点企业“一金三制”完成情况，严格考核逗硬。加强欠薪排查治理，开展欠薪隐患排查治理2次，检查各类用人单位（建设项目）182户（个），涉及劳动者8170人；实抓劳动保障监察工作。开展各类专项执法检查活动6次，检查各类用人单位425家、涉及劳动者19824人。积极推进丰都县2022年企业劳动保障守法诚信等级评价工作，评选A级企业19家、B级企业189家；细抓劳动人事争议仲裁工作。围绕提升劳动人事争议处理效能，贯彻“快速、灵活、全程”调解机制，提高仲裁案件调解率。共立案受理各类劳动争议案件148件，结案147件，结案率为99%。</w:t>
            </w:r>
          </w:p>
        </w:tc>
      </w:tr>
      <w:tr w14:paraId="14D6F0EC">
        <w:tblPrEx>
          <w:tblCellMar>
            <w:top w:w="0" w:type="dxa"/>
            <w:left w:w="108" w:type="dxa"/>
            <w:bottom w:w="0" w:type="dxa"/>
            <w:right w:w="108" w:type="dxa"/>
          </w:tblCellMar>
        </w:tblPrEx>
        <w:trPr>
          <w:trHeight w:val="420" w:hRule="atLeast"/>
        </w:trPr>
        <w:tc>
          <w:tcPr>
            <w:tcW w:w="1462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4A915686">
            <w:pPr>
              <w:jc w:val="center"/>
              <w:rPr>
                <w:rFonts w:hint="default" w:ascii="Times New Roman" w:hAnsi="Times New Roman" w:eastAsia="微软雅黑" w:cs="Times New Roman"/>
                <w:b/>
                <w:bCs/>
                <w:color w:val="000000" w:themeColor="text1"/>
                <w:sz w:val="28"/>
                <w:szCs w:val="28"/>
              </w:rPr>
            </w:pPr>
            <w:r>
              <w:rPr>
                <w:rFonts w:hint="default" w:ascii="Times New Roman" w:hAnsi="Times New Roman" w:eastAsia="微软雅黑" w:cs="Times New Roman"/>
                <w:b/>
                <w:bCs/>
                <w:color w:val="000000" w:themeColor="text1"/>
                <w:sz w:val="28"/>
                <w:szCs w:val="28"/>
              </w:rPr>
              <w:t>绩效指标</w:t>
            </w:r>
          </w:p>
        </w:tc>
      </w:tr>
      <w:tr w14:paraId="38C0119D">
        <w:tblPrEx>
          <w:tblCellMar>
            <w:top w:w="0" w:type="dxa"/>
            <w:left w:w="108" w:type="dxa"/>
            <w:bottom w:w="0" w:type="dxa"/>
            <w:right w:w="108" w:type="dxa"/>
          </w:tblCellMar>
        </w:tblPrEx>
        <w:trPr>
          <w:trHeight w:val="810" w:hRule="atLeast"/>
        </w:trPr>
        <w:tc>
          <w:tcPr>
            <w:tcW w:w="2520" w:type="dxa"/>
            <w:tcBorders>
              <w:top w:val="nil"/>
              <w:left w:val="single" w:color="auto" w:sz="4" w:space="0"/>
              <w:bottom w:val="single" w:color="auto" w:sz="4" w:space="0"/>
              <w:right w:val="single" w:color="auto" w:sz="4" w:space="0"/>
            </w:tcBorders>
            <w:shd w:val="clear" w:color="auto" w:fill="auto"/>
            <w:vAlign w:val="center"/>
          </w:tcPr>
          <w:p w14:paraId="125A6AF0">
            <w:pPr>
              <w:jc w:val="center"/>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指标名称</w:t>
            </w:r>
          </w:p>
        </w:tc>
        <w:tc>
          <w:tcPr>
            <w:tcW w:w="940" w:type="dxa"/>
            <w:tcBorders>
              <w:top w:val="nil"/>
              <w:left w:val="nil"/>
              <w:bottom w:val="single" w:color="auto" w:sz="4" w:space="0"/>
              <w:right w:val="single" w:color="auto" w:sz="4" w:space="0"/>
            </w:tcBorders>
            <w:shd w:val="clear" w:color="auto" w:fill="auto"/>
            <w:vAlign w:val="center"/>
          </w:tcPr>
          <w:p w14:paraId="56954A42">
            <w:pPr>
              <w:jc w:val="center"/>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计量单位</w:t>
            </w:r>
          </w:p>
        </w:tc>
        <w:tc>
          <w:tcPr>
            <w:tcW w:w="940" w:type="dxa"/>
            <w:tcBorders>
              <w:top w:val="nil"/>
              <w:left w:val="nil"/>
              <w:bottom w:val="single" w:color="auto" w:sz="4" w:space="0"/>
              <w:right w:val="single" w:color="auto" w:sz="4" w:space="0"/>
            </w:tcBorders>
            <w:shd w:val="clear" w:color="auto" w:fill="auto"/>
            <w:vAlign w:val="center"/>
          </w:tcPr>
          <w:p w14:paraId="493AF211">
            <w:pPr>
              <w:jc w:val="center"/>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指标性质</w:t>
            </w:r>
          </w:p>
        </w:tc>
        <w:tc>
          <w:tcPr>
            <w:tcW w:w="1980" w:type="dxa"/>
            <w:tcBorders>
              <w:top w:val="nil"/>
              <w:left w:val="nil"/>
              <w:bottom w:val="single" w:color="auto" w:sz="4" w:space="0"/>
              <w:right w:val="single" w:color="auto" w:sz="4" w:space="0"/>
            </w:tcBorders>
            <w:shd w:val="clear" w:color="auto" w:fill="auto"/>
            <w:vAlign w:val="center"/>
          </w:tcPr>
          <w:p w14:paraId="08229406">
            <w:pPr>
              <w:jc w:val="center"/>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指标值</w:t>
            </w:r>
          </w:p>
        </w:tc>
        <w:tc>
          <w:tcPr>
            <w:tcW w:w="460" w:type="dxa"/>
            <w:tcBorders>
              <w:top w:val="nil"/>
              <w:left w:val="nil"/>
              <w:bottom w:val="single" w:color="auto" w:sz="4" w:space="0"/>
              <w:right w:val="single" w:color="auto" w:sz="4" w:space="0"/>
            </w:tcBorders>
            <w:shd w:val="clear" w:color="auto" w:fill="auto"/>
            <w:vAlign w:val="center"/>
          </w:tcPr>
          <w:p w14:paraId="00BE8853">
            <w:pPr>
              <w:jc w:val="center"/>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全年完成值</w:t>
            </w:r>
          </w:p>
        </w:tc>
        <w:tc>
          <w:tcPr>
            <w:tcW w:w="2040" w:type="dxa"/>
            <w:tcBorders>
              <w:top w:val="nil"/>
              <w:left w:val="nil"/>
              <w:bottom w:val="single" w:color="auto" w:sz="4" w:space="0"/>
              <w:right w:val="single" w:color="auto" w:sz="4" w:space="0"/>
            </w:tcBorders>
            <w:shd w:val="clear" w:color="auto" w:fill="auto"/>
            <w:vAlign w:val="center"/>
          </w:tcPr>
          <w:p w14:paraId="3DB49995">
            <w:pPr>
              <w:jc w:val="center"/>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偏离度（%）</w:t>
            </w:r>
          </w:p>
        </w:tc>
        <w:tc>
          <w:tcPr>
            <w:tcW w:w="860" w:type="dxa"/>
            <w:tcBorders>
              <w:top w:val="nil"/>
              <w:left w:val="nil"/>
              <w:bottom w:val="single" w:color="auto" w:sz="4" w:space="0"/>
              <w:right w:val="single" w:color="auto" w:sz="4" w:space="0"/>
            </w:tcBorders>
            <w:shd w:val="clear" w:color="auto" w:fill="auto"/>
            <w:vAlign w:val="center"/>
          </w:tcPr>
          <w:p w14:paraId="574B3E7B">
            <w:pPr>
              <w:jc w:val="center"/>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得分系数（%）</w:t>
            </w:r>
          </w:p>
        </w:tc>
        <w:tc>
          <w:tcPr>
            <w:tcW w:w="1880" w:type="dxa"/>
            <w:tcBorders>
              <w:top w:val="nil"/>
              <w:left w:val="nil"/>
              <w:bottom w:val="single" w:color="auto" w:sz="4" w:space="0"/>
              <w:right w:val="single" w:color="auto" w:sz="4" w:space="0"/>
            </w:tcBorders>
            <w:shd w:val="clear" w:color="auto" w:fill="auto"/>
            <w:vAlign w:val="center"/>
          </w:tcPr>
          <w:p w14:paraId="01CC8ABF">
            <w:pPr>
              <w:jc w:val="center"/>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指标权重</w:t>
            </w:r>
          </w:p>
        </w:tc>
        <w:tc>
          <w:tcPr>
            <w:tcW w:w="940" w:type="dxa"/>
            <w:tcBorders>
              <w:top w:val="nil"/>
              <w:left w:val="nil"/>
              <w:bottom w:val="single" w:color="auto" w:sz="4" w:space="0"/>
              <w:right w:val="single" w:color="auto" w:sz="4" w:space="0"/>
            </w:tcBorders>
            <w:shd w:val="clear" w:color="auto" w:fill="auto"/>
            <w:vAlign w:val="center"/>
          </w:tcPr>
          <w:p w14:paraId="0E207CA0">
            <w:pPr>
              <w:jc w:val="center"/>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指标得分</w:t>
            </w:r>
          </w:p>
        </w:tc>
        <w:tc>
          <w:tcPr>
            <w:tcW w:w="940" w:type="dxa"/>
            <w:tcBorders>
              <w:top w:val="nil"/>
              <w:left w:val="nil"/>
              <w:bottom w:val="single" w:color="auto" w:sz="4" w:space="0"/>
              <w:right w:val="single" w:color="auto" w:sz="4" w:space="0"/>
            </w:tcBorders>
            <w:shd w:val="clear" w:color="auto" w:fill="auto"/>
            <w:vAlign w:val="center"/>
          </w:tcPr>
          <w:p w14:paraId="5BC3A8BE">
            <w:pPr>
              <w:jc w:val="center"/>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是否核心指标</w:t>
            </w:r>
          </w:p>
        </w:tc>
        <w:tc>
          <w:tcPr>
            <w:tcW w:w="1120" w:type="dxa"/>
            <w:tcBorders>
              <w:top w:val="nil"/>
              <w:left w:val="nil"/>
              <w:bottom w:val="single" w:color="auto" w:sz="4" w:space="0"/>
              <w:right w:val="single" w:color="auto" w:sz="4" w:space="0"/>
            </w:tcBorders>
            <w:shd w:val="clear" w:color="auto" w:fill="auto"/>
            <w:vAlign w:val="center"/>
          </w:tcPr>
          <w:p w14:paraId="787E0453">
            <w:pPr>
              <w:jc w:val="center"/>
              <w:rPr>
                <w:rFonts w:hint="default" w:ascii="Times New Roman" w:hAnsi="Times New Roman" w:cs="Times New Roman"/>
                <w:b/>
                <w:bCs/>
                <w:color w:val="000000" w:themeColor="text1"/>
                <w:sz w:val="22"/>
                <w:szCs w:val="22"/>
              </w:rPr>
            </w:pPr>
            <w:r>
              <w:rPr>
                <w:rFonts w:hint="default" w:ascii="Times New Roman" w:hAnsi="Times New Roman" w:cs="Times New Roman"/>
                <w:b/>
                <w:bCs/>
                <w:color w:val="000000" w:themeColor="text1"/>
                <w:sz w:val="22"/>
                <w:szCs w:val="22"/>
              </w:rPr>
              <w:t>说明</w:t>
            </w:r>
          </w:p>
        </w:tc>
      </w:tr>
      <w:tr w14:paraId="0C1731BA">
        <w:tblPrEx>
          <w:tblCellMar>
            <w:top w:w="0" w:type="dxa"/>
            <w:left w:w="108" w:type="dxa"/>
            <w:bottom w:w="0" w:type="dxa"/>
            <w:right w:w="108" w:type="dxa"/>
          </w:tblCellMar>
        </w:tblPrEx>
        <w:trPr>
          <w:trHeight w:val="810" w:hRule="atLeast"/>
        </w:trPr>
        <w:tc>
          <w:tcPr>
            <w:tcW w:w="2520" w:type="dxa"/>
            <w:tcBorders>
              <w:top w:val="nil"/>
              <w:left w:val="single" w:color="auto" w:sz="4" w:space="0"/>
              <w:bottom w:val="single" w:color="auto" w:sz="4" w:space="0"/>
              <w:right w:val="single" w:color="auto" w:sz="4" w:space="0"/>
            </w:tcBorders>
            <w:shd w:val="clear" w:color="auto" w:fill="auto"/>
            <w:vAlign w:val="center"/>
          </w:tcPr>
          <w:p w14:paraId="154D3F5B">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解决贫困劳动力就业</w:t>
            </w:r>
          </w:p>
        </w:tc>
        <w:tc>
          <w:tcPr>
            <w:tcW w:w="940" w:type="dxa"/>
            <w:tcBorders>
              <w:top w:val="nil"/>
              <w:left w:val="nil"/>
              <w:bottom w:val="single" w:color="auto" w:sz="4" w:space="0"/>
              <w:right w:val="single" w:color="auto" w:sz="4" w:space="0"/>
            </w:tcBorders>
            <w:shd w:val="clear" w:color="auto" w:fill="auto"/>
            <w:vAlign w:val="center"/>
          </w:tcPr>
          <w:p w14:paraId="2C52F02D">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人</w:t>
            </w:r>
          </w:p>
        </w:tc>
        <w:tc>
          <w:tcPr>
            <w:tcW w:w="940" w:type="dxa"/>
            <w:tcBorders>
              <w:top w:val="nil"/>
              <w:left w:val="nil"/>
              <w:bottom w:val="single" w:color="auto" w:sz="4" w:space="0"/>
              <w:right w:val="single" w:color="auto" w:sz="4" w:space="0"/>
            </w:tcBorders>
            <w:shd w:val="clear" w:color="auto" w:fill="auto"/>
            <w:vAlign w:val="center"/>
          </w:tcPr>
          <w:p w14:paraId="39020ECD">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w:t>
            </w:r>
          </w:p>
        </w:tc>
        <w:tc>
          <w:tcPr>
            <w:tcW w:w="1980" w:type="dxa"/>
            <w:tcBorders>
              <w:top w:val="nil"/>
              <w:left w:val="nil"/>
              <w:bottom w:val="single" w:color="auto" w:sz="4" w:space="0"/>
              <w:right w:val="single" w:color="auto" w:sz="4" w:space="0"/>
            </w:tcBorders>
            <w:shd w:val="clear" w:color="auto" w:fill="auto"/>
            <w:vAlign w:val="center"/>
          </w:tcPr>
          <w:p w14:paraId="1C52F3A0">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2000</w:t>
            </w:r>
          </w:p>
        </w:tc>
        <w:tc>
          <w:tcPr>
            <w:tcW w:w="460" w:type="dxa"/>
            <w:tcBorders>
              <w:top w:val="nil"/>
              <w:left w:val="nil"/>
              <w:bottom w:val="single" w:color="auto" w:sz="4" w:space="0"/>
              <w:right w:val="single" w:color="auto" w:sz="4" w:space="0"/>
            </w:tcBorders>
            <w:shd w:val="clear" w:color="auto" w:fill="auto"/>
            <w:vAlign w:val="center"/>
          </w:tcPr>
          <w:p w14:paraId="3F83FC02">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2006</w:t>
            </w:r>
          </w:p>
        </w:tc>
        <w:tc>
          <w:tcPr>
            <w:tcW w:w="2040" w:type="dxa"/>
            <w:tcBorders>
              <w:top w:val="nil"/>
              <w:left w:val="nil"/>
              <w:bottom w:val="single" w:color="auto" w:sz="4" w:space="0"/>
              <w:right w:val="single" w:color="auto" w:sz="4" w:space="0"/>
            </w:tcBorders>
            <w:shd w:val="clear" w:color="auto" w:fill="auto"/>
            <w:vAlign w:val="center"/>
          </w:tcPr>
          <w:p w14:paraId="4B36EEB7">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0.3</w:t>
            </w:r>
          </w:p>
        </w:tc>
        <w:tc>
          <w:tcPr>
            <w:tcW w:w="860" w:type="dxa"/>
            <w:tcBorders>
              <w:top w:val="nil"/>
              <w:left w:val="nil"/>
              <w:bottom w:val="single" w:color="auto" w:sz="4" w:space="0"/>
              <w:right w:val="single" w:color="auto" w:sz="4" w:space="0"/>
            </w:tcBorders>
            <w:shd w:val="clear" w:color="auto" w:fill="auto"/>
            <w:vAlign w:val="center"/>
          </w:tcPr>
          <w:p w14:paraId="37CA7693">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100</w:t>
            </w:r>
          </w:p>
        </w:tc>
        <w:tc>
          <w:tcPr>
            <w:tcW w:w="1880" w:type="dxa"/>
            <w:tcBorders>
              <w:top w:val="nil"/>
              <w:left w:val="nil"/>
              <w:bottom w:val="single" w:color="auto" w:sz="4" w:space="0"/>
              <w:right w:val="single" w:color="auto" w:sz="4" w:space="0"/>
            </w:tcBorders>
            <w:shd w:val="clear" w:color="auto" w:fill="auto"/>
            <w:vAlign w:val="center"/>
          </w:tcPr>
          <w:p w14:paraId="27900EEC">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w:t>
            </w:r>
          </w:p>
        </w:tc>
        <w:tc>
          <w:tcPr>
            <w:tcW w:w="940" w:type="dxa"/>
            <w:tcBorders>
              <w:top w:val="nil"/>
              <w:left w:val="nil"/>
              <w:bottom w:val="single" w:color="auto" w:sz="4" w:space="0"/>
              <w:right w:val="single" w:color="auto" w:sz="4" w:space="0"/>
            </w:tcBorders>
            <w:shd w:val="clear" w:color="auto" w:fill="auto"/>
            <w:vAlign w:val="center"/>
          </w:tcPr>
          <w:p w14:paraId="2616FEB7">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w:t>
            </w:r>
          </w:p>
        </w:tc>
        <w:tc>
          <w:tcPr>
            <w:tcW w:w="940" w:type="dxa"/>
            <w:tcBorders>
              <w:top w:val="nil"/>
              <w:left w:val="nil"/>
              <w:bottom w:val="single" w:color="auto" w:sz="4" w:space="0"/>
              <w:right w:val="single" w:color="auto" w:sz="4" w:space="0"/>
            </w:tcBorders>
            <w:shd w:val="clear" w:color="auto" w:fill="auto"/>
            <w:vAlign w:val="center"/>
          </w:tcPr>
          <w:p w14:paraId="26077627">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否</w:t>
            </w:r>
          </w:p>
        </w:tc>
        <w:tc>
          <w:tcPr>
            <w:tcW w:w="1120" w:type="dxa"/>
            <w:tcBorders>
              <w:top w:val="nil"/>
              <w:left w:val="nil"/>
              <w:bottom w:val="single" w:color="auto" w:sz="4" w:space="0"/>
              <w:right w:val="single" w:color="auto" w:sz="4" w:space="0"/>
            </w:tcBorders>
            <w:shd w:val="clear" w:color="auto" w:fill="auto"/>
            <w:vAlign w:val="center"/>
          </w:tcPr>
          <w:p w14:paraId="6ED884DE">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r>
      <w:tr w14:paraId="0D23C2C4">
        <w:tblPrEx>
          <w:tblCellMar>
            <w:top w:w="0" w:type="dxa"/>
            <w:left w:w="108" w:type="dxa"/>
            <w:bottom w:w="0" w:type="dxa"/>
            <w:right w:w="108" w:type="dxa"/>
          </w:tblCellMar>
        </w:tblPrEx>
        <w:trPr>
          <w:trHeight w:val="1080" w:hRule="atLeast"/>
        </w:trPr>
        <w:tc>
          <w:tcPr>
            <w:tcW w:w="2520" w:type="dxa"/>
            <w:tcBorders>
              <w:top w:val="nil"/>
              <w:left w:val="single" w:color="auto" w:sz="4" w:space="0"/>
              <w:bottom w:val="single" w:color="auto" w:sz="4" w:space="0"/>
              <w:right w:val="single" w:color="auto" w:sz="4" w:space="0"/>
            </w:tcBorders>
            <w:shd w:val="clear" w:color="auto" w:fill="auto"/>
            <w:vAlign w:val="center"/>
          </w:tcPr>
          <w:p w14:paraId="1B989376">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三支一扶人员安家费发放</w:t>
            </w:r>
          </w:p>
        </w:tc>
        <w:tc>
          <w:tcPr>
            <w:tcW w:w="940" w:type="dxa"/>
            <w:tcBorders>
              <w:top w:val="nil"/>
              <w:left w:val="nil"/>
              <w:bottom w:val="single" w:color="auto" w:sz="4" w:space="0"/>
              <w:right w:val="single" w:color="auto" w:sz="4" w:space="0"/>
            </w:tcBorders>
            <w:shd w:val="clear" w:color="auto" w:fill="auto"/>
            <w:vAlign w:val="center"/>
          </w:tcPr>
          <w:p w14:paraId="26A094F5">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人</w:t>
            </w:r>
          </w:p>
        </w:tc>
        <w:tc>
          <w:tcPr>
            <w:tcW w:w="940" w:type="dxa"/>
            <w:tcBorders>
              <w:top w:val="nil"/>
              <w:left w:val="nil"/>
              <w:bottom w:val="single" w:color="auto" w:sz="4" w:space="0"/>
              <w:right w:val="single" w:color="auto" w:sz="4" w:space="0"/>
            </w:tcBorders>
            <w:shd w:val="clear" w:color="auto" w:fill="auto"/>
            <w:vAlign w:val="center"/>
          </w:tcPr>
          <w:p w14:paraId="4D204F41">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w:t>
            </w:r>
          </w:p>
        </w:tc>
        <w:tc>
          <w:tcPr>
            <w:tcW w:w="1980" w:type="dxa"/>
            <w:tcBorders>
              <w:top w:val="nil"/>
              <w:left w:val="nil"/>
              <w:bottom w:val="single" w:color="auto" w:sz="4" w:space="0"/>
              <w:right w:val="single" w:color="auto" w:sz="4" w:space="0"/>
            </w:tcBorders>
            <w:shd w:val="clear" w:color="auto" w:fill="auto"/>
            <w:vAlign w:val="center"/>
          </w:tcPr>
          <w:p w14:paraId="7CAF4179">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20</w:t>
            </w:r>
          </w:p>
        </w:tc>
        <w:tc>
          <w:tcPr>
            <w:tcW w:w="460" w:type="dxa"/>
            <w:tcBorders>
              <w:top w:val="nil"/>
              <w:left w:val="nil"/>
              <w:bottom w:val="single" w:color="auto" w:sz="4" w:space="0"/>
              <w:right w:val="single" w:color="auto" w:sz="4" w:space="0"/>
            </w:tcBorders>
            <w:shd w:val="clear" w:color="auto" w:fill="auto"/>
            <w:vAlign w:val="center"/>
          </w:tcPr>
          <w:p w14:paraId="39DFE942">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20</w:t>
            </w:r>
          </w:p>
        </w:tc>
        <w:tc>
          <w:tcPr>
            <w:tcW w:w="2040" w:type="dxa"/>
            <w:tcBorders>
              <w:top w:val="nil"/>
              <w:left w:val="nil"/>
              <w:bottom w:val="single" w:color="auto" w:sz="4" w:space="0"/>
              <w:right w:val="single" w:color="auto" w:sz="4" w:space="0"/>
            </w:tcBorders>
            <w:shd w:val="clear" w:color="auto" w:fill="auto"/>
            <w:vAlign w:val="center"/>
          </w:tcPr>
          <w:p w14:paraId="714EC646">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0</w:t>
            </w:r>
          </w:p>
        </w:tc>
        <w:tc>
          <w:tcPr>
            <w:tcW w:w="860" w:type="dxa"/>
            <w:tcBorders>
              <w:top w:val="nil"/>
              <w:left w:val="nil"/>
              <w:bottom w:val="single" w:color="auto" w:sz="4" w:space="0"/>
              <w:right w:val="single" w:color="auto" w:sz="4" w:space="0"/>
            </w:tcBorders>
            <w:shd w:val="clear" w:color="auto" w:fill="auto"/>
            <w:vAlign w:val="center"/>
          </w:tcPr>
          <w:p w14:paraId="170B1244">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100</w:t>
            </w:r>
          </w:p>
        </w:tc>
        <w:tc>
          <w:tcPr>
            <w:tcW w:w="1880" w:type="dxa"/>
            <w:tcBorders>
              <w:top w:val="nil"/>
              <w:left w:val="nil"/>
              <w:bottom w:val="single" w:color="auto" w:sz="4" w:space="0"/>
              <w:right w:val="single" w:color="auto" w:sz="4" w:space="0"/>
            </w:tcBorders>
            <w:shd w:val="clear" w:color="auto" w:fill="auto"/>
            <w:vAlign w:val="center"/>
          </w:tcPr>
          <w:p w14:paraId="34370A8A">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w:t>
            </w:r>
          </w:p>
        </w:tc>
        <w:tc>
          <w:tcPr>
            <w:tcW w:w="940" w:type="dxa"/>
            <w:tcBorders>
              <w:top w:val="nil"/>
              <w:left w:val="nil"/>
              <w:bottom w:val="single" w:color="auto" w:sz="4" w:space="0"/>
              <w:right w:val="single" w:color="auto" w:sz="4" w:space="0"/>
            </w:tcBorders>
            <w:shd w:val="clear" w:color="auto" w:fill="auto"/>
            <w:vAlign w:val="center"/>
          </w:tcPr>
          <w:p w14:paraId="35B63BC5">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w:t>
            </w:r>
          </w:p>
        </w:tc>
        <w:tc>
          <w:tcPr>
            <w:tcW w:w="940" w:type="dxa"/>
            <w:tcBorders>
              <w:top w:val="nil"/>
              <w:left w:val="nil"/>
              <w:bottom w:val="single" w:color="auto" w:sz="4" w:space="0"/>
              <w:right w:val="single" w:color="auto" w:sz="4" w:space="0"/>
            </w:tcBorders>
            <w:shd w:val="clear" w:color="auto" w:fill="auto"/>
            <w:vAlign w:val="center"/>
          </w:tcPr>
          <w:p w14:paraId="5FFADA14">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否</w:t>
            </w:r>
          </w:p>
        </w:tc>
        <w:tc>
          <w:tcPr>
            <w:tcW w:w="1120" w:type="dxa"/>
            <w:tcBorders>
              <w:top w:val="nil"/>
              <w:left w:val="nil"/>
              <w:bottom w:val="single" w:color="auto" w:sz="4" w:space="0"/>
              <w:right w:val="single" w:color="auto" w:sz="4" w:space="0"/>
            </w:tcBorders>
            <w:shd w:val="clear" w:color="auto" w:fill="auto"/>
            <w:vAlign w:val="center"/>
          </w:tcPr>
          <w:p w14:paraId="37169CF0">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r>
      <w:tr w14:paraId="31896422">
        <w:tblPrEx>
          <w:tblCellMar>
            <w:top w:w="0" w:type="dxa"/>
            <w:left w:w="108" w:type="dxa"/>
            <w:bottom w:w="0" w:type="dxa"/>
            <w:right w:w="108" w:type="dxa"/>
          </w:tblCellMar>
        </w:tblPrEx>
        <w:trPr>
          <w:trHeight w:val="1080" w:hRule="atLeast"/>
        </w:trPr>
        <w:tc>
          <w:tcPr>
            <w:tcW w:w="2520" w:type="dxa"/>
            <w:tcBorders>
              <w:top w:val="nil"/>
              <w:left w:val="single" w:color="auto" w:sz="4" w:space="0"/>
              <w:bottom w:val="single" w:color="auto" w:sz="4" w:space="0"/>
              <w:right w:val="single" w:color="auto" w:sz="4" w:space="0"/>
            </w:tcBorders>
            <w:shd w:val="clear" w:color="auto" w:fill="auto"/>
            <w:vAlign w:val="center"/>
          </w:tcPr>
          <w:p w14:paraId="7FC54439">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事业单位公招招聘人数</w:t>
            </w:r>
          </w:p>
        </w:tc>
        <w:tc>
          <w:tcPr>
            <w:tcW w:w="940" w:type="dxa"/>
            <w:tcBorders>
              <w:top w:val="nil"/>
              <w:left w:val="nil"/>
              <w:bottom w:val="single" w:color="auto" w:sz="4" w:space="0"/>
              <w:right w:val="single" w:color="auto" w:sz="4" w:space="0"/>
            </w:tcBorders>
            <w:shd w:val="clear" w:color="auto" w:fill="auto"/>
            <w:vAlign w:val="center"/>
          </w:tcPr>
          <w:p w14:paraId="0FD82022">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人</w:t>
            </w:r>
          </w:p>
        </w:tc>
        <w:tc>
          <w:tcPr>
            <w:tcW w:w="940" w:type="dxa"/>
            <w:tcBorders>
              <w:top w:val="nil"/>
              <w:left w:val="nil"/>
              <w:bottom w:val="single" w:color="auto" w:sz="4" w:space="0"/>
              <w:right w:val="single" w:color="auto" w:sz="4" w:space="0"/>
            </w:tcBorders>
            <w:shd w:val="clear" w:color="auto" w:fill="auto"/>
            <w:vAlign w:val="center"/>
          </w:tcPr>
          <w:p w14:paraId="53F7AD3E">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w:t>
            </w:r>
          </w:p>
        </w:tc>
        <w:tc>
          <w:tcPr>
            <w:tcW w:w="1980" w:type="dxa"/>
            <w:tcBorders>
              <w:top w:val="nil"/>
              <w:left w:val="nil"/>
              <w:bottom w:val="single" w:color="auto" w:sz="4" w:space="0"/>
              <w:right w:val="single" w:color="auto" w:sz="4" w:space="0"/>
            </w:tcBorders>
            <w:shd w:val="clear" w:color="auto" w:fill="auto"/>
            <w:vAlign w:val="center"/>
          </w:tcPr>
          <w:p w14:paraId="041D0A68">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180</w:t>
            </w:r>
          </w:p>
        </w:tc>
        <w:tc>
          <w:tcPr>
            <w:tcW w:w="460" w:type="dxa"/>
            <w:tcBorders>
              <w:top w:val="nil"/>
              <w:left w:val="nil"/>
              <w:bottom w:val="single" w:color="auto" w:sz="4" w:space="0"/>
              <w:right w:val="single" w:color="auto" w:sz="4" w:space="0"/>
            </w:tcBorders>
            <w:shd w:val="clear" w:color="auto" w:fill="auto"/>
            <w:vAlign w:val="center"/>
          </w:tcPr>
          <w:p w14:paraId="5C12070C">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251</w:t>
            </w:r>
          </w:p>
        </w:tc>
        <w:tc>
          <w:tcPr>
            <w:tcW w:w="2040" w:type="dxa"/>
            <w:tcBorders>
              <w:top w:val="nil"/>
              <w:left w:val="nil"/>
              <w:bottom w:val="single" w:color="auto" w:sz="4" w:space="0"/>
              <w:right w:val="single" w:color="auto" w:sz="4" w:space="0"/>
            </w:tcBorders>
            <w:shd w:val="clear" w:color="auto" w:fill="auto"/>
            <w:vAlign w:val="center"/>
          </w:tcPr>
          <w:p w14:paraId="7BA0959F">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39.44</w:t>
            </w:r>
          </w:p>
        </w:tc>
        <w:tc>
          <w:tcPr>
            <w:tcW w:w="860" w:type="dxa"/>
            <w:tcBorders>
              <w:top w:val="nil"/>
              <w:left w:val="nil"/>
              <w:bottom w:val="single" w:color="auto" w:sz="4" w:space="0"/>
              <w:right w:val="single" w:color="auto" w:sz="4" w:space="0"/>
            </w:tcBorders>
            <w:shd w:val="clear" w:color="auto" w:fill="auto"/>
            <w:vAlign w:val="center"/>
          </w:tcPr>
          <w:p w14:paraId="11E21BB4">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100</w:t>
            </w:r>
          </w:p>
        </w:tc>
        <w:tc>
          <w:tcPr>
            <w:tcW w:w="1880" w:type="dxa"/>
            <w:tcBorders>
              <w:top w:val="nil"/>
              <w:left w:val="nil"/>
              <w:bottom w:val="single" w:color="auto" w:sz="4" w:space="0"/>
              <w:right w:val="single" w:color="auto" w:sz="4" w:space="0"/>
            </w:tcBorders>
            <w:shd w:val="clear" w:color="auto" w:fill="auto"/>
            <w:vAlign w:val="center"/>
          </w:tcPr>
          <w:p w14:paraId="7A1FE36F">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w:t>
            </w:r>
          </w:p>
        </w:tc>
        <w:tc>
          <w:tcPr>
            <w:tcW w:w="940" w:type="dxa"/>
            <w:tcBorders>
              <w:top w:val="nil"/>
              <w:left w:val="nil"/>
              <w:bottom w:val="single" w:color="auto" w:sz="4" w:space="0"/>
              <w:right w:val="single" w:color="auto" w:sz="4" w:space="0"/>
            </w:tcBorders>
            <w:shd w:val="clear" w:color="auto" w:fill="auto"/>
            <w:vAlign w:val="center"/>
          </w:tcPr>
          <w:p w14:paraId="7AAEC170">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w:t>
            </w:r>
          </w:p>
        </w:tc>
        <w:tc>
          <w:tcPr>
            <w:tcW w:w="940" w:type="dxa"/>
            <w:tcBorders>
              <w:top w:val="nil"/>
              <w:left w:val="nil"/>
              <w:bottom w:val="single" w:color="auto" w:sz="4" w:space="0"/>
              <w:right w:val="single" w:color="auto" w:sz="4" w:space="0"/>
            </w:tcBorders>
            <w:shd w:val="clear" w:color="auto" w:fill="auto"/>
            <w:vAlign w:val="center"/>
          </w:tcPr>
          <w:p w14:paraId="5BE5F71A">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是</w:t>
            </w:r>
          </w:p>
        </w:tc>
        <w:tc>
          <w:tcPr>
            <w:tcW w:w="1120" w:type="dxa"/>
            <w:tcBorders>
              <w:top w:val="nil"/>
              <w:left w:val="nil"/>
              <w:bottom w:val="single" w:color="auto" w:sz="4" w:space="0"/>
              <w:right w:val="single" w:color="auto" w:sz="4" w:space="0"/>
            </w:tcBorders>
            <w:shd w:val="clear" w:color="auto" w:fill="auto"/>
            <w:vAlign w:val="center"/>
          </w:tcPr>
          <w:p w14:paraId="2D834968">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情况属实，实际招录251人</w:t>
            </w:r>
          </w:p>
        </w:tc>
      </w:tr>
      <w:tr w14:paraId="3CE8B333">
        <w:tblPrEx>
          <w:tblCellMar>
            <w:top w:w="0" w:type="dxa"/>
            <w:left w:w="108" w:type="dxa"/>
            <w:bottom w:w="0" w:type="dxa"/>
            <w:right w:w="108" w:type="dxa"/>
          </w:tblCellMar>
        </w:tblPrEx>
        <w:trPr>
          <w:trHeight w:val="1080" w:hRule="atLeast"/>
        </w:trPr>
        <w:tc>
          <w:tcPr>
            <w:tcW w:w="2520" w:type="dxa"/>
            <w:tcBorders>
              <w:top w:val="nil"/>
              <w:left w:val="single" w:color="auto" w:sz="4" w:space="0"/>
              <w:bottom w:val="single" w:color="auto" w:sz="4" w:space="0"/>
              <w:right w:val="single" w:color="auto" w:sz="4" w:space="0"/>
            </w:tcBorders>
            <w:shd w:val="clear" w:color="auto" w:fill="auto"/>
            <w:vAlign w:val="center"/>
          </w:tcPr>
          <w:p w14:paraId="2BFE1C0E">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创业担保贷款及时拨付</w:t>
            </w:r>
          </w:p>
        </w:tc>
        <w:tc>
          <w:tcPr>
            <w:tcW w:w="940" w:type="dxa"/>
            <w:tcBorders>
              <w:top w:val="nil"/>
              <w:left w:val="nil"/>
              <w:bottom w:val="single" w:color="auto" w:sz="4" w:space="0"/>
              <w:right w:val="single" w:color="auto" w:sz="4" w:space="0"/>
            </w:tcBorders>
            <w:shd w:val="clear" w:color="auto" w:fill="auto"/>
            <w:vAlign w:val="center"/>
          </w:tcPr>
          <w:p w14:paraId="371EB281">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c>
          <w:tcPr>
            <w:tcW w:w="940" w:type="dxa"/>
            <w:tcBorders>
              <w:top w:val="nil"/>
              <w:left w:val="nil"/>
              <w:bottom w:val="single" w:color="auto" w:sz="4" w:space="0"/>
              <w:right w:val="single" w:color="auto" w:sz="4" w:space="0"/>
            </w:tcBorders>
            <w:shd w:val="clear" w:color="auto" w:fill="auto"/>
            <w:vAlign w:val="center"/>
          </w:tcPr>
          <w:p w14:paraId="11CA72A8">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定性</w:t>
            </w:r>
          </w:p>
        </w:tc>
        <w:tc>
          <w:tcPr>
            <w:tcW w:w="1980" w:type="dxa"/>
            <w:tcBorders>
              <w:top w:val="nil"/>
              <w:left w:val="nil"/>
              <w:bottom w:val="single" w:color="auto" w:sz="4" w:space="0"/>
              <w:right w:val="single" w:color="auto" w:sz="4" w:space="0"/>
            </w:tcBorders>
            <w:shd w:val="clear" w:color="auto" w:fill="auto"/>
            <w:vAlign w:val="center"/>
          </w:tcPr>
          <w:p w14:paraId="7C43382F">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及时</w:t>
            </w:r>
          </w:p>
        </w:tc>
        <w:tc>
          <w:tcPr>
            <w:tcW w:w="460" w:type="dxa"/>
            <w:tcBorders>
              <w:top w:val="nil"/>
              <w:left w:val="nil"/>
              <w:bottom w:val="single" w:color="auto" w:sz="4" w:space="0"/>
              <w:right w:val="single" w:color="auto" w:sz="4" w:space="0"/>
            </w:tcBorders>
            <w:shd w:val="clear" w:color="auto" w:fill="auto"/>
            <w:vAlign w:val="center"/>
          </w:tcPr>
          <w:p w14:paraId="7DC96449">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w:t>
            </w:r>
          </w:p>
        </w:tc>
        <w:tc>
          <w:tcPr>
            <w:tcW w:w="2040" w:type="dxa"/>
            <w:tcBorders>
              <w:top w:val="nil"/>
              <w:left w:val="nil"/>
              <w:bottom w:val="single" w:color="auto" w:sz="4" w:space="0"/>
              <w:right w:val="single" w:color="auto" w:sz="4" w:space="0"/>
            </w:tcBorders>
            <w:shd w:val="clear" w:color="auto" w:fill="auto"/>
            <w:vAlign w:val="center"/>
          </w:tcPr>
          <w:p w14:paraId="7ADD4006">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0</w:t>
            </w:r>
          </w:p>
        </w:tc>
        <w:tc>
          <w:tcPr>
            <w:tcW w:w="860" w:type="dxa"/>
            <w:tcBorders>
              <w:top w:val="nil"/>
              <w:left w:val="nil"/>
              <w:bottom w:val="single" w:color="auto" w:sz="4" w:space="0"/>
              <w:right w:val="single" w:color="auto" w:sz="4" w:space="0"/>
            </w:tcBorders>
            <w:shd w:val="clear" w:color="auto" w:fill="auto"/>
            <w:vAlign w:val="center"/>
          </w:tcPr>
          <w:p w14:paraId="7658C25F">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100</w:t>
            </w:r>
          </w:p>
        </w:tc>
        <w:tc>
          <w:tcPr>
            <w:tcW w:w="1880" w:type="dxa"/>
            <w:tcBorders>
              <w:top w:val="nil"/>
              <w:left w:val="nil"/>
              <w:bottom w:val="single" w:color="auto" w:sz="4" w:space="0"/>
              <w:right w:val="single" w:color="auto" w:sz="4" w:space="0"/>
            </w:tcBorders>
            <w:shd w:val="clear" w:color="auto" w:fill="auto"/>
            <w:vAlign w:val="center"/>
          </w:tcPr>
          <w:p w14:paraId="473317C6">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w:t>
            </w:r>
          </w:p>
        </w:tc>
        <w:tc>
          <w:tcPr>
            <w:tcW w:w="940" w:type="dxa"/>
            <w:tcBorders>
              <w:top w:val="nil"/>
              <w:left w:val="nil"/>
              <w:bottom w:val="single" w:color="auto" w:sz="4" w:space="0"/>
              <w:right w:val="single" w:color="auto" w:sz="4" w:space="0"/>
            </w:tcBorders>
            <w:shd w:val="clear" w:color="auto" w:fill="auto"/>
            <w:vAlign w:val="center"/>
          </w:tcPr>
          <w:p w14:paraId="6936CD4A">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w:t>
            </w:r>
          </w:p>
        </w:tc>
        <w:tc>
          <w:tcPr>
            <w:tcW w:w="940" w:type="dxa"/>
            <w:tcBorders>
              <w:top w:val="nil"/>
              <w:left w:val="nil"/>
              <w:bottom w:val="single" w:color="auto" w:sz="4" w:space="0"/>
              <w:right w:val="single" w:color="auto" w:sz="4" w:space="0"/>
            </w:tcBorders>
            <w:shd w:val="clear" w:color="auto" w:fill="auto"/>
            <w:vAlign w:val="center"/>
          </w:tcPr>
          <w:p w14:paraId="7D8305D0">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是</w:t>
            </w:r>
          </w:p>
        </w:tc>
        <w:tc>
          <w:tcPr>
            <w:tcW w:w="1120" w:type="dxa"/>
            <w:tcBorders>
              <w:top w:val="nil"/>
              <w:left w:val="nil"/>
              <w:bottom w:val="single" w:color="auto" w:sz="4" w:space="0"/>
              <w:right w:val="single" w:color="auto" w:sz="4" w:space="0"/>
            </w:tcBorders>
            <w:shd w:val="clear" w:color="auto" w:fill="auto"/>
            <w:vAlign w:val="center"/>
          </w:tcPr>
          <w:p w14:paraId="78AE6B7E">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r>
      <w:tr w14:paraId="06A4FB7F">
        <w:tblPrEx>
          <w:tblCellMar>
            <w:top w:w="0" w:type="dxa"/>
            <w:left w:w="108" w:type="dxa"/>
            <w:bottom w:w="0" w:type="dxa"/>
            <w:right w:w="108" w:type="dxa"/>
          </w:tblCellMar>
        </w:tblPrEx>
        <w:trPr>
          <w:trHeight w:val="1080" w:hRule="atLeast"/>
        </w:trPr>
        <w:tc>
          <w:tcPr>
            <w:tcW w:w="2520" w:type="dxa"/>
            <w:tcBorders>
              <w:top w:val="nil"/>
              <w:left w:val="single" w:color="auto" w:sz="4" w:space="0"/>
              <w:bottom w:val="single" w:color="auto" w:sz="4" w:space="0"/>
              <w:right w:val="single" w:color="auto" w:sz="4" w:space="0"/>
            </w:tcBorders>
            <w:shd w:val="clear" w:color="auto" w:fill="auto"/>
            <w:vAlign w:val="center"/>
          </w:tcPr>
          <w:p w14:paraId="7154F86A">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所有代发对象按时代发到位</w:t>
            </w:r>
          </w:p>
        </w:tc>
        <w:tc>
          <w:tcPr>
            <w:tcW w:w="940" w:type="dxa"/>
            <w:tcBorders>
              <w:top w:val="nil"/>
              <w:left w:val="nil"/>
              <w:bottom w:val="single" w:color="auto" w:sz="4" w:space="0"/>
              <w:right w:val="single" w:color="auto" w:sz="4" w:space="0"/>
            </w:tcBorders>
            <w:shd w:val="clear" w:color="auto" w:fill="auto"/>
            <w:vAlign w:val="center"/>
          </w:tcPr>
          <w:p w14:paraId="782BE4F7">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c>
          <w:tcPr>
            <w:tcW w:w="940" w:type="dxa"/>
            <w:tcBorders>
              <w:top w:val="nil"/>
              <w:left w:val="nil"/>
              <w:bottom w:val="single" w:color="auto" w:sz="4" w:space="0"/>
              <w:right w:val="single" w:color="auto" w:sz="4" w:space="0"/>
            </w:tcBorders>
            <w:shd w:val="clear" w:color="auto" w:fill="auto"/>
            <w:vAlign w:val="center"/>
          </w:tcPr>
          <w:p w14:paraId="1F8DF561">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定性</w:t>
            </w:r>
          </w:p>
        </w:tc>
        <w:tc>
          <w:tcPr>
            <w:tcW w:w="1980" w:type="dxa"/>
            <w:tcBorders>
              <w:top w:val="nil"/>
              <w:left w:val="nil"/>
              <w:bottom w:val="single" w:color="auto" w:sz="4" w:space="0"/>
              <w:right w:val="single" w:color="auto" w:sz="4" w:space="0"/>
            </w:tcBorders>
            <w:shd w:val="clear" w:color="auto" w:fill="auto"/>
            <w:vAlign w:val="center"/>
          </w:tcPr>
          <w:p w14:paraId="0D45571C">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及时</w:t>
            </w:r>
          </w:p>
        </w:tc>
        <w:tc>
          <w:tcPr>
            <w:tcW w:w="460" w:type="dxa"/>
            <w:tcBorders>
              <w:top w:val="nil"/>
              <w:left w:val="nil"/>
              <w:bottom w:val="single" w:color="auto" w:sz="4" w:space="0"/>
              <w:right w:val="single" w:color="auto" w:sz="4" w:space="0"/>
            </w:tcBorders>
            <w:shd w:val="clear" w:color="auto" w:fill="auto"/>
            <w:vAlign w:val="center"/>
          </w:tcPr>
          <w:p w14:paraId="0168FF81">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w:t>
            </w:r>
          </w:p>
        </w:tc>
        <w:tc>
          <w:tcPr>
            <w:tcW w:w="2040" w:type="dxa"/>
            <w:tcBorders>
              <w:top w:val="nil"/>
              <w:left w:val="nil"/>
              <w:bottom w:val="single" w:color="auto" w:sz="4" w:space="0"/>
              <w:right w:val="single" w:color="auto" w:sz="4" w:space="0"/>
            </w:tcBorders>
            <w:shd w:val="clear" w:color="auto" w:fill="auto"/>
            <w:vAlign w:val="center"/>
          </w:tcPr>
          <w:p w14:paraId="586E2893">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0</w:t>
            </w:r>
          </w:p>
        </w:tc>
        <w:tc>
          <w:tcPr>
            <w:tcW w:w="860" w:type="dxa"/>
            <w:tcBorders>
              <w:top w:val="nil"/>
              <w:left w:val="nil"/>
              <w:bottom w:val="single" w:color="auto" w:sz="4" w:space="0"/>
              <w:right w:val="single" w:color="auto" w:sz="4" w:space="0"/>
            </w:tcBorders>
            <w:shd w:val="clear" w:color="auto" w:fill="auto"/>
            <w:vAlign w:val="center"/>
          </w:tcPr>
          <w:p w14:paraId="7B2759F9">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100</w:t>
            </w:r>
          </w:p>
        </w:tc>
        <w:tc>
          <w:tcPr>
            <w:tcW w:w="1880" w:type="dxa"/>
            <w:tcBorders>
              <w:top w:val="nil"/>
              <w:left w:val="nil"/>
              <w:bottom w:val="single" w:color="auto" w:sz="4" w:space="0"/>
              <w:right w:val="single" w:color="auto" w:sz="4" w:space="0"/>
            </w:tcBorders>
            <w:shd w:val="clear" w:color="auto" w:fill="auto"/>
            <w:vAlign w:val="center"/>
          </w:tcPr>
          <w:p w14:paraId="6B4E0A60">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20</w:t>
            </w:r>
          </w:p>
        </w:tc>
        <w:tc>
          <w:tcPr>
            <w:tcW w:w="940" w:type="dxa"/>
            <w:tcBorders>
              <w:top w:val="nil"/>
              <w:left w:val="nil"/>
              <w:bottom w:val="single" w:color="auto" w:sz="4" w:space="0"/>
              <w:right w:val="single" w:color="auto" w:sz="4" w:space="0"/>
            </w:tcBorders>
            <w:shd w:val="clear" w:color="auto" w:fill="auto"/>
            <w:vAlign w:val="center"/>
          </w:tcPr>
          <w:p w14:paraId="16DF8FB5">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20</w:t>
            </w:r>
          </w:p>
        </w:tc>
        <w:tc>
          <w:tcPr>
            <w:tcW w:w="940" w:type="dxa"/>
            <w:tcBorders>
              <w:top w:val="nil"/>
              <w:left w:val="nil"/>
              <w:bottom w:val="single" w:color="auto" w:sz="4" w:space="0"/>
              <w:right w:val="single" w:color="auto" w:sz="4" w:space="0"/>
            </w:tcBorders>
            <w:shd w:val="clear" w:color="auto" w:fill="auto"/>
            <w:vAlign w:val="center"/>
          </w:tcPr>
          <w:p w14:paraId="79D494FF">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是</w:t>
            </w:r>
          </w:p>
        </w:tc>
        <w:tc>
          <w:tcPr>
            <w:tcW w:w="1120" w:type="dxa"/>
            <w:tcBorders>
              <w:top w:val="nil"/>
              <w:left w:val="nil"/>
              <w:bottom w:val="single" w:color="auto" w:sz="4" w:space="0"/>
              <w:right w:val="single" w:color="auto" w:sz="4" w:space="0"/>
            </w:tcBorders>
            <w:shd w:val="clear" w:color="auto" w:fill="auto"/>
            <w:vAlign w:val="center"/>
          </w:tcPr>
          <w:p w14:paraId="69D07A1E">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r>
      <w:tr w14:paraId="01135004">
        <w:tblPrEx>
          <w:tblCellMar>
            <w:top w:w="0" w:type="dxa"/>
            <w:left w:w="108" w:type="dxa"/>
            <w:bottom w:w="0" w:type="dxa"/>
            <w:right w:w="108" w:type="dxa"/>
          </w:tblCellMar>
        </w:tblPrEx>
        <w:trPr>
          <w:trHeight w:val="810" w:hRule="atLeast"/>
        </w:trPr>
        <w:tc>
          <w:tcPr>
            <w:tcW w:w="2520" w:type="dxa"/>
            <w:tcBorders>
              <w:top w:val="nil"/>
              <w:left w:val="single" w:color="auto" w:sz="4" w:space="0"/>
              <w:bottom w:val="single" w:color="auto" w:sz="4" w:space="0"/>
              <w:right w:val="single" w:color="auto" w:sz="4" w:space="0"/>
            </w:tcBorders>
            <w:shd w:val="clear" w:color="auto" w:fill="auto"/>
            <w:vAlign w:val="center"/>
          </w:tcPr>
          <w:p w14:paraId="33F30C43">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仲裁案件办结率</w:t>
            </w:r>
          </w:p>
        </w:tc>
        <w:tc>
          <w:tcPr>
            <w:tcW w:w="940" w:type="dxa"/>
            <w:tcBorders>
              <w:top w:val="nil"/>
              <w:left w:val="nil"/>
              <w:bottom w:val="single" w:color="auto" w:sz="4" w:space="0"/>
              <w:right w:val="single" w:color="auto" w:sz="4" w:space="0"/>
            </w:tcBorders>
            <w:shd w:val="clear" w:color="auto" w:fill="auto"/>
            <w:vAlign w:val="center"/>
          </w:tcPr>
          <w:p w14:paraId="4EE8E1AA">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w:t>
            </w:r>
          </w:p>
        </w:tc>
        <w:tc>
          <w:tcPr>
            <w:tcW w:w="940" w:type="dxa"/>
            <w:tcBorders>
              <w:top w:val="nil"/>
              <w:left w:val="nil"/>
              <w:bottom w:val="single" w:color="auto" w:sz="4" w:space="0"/>
              <w:right w:val="single" w:color="auto" w:sz="4" w:space="0"/>
            </w:tcBorders>
            <w:shd w:val="clear" w:color="auto" w:fill="auto"/>
            <w:vAlign w:val="center"/>
          </w:tcPr>
          <w:p w14:paraId="0866870A">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w:t>
            </w:r>
          </w:p>
        </w:tc>
        <w:tc>
          <w:tcPr>
            <w:tcW w:w="1980" w:type="dxa"/>
            <w:tcBorders>
              <w:top w:val="nil"/>
              <w:left w:val="nil"/>
              <w:bottom w:val="single" w:color="auto" w:sz="4" w:space="0"/>
              <w:right w:val="single" w:color="auto" w:sz="4" w:space="0"/>
            </w:tcBorders>
            <w:shd w:val="clear" w:color="auto" w:fill="auto"/>
            <w:vAlign w:val="center"/>
          </w:tcPr>
          <w:p w14:paraId="6D2B4FAC">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95</w:t>
            </w:r>
          </w:p>
        </w:tc>
        <w:tc>
          <w:tcPr>
            <w:tcW w:w="460" w:type="dxa"/>
            <w:tcBorders>
              <w:top w:val="nil"/>
              <w:left w:val="nil"/>
              <w:bottom w:val="single" w:color="auto" w:sz="4" w:space="0"/>
              <w:right w:val="single" w:color="auto" w:sz="4" w:space="0"/>
            </w:tcBorders>
            <w:shd w:val="clear" w:color="auto" w:fill="auto"/>
            <w:vAlign w:val="center"/>
          </w:tcPr>
          <w:p w14:paraId="154201A2">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95.3</w:t>
            </w:r>
          </w:p>
        </w:tc>
        <w:tc>
          <w:tcPr>
            <w:tcW w:w="2040" w:type="dxa"/>
            <w:tcBorders>
              <w:top w:val="nil"/>
              <w:left w:val="nil"/>
              <w:bottom w:val="single" w:color="auto" w:sz="4" w:space="0"/>
              <w:right w:val="single" w:color="auto" w:sz="4" w:space="0"/>
            </w:tcBorders>
            <w:shd w:val="clear" w:color="auto" w:fill="auto"/>
            <w:vAlign w:val="center"/>
          </w:tcPr>
          <w:p w14:paraId="110C2F4C">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0.32</w:t>
            </w:r>
          </w:p>
        </w:tc>
        <w:tc>
          <w:tcPr>
            <w:tcW w:w="860" w:type="dxa"/>
            <w:tcBorders>
              <w:top w:val="nil"/>
              <w:left w:val="nil"/>
              <w:bottom w:val="single" w:color="auto" w:sz="4" w:space="0"/>
              <w:right w:val="single" w:color="auto" w:sz="4" w:space="0"/>
            </w:tcBorders>
            <w:shd w:val="clear" w:color="auto" w:fill="auto"/>
            <w:vAlign w:val="center"/>
          </w:tcPr>
          <w:p w14:paraId="4BF6BC80">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100</w:t>
            </w:r>
          </w:p>
        </w:tc>
        <w:tc>
          <w:tcPr>
            <w:tcW w:w="1880" w:type="dxa"/>
            <w:tcBorders>
              <w:top w:val="nil"/>
              <w:left w:val="nil"/>
              <w:bottom w:val="single" w:color="auto" w:sz="4" w:space="0"/>
              <w:right w:val="single" w:color="auto" w:sz="4" w:space="0"/>
            </w:tcBorders>
            <w:shd w:val="clear" w:color="auto" w:fill="auto"/>
            <w:vAlign w:val="center"/>
          </w:tcPr>
          <w:p w14:paraId="7EF18F1B">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w:t>
            </w:r>
          </w:p>
        </w:tc>
        <w:tc>
          <w:tcPr>
            <w:tcW w:w="940" w:type="dxa"/>
            <w:tcBorders>
              <w:top w:val="nil"/>
              <w:left w:val="nil"/>
              <w:bottom w:val="single" w:color="auto" w:sz="4" w:space="0"/>
              <w:right w:val="single" w:color="auto" w:sz="4" w:space="0"/>
            </w:tcBorders>
            <w:shd w:val="clear" w:color="auto" w:fill="auto"/>
            <w:vAlign w:val="center"/>
          </w:tcPr>
          <w:p w14:paraId="32BED432">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w:t>
            </w:r>
          </w:p>
        </w:tc>
        <w:tc>
          <w:tcPr>
            <w:tcW w:w="940" w:type="dxa"/>
            <w:tcBorders>
              <w:top w:val="nil"/>
              <w:left w:val="nil"/>
              <w:bottom w:val="single" w:color="auto" w:sz="4" w:space="0"/>
              <w:right w:val="single" w:color="auto" w:sz="4" w:space="0"/>
            </w:tcBorders>
            <w:shd w:val="clear" w:color="auto" w:fill="auto"/>
            <w:vAlign w:val="center"/>
          </w:tcPr>
          <w:p w14:paraId="3478B3FB">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否</w:t>
            </w:r>
          </w:p>
        </w:tc>
        <w:tc>
          <w:tcPr>
            <w:tcW w:w="1120" w:type="dxa"/>
            <w:tcBorders>
              <w:top w:val="nil"/>
              <w:left w:val="nil"/>
              <w:bottom w:val="single" w:color="auto" w:sz="4" w:space="0"/>
              <w:right w:val="single" w:color="auto" w:sz="4" w:space="0"/>
            </w:tcBorders>
            <w:shd w:val="clear" w:color="auto" w:fill="auto"/>
            <w:vAlign w:val="center"/>
          </w:tcPr>
          <w:p w14:paraId="28C1E230">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r>
      <w:tr w14:paraId="2218882F">
        <w:tblPrEx>
          <w:tblCellMar>
            <w:top w:w="0" w:type="dxa"/>
            <w:left w:w="108" w:type="dxa"/>
            <w:bottom w:w="0" w:type="dxa"/>
            <w:right w:w="108" w:type="dxa"/>
          </w:tblCellMar>
        </w:tblPrEx>
        <w:trPr>
          <w:trHeight w:val="1620" w:hRule="atLeast"/>
        </w:trPr>
        <w:tc>
          <w:tcPr>
            <w:tcW w:w="2520" w:type="dxa"/>
            <w:tcBorders>
              <w:top w:val="nil"/>
              <w:left w:val="single" w:color="auto" w:sz="4" w:space="0"/>
              <w:bottom w:val="single" w:color="auto" w:sz="4" w:space="0"/>
              <w:right w:val="single" w:color="auto" w:sz="4" w:space="0"/>
            </w:tcBorders>
            <w:shd w:val="clear" w:color="auto" w:fill="auto"/>
            <w:vAlign w:val="center"/>
          </w:tcPr>
          <w:p w14:paraId="16EC2507">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丰采奖表彰提升干部职工工作积极性</w:t>
            </w:r>
          </w:p>
        </w:tc>
        <w:tc>
          <w:tcPr>
            <w:tcW w:w="940" w:type="dxa"/>
            <w:tcBorders>
              <w:top w:val="nil"/>
              <w:left w:val="nil"/>
              <w:bottom w:val="single" w:color="auto" w:sz="4" w:space="0"/>
              <w:right w:val="single" w:color="auto" w:sz="4" w:space="0"/>
            </w:tcBorders>
            <w:shd w:val="clear" w:color="auto" w:fill="auto"/>
            <w:vAlign w:val="center"/>
          </w:tcPr>
          <w:p w14:paraId="5B7D7779">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c>
          <w:tcPr>
            <w:tcW w:w="940" w:type="dxa"/>
            <w:tcBorders>
              <w:top w:val="nil"/>
              <w:left w:val="nil"/>
              <w:bottom w:val="single" w:color="auto" w:sz="4" w:space="0"/>
              <w:right w:val="single" w:color="auto" w:sz="4" w:space="0"/>
            </w:tcBorders>
            <w:shd w:val="clear" w:color="auto" w:fill="auto"/>
            <w:vAlign w:val="center"/>
          </w:tcPr>
          <w:p w14:paraId="7D87DAAC">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定性</w:t>
            </w:r>
          </w:p>
        </w:tc>
        <w:tc>
          <w:tcPr>
            <w:tcW w:w="1980" w:type="dxa"/>
            <w:tcBorders>
              <w:top w:val="nil"/>
              <w:left w:val="nil"/>
              <w:bottom w:val="single" w:color="auto" w:sz="4" w:space="0"/>
              <w:right w:val="single" w:color="auto" w:sz="4" w:space="0"/>
            </w:tcBorders>
            <w:shd w:val="clear" w:color="auto" w:fill="auto"/>
            <w:vAlign w:val="center"/>
          </w:tcPr>
          <w:p w14:paraId="442694C7">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有所提升</w:t>
            </w:r>
          </w:p>
        </w:tc>
        <w:tc>
          <w:tcPr>
            <w:tcW w:w="460" w:type="dxa"/>
            <w:tcBorders>
              <w:top w:val="nil"/>
              <w:left w:val="nil"/>
              <w:bottom w:val="single" w:color="auto" w:sz="4" w:space="0"/>
              <w:right w:val="single" w:color="auto" w:sz="4" w:space="0"/>
            </w:tcBorders>
            <w:shd w:val="clear" w:color="auto" w:fill="auto"/>
            <w:vAlign w:val="center"/>
          </w:tcPr>
          <w:p w14:paraId="1D6C22C5">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w:t>
            </w:r>
          </w:p>
        </w:tc>
        <w:tc>
          <w:tcPr>
            <w:tcW w:w="2040" w:type="dxa"/>
            <w:tcBorders>
              <w:top w:val="nil"/>
              <w:left w:val="nil"/>
              <w:bottom w:val="single" w:color="auto" w:sz="4" w:space="0"/>
              <w:right w:val="single" w:color="auto" w:sz="4" w:space="0"/>
            </w:tcBorders>
            <w:shd w:val="clear" w:color="auto" w:fill="auto"/>
            <w:vAlign w:val="center"/>
          </w:tcPr>
          <w:p w14:paraId="7CB30081">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0</w:t>
            </w:r>
          </w:p>
        </w:tc>
        <w:tc>
          <w:tcPr>
            <w:tcW w:w="860" w:type="dxa"/>
            <w:tcBorders>
              <w:top w:val="nil"/>
              <w:left w:val="nil"/>
              <w:bottom w:val="single" w:color="auto" w:sz="4" w:space="0"/>
              <w:right w:val="single" w:color="auto" w:sz="4" w:space="0"/>
            </w:tcBorders>
            <w:shd w:val="clear" w:color="auto" w:fill="auto"/>
            <w:vAlign w:val="center"/>
          </w:tcPr>
          <w:p w14:paraId="32182841">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100</w:t>
            </w:r>
          </w:p>
        </w:tc>
        <w:tc>
          <w:tcPr>
            <w:tcW w:w="1880" w:type="dxa"/>
            <w:tcBorders>
              <w:top w:val="nil"/>
              <w:left w:val="nil"/>
              <w:bottom w:val="single" w:color="auto" w:sz="4" w:space="0"/>
              <w:right w:val="single" w:color="auto" w:sz="4" w:space="0"/>
            </w:tcBorders>
            <w:shd w:val="clear" w:color="auto" w:fill="auto"/>
            <w:vAlign w:val="center"/>
          </w:tcPr>
          <w:p w14:paraId="7B440DDF">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w:t>
            </w:r>
          </w:p>
        </w:tc>
        <w:tc>
          <w:tcPr>
            <w:tcW w:w="940" w:type="dxa"/>
            <w:tcBorders>
              <w:top w:val="nil"/>
              <w:left w:val="nil"/>
              <w:bottom w:val="single" w:color="auto" w:sz="4" w:space="0"/>
              <w:right w:val="single" w:color="auto" w:sz="4" w:space="0"/>
            </w:tcBorders>
            <w:shd w:val="clear" w:color="auto" w:fill="auto"/>
            <w:vAlign w:val="center"/>
          </w:tcPr>
          <w:p w14:paraId="461C4B00">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w:t>
            </w:r>
          </w:p>
        </w:tc>
        <w:tc>
          <w:tcPr>
            <w:tcW w:w="940" w:type="dxa"/>
            <w:tcBorders>
              <w:top w:val="nil"/>
              <w:left w:val="nil"/>
              <w:bottom w:val="single" w:color="auto" w:sz="4" w:space="0"/>
              <w:right w:val="single" w:color="auto" w:sz="4" w:space="0"/>
            </w:tcBorders>
            <w:shd w:val="clear" w:color="auto" w:fill="auto"/>
            <w:vAlign w:val="center"/>
          </w:tcPr>
          <w:p w14:paraId="141F46C1">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否</w:t>
            </w:r>
          </w:p>
        </w:tc>
        <w:tc>
          <w:tcPr>
            <w:tcW w:w="1120" w:type="dxa"/>
            <w:tcBorders>
              <w:top w:val="nil"/>
              <w:left w:val="nil"/>
              <w:bottom w:val="single" w:color="auto" w:sz="4" w:space="0"/>
              <w:right w:val="single" w:color="auto" w:sz="4" w:space="0"/>
            </w:tcBorders>
            <w:shd w:val="clear" w:color="auto" w:fill="auto"/>
            <w:vAlign w:val="center"/>
          </w:tcPr>
          <w:p w14:paraId="26E7C968">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r>
      <w:tr w14:paraId="101B3C46">
        <w:tblPrEx>
          <w:tblCellMar>
            <w:top w:w="0" w:type="dxa"/>
            <w:left w:w="108" w:type="dxa"/>
            <w:bottom w:w="0" w:type="dxa"/>
            <w:right w:w="108" w:type="dxa"/>
          </w:tblCellMar>
        </w:tblPrEx>
        <w:trPr>
          <w:trHeight w:val="1080" w:hRule="atLeast"/>
        </w:trPr>
        <w:tc>
          <w:tcPr>
            <w:tcW w:w="2520" w:type="dxa"/>
            <w:tcBorders>
              <w:top w:val="nil"/>
              <w:left w:val="single" w:color="auto" w:sz="4" w:space="0"/>
              <w:bottom w:val="single" w:color="auto" w:sz="4" w:space="0"/>
              <w:right w:val="single" w:color="auto" w:sz="4" w:space="0"/>
            </w:tcBorders>
            <w:shd w:val="clear" w:color="auto" w:fill="auto"/>
            <w:vAlign w:val="center"/>
          </w:tcPr>
          <w:p w14:paraId="1A8B1CBA">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全县根治欠薪工作取得成效</w:t>
            </w:r>
          </w:p>
        </w:tc>
        <w:tc>
          <w:tcPr>
            <w:tcW w:w="940" w:type="dxa"/>
            <w:tcBorders>
              <w:top w:val="nil"/>
              <w:left w:val="nil"/>
              <w:bottom w:val="single" w:color="auto" w:sz="4" w:space="0"/>
              <w:right w:val="single" w:color="auto" w:sz="4" w:space="0"/>
            </w:tcBorders>
            <w:shd w:val="clear" w:color="auto" w:fill="auto"/>
            <w:vAlign w:val="center"/>
          </w:tcPr>
          <w:p w14:paraId="36C55C23">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c>
          <w:tcPr>
            <w:tcW w:w="940" w:type="dxa"/>
            <w:tcBorders>
              <w:top w:val="nil"/>
              <w:left w:val="nil"/>
              <w:bottom w:val="single" w:color="auto" w:sz="4" w:space="0"/>
              <w:right w:val="single" w:color="auto" w:sz="4" w:space="0"/>
            </w:tcBorders>
            <w:shd w:val="clear" w:color="auto" w:fill="auto"/>
            <w:vAlign w:val="center"/>
          </w:tcPr>
          <w:p w14:paraId="7260B319">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定性</w:t>
            </w:r>
          </w:p>
        </w:tc>
        <w:tc>
          <w:tcPr>
            <w:tcW w:w="1980" w:type="dxa"/>
            <w:tcBorders>
              <w:top w:val="nil"/>
              <w:left w:val="nil"/>
              <w:bottom w:val="single" w:color="auto" w:sz="4" w:space="0"/>
              <w:right w:val="single" w:color="auto" w:sz="4" w:space="0"/>
            </w:tcBorders>
            <w:shd w:val="clear" w:color="auto" w:fill="auto"/>
            <w:vAlign w:val="center"/>
          </w:tcPr>
          <w:p w14:paraId="7C1BB250">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有所改善</w:t>
            </w:r>
          </w:p>
        </w:tc>
        <w:tc>
          <w:tcPr>
            <w:tcW w:w="460" w:type="dxa"/>
            <w:tcBorders>
              <w:top w:val="nil"/>
              <w:left w:val="nil"/>
              <w:bottom w:val="single" w:color="auto" w:sz="4" w:space="0"/>
              <w:right w:val="single" w:color="auto" w:sz="4" w:space="0"/>
            </w:tcBorders>
            <w:shd w:val="clear" w:color="auto" w:fill="auto"/>
            <w:vAlign w:val="center"/>
          </w:tcPr>
          <w:p w14:paraId="568EF91E">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w:t>
            </w:r>
          </w:p>
        </w:tc>
        <w:tc>
          <w:tcPr>
            <w:tcW w:w="2040" w:type="dxa"/>
            <w:tcBorders>
              <w:top w:val="nil"/>
              <w:left w:val="nil"/>
              <w:bottom w:val="single" w:color="auto" w:sz="4" w:space="0"/>
              <w:right w:val="single" w:color="auto" w:sz="4" w:space="0"/>
            </w:tcBorders>
            <w:shd w:val="clear" w:color="auto" w:fill="auto"/>
            <w:vAlign w:val="center"/>
          </w:tcPr>
          <w:p w14:paraId="72AD6005">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0</w:t>
            </w:r>
          </w:p>
        </w:tc>
        <w:tc>
          <w:tcPr>
            <w:tcW w:w="860" w:type="dxa"/>
            <w:tcBorders>
              <w:top w:val="nil"/>
              <w:left w:val="nil"/>
              <w:bottom w:val="single" w:color="auto" w:sz="4" w:space="0"/>
              <w:right w:val="single" w:color="auto" w:sz="4" w:space="0"/>
            </w:tcBorders>
            <w:shd w:val="clear" w:color="auto" w:fill="auto"/>
            <w:vAlign w:val="center"/>
          </w:tcPr>
          <w:p w14:paraId="0FB85B13">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100</w:t>
            </w:r>
          </w:p>
        </w:tc>
        <w:tc>
          <w:tcPr>
            <w:tcW w:w="1880" w:type="dxa"/>
            <w:tcBorders>
              <w:top w:val="nil"/>
              <w:left w:val="nil"/>
              <w:bottom w:val="single" w:color="auto" w:sz="4" w:space="0"/>
              <w:right w:val="single" w:color="auto" w:sz="4" w:space="0"/>
            </w:tcBorders>
            <w:shd w:val="clear" w:color="auto" w:fill="auto"/>
            <w:vAlign w:val="center"/>
          </w:tcPr>
          <w:p w14:paraId="301E27A7">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w:t>
            </w:r>
          </w:p>
        </w:tc>
        <w:tc>
          <w:tcPr>
            <w:tcW w:w="940" w:type="dxa"/>
            <w:tcBorders>
              <w:top w:val="nil"/>
              <w:left w:val="nil"/>
              <w:bottom w:val="single" w:color="auto" w:sz="4" w:space="0"/>
              <w:right w:val="single" w:color="auto" w:sz="4" w:space="0"/>
            </w:tcBorders>
            <w:shd w:val="clear" w:color="auto" w:fill="auto"/>
            <w:vAlign w:val="center"/>
          </w:tcPr>
          <w:p w14:paraId="4075F39A">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w:t>
            </w:r>
          </w:p>
        </w:tc>
        <w:tc>
          <w:tcPr>
            <w:tcW w:w="940" w:type="dxa"/>
            <w:tcBorders>
              <w:top w:val="nil"/>
              <w:left w:val="nil"/>
              <w:bottom w:val="single" w:color="auto" w:sz="4" w:space="0"/>
              <w:right w:val="single" w:color="auto" w:sz="4" w:space="0"/>
            </w:tcBorders>
            <w:shd w:val="clear" w:color="auto" w:fill="auto"/>
            <w:vAlign w:val="center"/>
          </w:tcPr>
          <w:p w14:paraId="06F49BA6">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是</w:t>
            </w:r>
          </w:p>
        </w:tc>
        <w:tc>
          <w:tcPr>
            <w:tcW w:w="1120" w:type="dxa"/>
            <w:tcBorders>
              <w:top w:val="nil"/>
              <w:left w:val="nil"/>
              <w:bottom w:val="single" w:color="auto" w:sz="4" w:space="0"/>
              <w:right w:val="single" w:color="auto" w:sz="4" w:space="0"/>
            </w:tcBorders>
            <w:shd w:val="clear" w:color="auto" w:fill="auto"/>
            <w:vAlign w:val="center"/>
          </w:tcPr>
          <w:p w14:paraId="71A32243">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r>
      <w:tr w14:paraId="69FBA637">
        <w:tblPrEx>
          <w:tblCellMar>
            <w:top w:w="0" w:type="dxa"/>
            <w:left w:w="108" w:type="dxa"/>
            <w:bottom w:w="0" w:type="dxa"/>
            <w:right w:w="108" w:type="dxa"/>
          </w:tblCellMar>
        </w:tblPrEx>
        <w:trPr>
          <w:trHeight w:val="1890" w:hRule="atLeast"/>
        </w:trPr>
        <w:tc>
          <w:tcPr>
            <w:tcW w:w="2520" w:type="dxa"/>
            <w:tcBorders>
              <w:top w:val="nil"/>
              <w:left w:val="single" w:color="auto" w:sz="4" w:space="0"/>
              <w:bottom w:val="single" w:color="auto" w:sz="4" w:space="0"/>
              <w:right w:val="single" w:color="auto" w:sz="4" w:space="0"/>
            </w:tcBorders>
            <w:shd w:val="clear" w:color="auto" w:fill="auto"/>
            <w:vAlign w:val="center"/>
          </w:tcPr>
          <w:p w14:paraId="2519386E">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退休人员慰问体现组织对退休人员的关怀和重视</w:t>
            </w:r>
          </w:p>
        </w:tc>
        <w:tc>
          <w:tcPr>
            <w:tcW w:w="940" w:type="dxa"/>
            <w:tcBorders>
              <w:top w:val="nil"/>
              <w:left w:val="nil"/>
              <w:bottom w:val="single" w:color="auto" w:sz="4" w:space="0"/>
              <w:right w:val="single" w:color="auto" w:sz="4" w:space="0"/>
            </w:tcBorders>
            <w:shd w:val="clear" w:color="auto" w:fill="auto"/>
            <w:vAlign w:val="center"/>
          </w:tcPr>
          <w:p w14:paraId="04B6C120">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c>
          <w:tcPr>
            <w:tcW w:w="940" w:type="dxa"/>
            <w:tcBorders>
              <w:top w:val="nil"/>
              <w:left w:val="nil"/>
              <w:bottom w:val="single" w:color="auto" w:sz="4" w:space="0"/>
              <w:right w:val="single" w:color="auto" w:sz="4" w:space="0"/>
            </w:tcBorders>
            <w:shd w:val="clear" w:color="auto" w:fill="auto"/>
            <w:vAlign w:val="center"/>
          </w:tcPr>
          <w:p w14:paraId="09977082">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定性</w:t>
            </w:r>
          </w:p>
        </w:tc>
        <w:tc>
          <w:tcPr>
            <w:tcW w:w="1980" w:type="dxa"/>
            <w:tcBorders>
              <w:top w:val="nil"/>
              <w:left w:val="nil"/>
              <w:bottom w:val="single" w:color="auto" w:sz="4" w:space="0"/>
              <w:right w:val="single" w:color="auto" w:sz="4" w:space="0"/>
            </w:tcBorders>
            <w:shd w:val="clear" w:color="auto" w:fill="auto"/>
            <w:vAlign w:val="center"/>
          </w:tcPr>
          <w:p w14:paraId="21534649">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有所提升</w:t>
            </w:r>
          </w:p>
        </w:tc>
        <w:tc>
          <w:tcPr>
            <w:tcW w:w="460" w:type="dxa"/>
            <w:tcBorders>
              <w:top w:val="nil"/>
              <w:left w:val="nil"/>
              <w:bottom w:val="single" w:color="auto" w:sz="4" w:space="0"/>
              <w:right w:val="single" w:color="auto" w:sz="4" w:space="0"/>
            </w:tcBorders>
            <w:shd w:val="clear" w:color="auto" w:fill="auto"/>
            <w:vAlign w:val="center"/>
          </w:tcPr>
          <w:p w14:paraId="32F0F0A3">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w:t>
            </w:r>
          </w:p>
        </w:tc>
        <w:tc>
          <w:tcPr>
            <w:tcW w:w="2040" w:type="dxa"/>
            <w:tcBorders>
              <w:top w:val="nil"/>
              <w:left w:val="nil"/>
              <w:bottom w:val="single" w:color="auto" w:sz="4" w:space="0"/>
              <w:right w:val="single" w:color="auto" w:sz="4" w:space="0"/>
            </w:tcBorders>
            <w:shd w:val="clear" w:color="auto" w:fill="auto"/>
            <w:vAlign w:val="center"/>
          </w:tcPr>
          <w:p w14:paraId="12F2C3C8">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0</w:t>
            </w:r>
          </w:p>
        </w:tc>
        <w:tc>
          <w:tcPr>
            <w:tcW w:w="860" w:type="dxa"/>
            <w:tcBorders>
              <w:top w:val="nil"/>
              <w:left w:val="nil"/>
              <w:bottom w:val="single" w:color="auto" w:sz="4" w:space="0"/>
              <w:right w:val="single" w:color="auto" w:sz="4" w:space="0"/>
            </w:tcBorders>
            <w:shd w:val="clear" w:color="auto" w:fill="auto"/>
            <w:vAlign w:val="center"/>
          </w:tcPr>
          <w:p w14:paraId="4F5CC459">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100</w:t>
            </w:r>
          </w:p>
        </w:tc>
        <w:tc>
          <w:tcPr>
            <w:tcW w:w="1880" w:type="dxa"/>
            <w:tcBorders>
              <w:top w:val="nil"/>
              <w:left w:val="nil"/>
              <w:bottom w:val="single" w:color="auto" w:sz="4" w:space="0"/>
              <w:right w:val="single" w:color="auto" w:sz="4" w:space="0"/>
            </w:tcBorders>
            <w:shd w:val="clear" w:color="auto" w:fill="auto"/>
            <w:vAlign w:val="center"/>
          </w:tcPr>
          <w:p w14:paraId="545A2AA8">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w:t>
            </w:r>
          </w:p>
        </w:tc>
        <w:tc>
          <w:tcPr>
            <w:tcW w:w="940" w:type="dxa"/>
            <w:tcBorders>
              <w:top w:val="nil"/>
              <w:left w:val="nil"/>
              <w:bottom w:val="single" w:color="auto" w:sz="4" w:space="0"/>
              <w:right w:val="single" w:color="auto" w:sz="4" w:space="0"/>
            </w:tcBorders>
            <w:shd w:val="clear" w:color="auto" w:fill="auto"/>
            <w:vAlign w:val="center"/>
          </w:tcPr>
          <w:p w14:paraId="1B98050E">
            <w:pPr>
              <w:jc w:val="righ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10</w:t>
            </w:r>
          </w:p>
        </w:tc>
        <w:tc>
          <w:tcPr>
            <w:tcW w:w="940" w:type="dxa"/>
            <w:tcBorders>
              <w:top w:val="nil"/>
              <w:left w:val="nil"/>
              <w:bottom w:val="single" w:color="auto" w:sz="4" w:space="0"/>
              <w:right w:val="single" w:color="auto" w:sz="4" w:space="0"/>
            </w:tcBorders>
            <w:shd w:val="clear" w:color="auto" w:fill="auto"/>
            <w:vAlign w:val="center"/>
          </w:tcPr>
          <w:p w14:paraId="056E76B0">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是</w:t>
            </w:r>
          </w:p>
        </w:tc>
        <w:tc>
          <w:tcPr>
            <w:tcW w:w="1120" w:type="dxa"/>
            <w:tcBorders>
              <w:top w:val="nil"/>
              <w:left w:val="nil"/>
              <w:bottom w:val="single" w:color="auto" w:sz="4" w:space="0"/>
              <w:right w:val="single" w:color="auto" w:sz="4" w:space="0"/>
            </w:tcBorders>
            <w:shd w:val="clear" w:color="auto" w:fill="auto"/>
            <w:vAlign w:val="center"/>
          </w:tcPr>
          <w:p w14:paraId="54E4589C">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w:t>
            </w:r>
          </w:p>
        </w:tc>
      </w:tr>
    </w:tbl>
    <w:p w14:paraId="66A7277C">
      <w:pPr>
        <w:pStyle w:val="12"/>
        <w:spacing w:before="0" w:beforeAutospacing="0" w:after="0" w:afterAutospacing="0" w:line="596" w:lineRule="exact"/>
        <w:ind w:firstLine="643" w:firstLineChars="200"/>
        <w:rPr>
          <w:rFonts w:hint="default" w:ascii="Times New Roman" w:hAnsi="Times New Roman" w:eastAsia="方正仿宋_GBK" w:cs="Times New Roman"/>
          <w:b/>
          <w:bCs/>
          <w:color w:val="000000" w:themeColor="text1"/>
          <w:sz w:val="32"/>
          <w:szCs w:val="32"/>
          <w:shd w:val="clear" w:color="auto" w:fill="FFFFFF"/>
        </w:rPr>
      </w:pPr>
    </w:p>
    <w:p w14:paraId="1E357CB7">
      <w:pPr>
        <w:pStyle w:val="12"/>
        <w:spacing w:before="0" w:beforeAutospacing="0" w:after="0" w:afterAutospacing="0" w:line="596" w:lineRule="exact"/>
        <w:ind w:firstLine="640" w:firstLineChars="200"/>
        <w:rPr>
          <w:rFonts w:hint="default" w:ascii="Times New Roman" w:hAnsi="Times New Roman" w:eastAsia="方正仿宋_GBK" w:cs="Times New Roman"/>
          <w:color w:val="000000" w:themeColor="text1"/>
          <w:sz w:val="32"/>
          <w:szCs w:val="32"/>
        </w:rPr>
        <w:sectPr>
          <w:pgSz w:w="16840" w:h="11915" w:orient="landscape"/>
          <w:pgMar w:top="1800" w:right="1440" w:bottom="1800" w:left="1440" w:header="851" w:footer="992" w:gutter="0"/>
          <w:pgNumType w:fmt="numberInDash"/>
          <w:cols w:space="720" w:num="1"/>
          <w:docGrid w:type="lines" w:linePitch="326" w:charSpace="0"/>
        </w:sectPr>
      </w:pPr>
    </w:p>
    <w:p w14:paraId="25485A28">
      <w:pPr>
        <w:pStyle w:val="12"/>
        <w:spacing w:before="0" w:beforeAutospacing="0" w:after="0" w:afterAutospacing="0" w:line="596" w:lineRule="exact"/>
        <w:ind w:firstLine="640" w:firstLineChars="200"/>
        <w:rPr>
          <w:rFonts w:hint="default" w:ascii="Times New Roman" w:hAnsi="Times New Roman" w:eastAsia="方正仿宋_GBK" w:cs="Times New Roman"/>
          <w:color w:val="000000" w:themeColor="text1"/>
          <w:sz w:val="32"/>
          <w:szCs w:val="32"/>
        </w:rPr>
      </w:pPr>
    </w:p>
    <w:p w14:paraId="6D7E3796">
      <w:pPr>
        <w:pStyle w:val="12"/>
        <w:autoSpaceDE w:val="0"/>
        <w:spacing w:before="0" w:beforeAutospacing="0" w:after="0" w:afterAutospacing="0" w:line="596" w:lineRule="exact"/>
        <w:ind w:firstLine="643" w:firstLineChars="200"/>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（二）部门绩效评价情况</w:t>
      </w:r>
    </w:p>
    <w:p w14:paraId="54FCB0F8">
      <w:pPr>
        <w:pStyle w:val="16"/>
        <w:autoSpaceDE w:val="0"/>
        <w:spacing w:line="596" w:lineRule="exact"/>
        <w:ind w:left="480" w:leftChars="200" w:firstLine="320" w:firstLineChars="100"/>
        <w:rPr>
          <w:rStyle w:val="13"/>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我部门未组织开展绩效评价。</w:t>
      </w:r>
      <w:r>
        <w:rPr>
          <w:rFonts w:hint="default" w:ascii="Times New Roman" w:hAnsi="Times New Roman" w:eastAsia="方正仿宋_GBK" w:cs="Times New Roman"/>
          <w:color w:val="000000" w:themeColor="text1"/>
          <w:sz w:val="32"/>
          <w:szCs w:val="32"/>
          <w:shd w:val="clear" w:color="auto" w:fill="FFFFFF"/>
        </w:rPr>
        <w:cr/>
      </w:r>
      <w:r>
        <w:rPr>
          <w:rFonts w:hint="default" w:ascii="Times New Roman" w:hAnsi="Times New Roman" w:eastAsia="楷体" w:cs="Times New Roman"/>
          <w:b/>
          <w:bCs/>
          <w:color w:val="000000" w:themeColor="text1"/>
          <w:sz w:val="32"/>
          <w:szCs w:val="32"/>
          <w:shd w:val="clear" w:color="auto" w:fill="FFFFFF"/>
        </w:rPr>
        <w:t>（三）财政绩效评价情况</w:t>
      </w:r>
    </w:p>
    <w:p w14:paraId="0206FCD7">
      <w:pPr>
        <w:pStyle w:val="12"/>
        <w:autoSpaceDE w:val="0"/>
        <w:spacing w:before="0" w:beforeAutospacing="0" w:after="0" w:afterAutospacing="0" w:line="596"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市财政局未委托第三方对我</w:t>
      </w:r>
      <w:r>
        <w:rPr>
          <w:rFonts w:hint="default" w:ascii="Times New Roman" w:hAnsi="Times New Roman" w:eastAsia="方正仿宋_GBK" w:cs="Times New Roman"/>
          <w:color w:val="000000" w:themeColor="text1"/>
          <w:sz w:val="32"/>
          <w:szCs w:val="32"/>
          <w:shd w:val="clear" w:color="auto" w:fill="FFFFFF"/>
          <w:lang w:val="en-US" w:eastAsia="zh-CN"/>
        </w:rPr>
        <w:t>部门</w:t>
      </w:r>
      <w:r>
        <w:rPr>
          <w:rFonts w:hint="default" w:ascii="Times New Roman" w:hAnsi="Times New Roman" w:eastAsia="方正仿宋_GBK" w:cs="Times New Roman"/>
          <w:color w:val="000000" w:themeColor="text1"/>
          <w:sz w:val="32"/>
          <w:szCs w:val="32"/>
          <w:shd w:val="clear" w:color="auto" w:fill="FFFFFF"/>
        </w:rPr>
        <w:t>开展绩效评价。</w:t>
      </w:r>
      <w:r>
        <w:rPr>
          <w:rFonts w:hint="default" w:ascii="Times New Roman" w:hAnsi="Times New Roman" w:eastAsia="方正仿宋_GBK" w:cs="Times New Roman"/>
          <w:color w:val="000000" w:themeColor="text1"/>
          <w:sz w:val="32"/>
          <w:szCs w:val="32"/>
          <w:shd w:val="clear" w:color="auto" w:fill="FFFFFF"/>
        </w:rPr>
        <w:cr/>
      </w:r>
      <w:r>
        <w:rPr>
          <w:rStyle w:val="10"/>
          <w:rFonts w:hint="default" w:ascii="Times New Roman" w:hAnsi="Times New Roman" w:eastAsia="黑体" w:cs="Times New Roman"/>
          <w:color w:val="000000" w:themeColor="text1"/>
          <w:sz w:val="32"/>
          <w:szCs w:val="32"/>
          <w:shd w:val="clear" w:color="auto" w:fill="FFFFFF"/>
        </w:rPr>
        <w:t>六、专业名词解释</w:t>
      </w:r>
    </w:p>
    <w:p w14:paraId="3B4E5999">
      <w:pPr>
        <w:pStyle w:val="12"/>
        <w:spacing w:before="0" w:beforeAutospacing="0" w:after="0" w:afterAutospacing="0" w:line="596" w:lineRule="exact"/>
        <w:ind w:firstLine="643" w:firstLineChars="200"/>
        <w:rPr>
          <w:rFonts w:hint="default" w:ascii="Times New Roman" w:hAnsi="Times New Roman" w:eastAsia="方正仿宋_GBK" w:cs="Times New Roman"/>
          <w:color w:val="000000" w:themeColor="text1"/>
          <w:sz w:val="32"/>
          <w:szCs w:val="32"/>
        </w:rPr>
      </w:pPr>
      <w:r>
        <w:rPr>
          <w:rStyle w:val="10"/>
          <w:rFonts w:hint="default" w:ascii="Times New Roman" w:hAnsi="Times New Roman" w:eastAsia="楷体" w:cs="Times New Roman"/>
          <w:color w:val="000000" w:themeColor="text1"/>
          <w:sz w:val="32"/>
          <w:szCs w:val="32"/>
          <w:shd w:val="clear" w:color="auto" w:fill="FFFFFF"/>
        </w:rPr>
        <w:t>（一）财政拨款收入：</w:t>
      </w:r>
      <w:r>
        <w:rPr>
          <w:rFonts w:hint="default" w:ascii="Times New Roman" w:hAnsi="Times New Roman" w:eastAsia="方正仿宋_GBK" w:cs="Times New Roman"/>
          <w:color w:val="000000" w:themeColor="text1"/>
          <w:sz w:val="32"/>
          <w:szCs w:val="32"/>
          <w:shd w:val="clear" w:color="auto" w:fill="FFFFFF"/>
        </w:rPr>
        <w:t>指本年度从本级财政部门取得的财政拨款，包括一般公共预算财政拨款和政府性基金预算财政拨款。</w:t>
      </w:r>
    </w:p>
    <w:p w14:paraId="4E480E78">
      <w:pPr>
        <w:pStyle w:val="12"/>
        <w:spacing w:before="0" w:beforeAutospacing="0" w:after="0" w:afterAutospacing="0" w:line="596" w:lineRule="exact"/>
        <w:ind w:firstLine="643" w:firstLineChars="200"/>
        <w:rPr>
          <w:rFonts w:hint="default" w:ascii="Times New Roman" w:hAnsi="Times New Roman" w:eastAsia="方正仿宋_GBK" w:cs="Times New Roman"/>
          <w:color w:val="000000" w:themeColor="text1"/>
          <w:sz w:val="32"/>
          <w:szCs w:val="32"/>
        </w:rPr>
      </w:pPr>
      <w:r>
        <w:rPr>
          <w:rStyle w:val="10"/>
          <w:rFonts w:hint="default" w:ascii="Times New Roman" w:hAnsi="Times New Roman" w:eastAsia="楷体" w:cs="Times New Roman"/>
          <w:color w:val="000000" w:themeColor="text1"/>
          <w:sz w:val="32"/>
          <w:szCs w:val="32"/>
          <w:shd w:val="clear" w:color="auto" w:fill="FFFFFF"/>
        </w:rPr>
        <w:t>（二）事业收入：</w:t>
      </w:r>
      <w:r>
        <w:rPr>
          <w:rFonts w:hint="default" w:ascii="Times New Roman" w:hAnsi="Times New Roman" w:eastAsia="方正仿宋_GBK" w:cs="Times New Roman"/>
          <w:color w:val="000000" w:themeColor="text1"/>
          <w:sz w:val="32"/>
          <w:szCs w:val="32"/>
          <w:shd w:val="clear" w:color="auto" w:fill="FFFFFF"/>
        </w:rPr>
        <w:t>指事业单位开展专业业务活动及其辅助活动取得的现金流入；事业单位收到的财政专户实际核拨的教育收费等资金在此反映。</w:t>
      </w:r>
    </w:p>
    <w:p w14:paraId="185A8BD6">
      <w:pPr>
        <w:pStyle w:val="12"/>
        <w:spacing w:before="0" w:beforeAutospacing="0" w:after="0" w:afterAutospacing="0" w:line="596" w:lineRule="exact"/>
        <w:ind w:firstLine="643" w:firstLineChars="200"/>
        <w:rPr>
          <w:rFonts w:hint="default" w:ascii="Times New Roman" w:hAnsi="Times New Roman" w:eastAsia="方正仿宋_GBK" w:cs="Times New Roman"/>
          <w:color w:val="000000" w:themeColor="text1"/>
          <w:sz w:val="32"/>
          <w:szCs w:val="32"/>
        </w:rPr>
      </w:pPr>
      <w:r>
        <w:rPr>
          <w:rStyle w:val="10"/>
          <w:rFonts w:hint="default" w:ascii="Times New Roman" w:hAnsi="Times New Roman" w:eastAsia="楷体" w:cs="Times New Roman"/>
          <w:color w:val="000000" w:themeColor="text1"/>
          <w:sz w:val="32"/>
          <w:szCs w:val="32"/>
          <w:shd w:val="clear" w:color="auto" w:fill="FFFFFF"/>
        </w:rPr>
        <w:t>（三）经营收入：</w:t>
      </w:r>
      <w:r>
        <w:rPr>
          <w:rFonts w:hint="default" w:ascii="Times New Roman" w:hAnsi="Times New Roman" w:eastAsia="方正仿宋_GBK" w:cs="Times New Roman"/>
          <w:color w:val="000000" w:themeColor="text1"/>
          <w:sz w:val="32"/>
          <w:szCs w:val="32"/>
          <w:shd w:val="clear" w:color="auto" w:fill="FFFFFF"/>
        </w:rPr>
        <w:t>指事业单位在专业业务活动及其辅助活动之外开展非独立核算经营活动取得的现金流入。</w:t>
      </w:r>
    </w:p>
    <w:p w14:paraId="21C8B3E3">
      <w:pPr>
        <w:pStyle w:val="12"/>
        <w:spacing w:before="0" w:beforeAutospacing="0" w:after="0" w:afterAutospacing="0" w:line="596" w:lineRule="exact"/>
        <w:ind w:firstLine="643" w:firstLineChars="200"/>
        <w:rPr>
          <w:rFonts w:hint="default" w:ascii="Times New Roman" w:hAnsi="Times New Roman" w:eastAsia="方正仿宋_GBK" w:cs="Times New Roman"/>
          <w:color w:val="000000" w:themeColor="text1"/>
          <w:sz w:val="32"/>
          <w:szCs w:val="32"/>
        </w:rPr>
      </w:pPr>
      <w:r>
        <w:rPr>
          <w:rStyle w:val="10"/>
          <w:rFonts w:hint="default" w:ascii="Times New Roman" w:hAnsi="Times New Roman" w:eastAsia="楷体" w:cs="Times New Roman"/>
          <w:color w:val="000000" w:themeColor="text1"/>
          <w:sz w:val="32"/>
          <w:szCs w:val="32"/>
          <w:shd w:val="clear" w:color="auto" w:fill="FFFFFF"/>
        </w:rPr>
        <w:t>（四）其他收入：</w:t>
      </w:r>
      <w:r>
        <w:rPr>
          <w:rFonts w:hint="default" w:ascii="Times New Roman" w:hAnsi="Times New Roman" w:eastAsia="方正仿宋_GBK" w:cs="Times New Roman"/>
          <w:color w:val="000000" w:themeColor="text1"/>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8248BEE">
      <w:pPr>
        <w:pStyle w:val="12"/>
        <w:spacing w:before="0" w:beforeAutospacing="0" w:after="0" w:afterAutospacing="0" w:line="596" w:lineRule="exact"/>
        <w:ind w:firstLine="643" w:firstLineChars="200"/>
        <w:rPr>
          <w:rFonts w:hint="default" w:ascii="Times New Roman" w:hAnsi="Times New Roman" w:eastAsia="方正仿宋_GBK" w:cs="Times New Roman"/>
          <w:color w:val="000000" w:themeColor="text1"/>
          <w:sz w:val="32"/>
          <w:szCs w:val="32"/>
        </w:rPr>
      </w:pPr>
      <w:r>
        <w:rPr>
          <w:rStyle w:val="10"/>
          <w:rFonts w:hint="default" w:ascii="Times New Roman" w:hAnsi="Times New Roman" w:eastAsia="楷体" w:cs="Times New Roman"/>
          <w:color w:val="000000" w:themeColor="text1"/>
          <w:sz w:val="32"/>
          <w:szCs w:val="32"/>
          <w:shd w:val="clear" w:color="auto" w:fill="FFFFFF"/>
        </w:rPr>
        <w:t>（五）使用非财政拨款结余（含专用结余）：</w:t>
      </w:r>
      <w:r>
        <w:rPr>
          <w:rFonts w:hint="default" w:ascii="Times New Roman" w:hAnsi="Times New Roman" w:eastAsia="方正仿宋_GBK" w:cs="Times New Roman"/>
          <w:color w:val="000000" w:themeColor="text1"/>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519D9FA">
      <w:pPr>
        <w:pStyle w:val="12"/>
        <w:spacing w:before="0" w:beforeAutospacing="0" w:after="0" w:afterAutospacing="0" w:line="596" w:lineRule="exact"/>
        <w:ind w:firstLine="643" w:firstLineChars="200"/>
        <w:rPr>
          <w:rFonts w:hint="default" w:ascii="Times New Roman" w:hAnsi="Times New Roman" w:eastAsia="方正仿宋_GBK" w:cs="Times New Roman"/>
          <w:color w:val="000000" w:themeColor="text1"/>
          <w:sz w:val="32"/>
          <w:szCs w:val="32"/>
        </w:rPr>
      </w:pPr>
      <w:r>
        <w:rPr>
          <w:rStyle w:val="10"/>
          <w:rFonts w:hint="default" w:ascii="Times New Roman" w:hAnsi="Times New Roman" w:eastAsia="楷体" w:cs="Times New Roman"/>
          <w:color w:val="000000" w:themeColor="text1"/>
          <w:sz w:val="32"/>
          <w:szCs w:val="32"/>
          <w:shd w:val="clear" w:color="auto" w:fill="FFFFFF"/>
        </w:rPr>
        <w:t>（六）年初结转和结余：</w:t>
      </w:r>
      <w:r>
        <w:rPr>
          <w:rFonts w:hint="default" w:ascii="Times New Roman" w:hAnsi="Times New Roman" w:eastAsia="方正仿宋_GBK" w:cs="Times New Roman"/>
          <w:color w:val="000000" w:themeColor="text1"/>
          <w:sz w:val="32"/>
          <w:szCs w:val="32"/>
          <w:shd w:val="clear" w:color="auto" w:fill="FFFFFF"/>
        </w:rPr>
        <w:t>指单位上年结转本年使用的基本支出结转、项目支出结转和结余、经营结余。</w:t>
      </w:r>
    </w:p>
    <w:p w14:paraId="62DD91BC">
      <w:pPr>
        <w:pStyle w:val="12"/>
        <w:spacing w:before="0" w:beforeAutospacing="0" w:after="0" w:afterAutospacing="0" w:line="596" w:lineRule="exact"/>
        <w:ind w:firstLine="643" w:firstLineChars="200"/>
        <w:rPr>
          <w:rFonts w:hint="default" w:ascii="Times New Roman" w:hAnsi="Times New Roman" w:eastAsia="方正仿宋_GBK" w:cs="Times New Roman"/>
          <w:color w:val="000000" w:themeColor="text1"/>
          <w:sz w:val="32"/>
          <w:szCs w:val="32"/>
        </w:rPr>
      </w:pPr>
      <w:r>
        <w:rPr>
          <w:rStyle w:val="10"/>
          <w:rFonts w:hint="default" w:ascii="Times New Roman" w:hAnsi="Times New Roman" w:eastAsia="楷体" w:cs="Times New Roman"/>
          <w:color w:val="000000" w:themeColor="text1"/>
          <w:sz w:val="32"/>
          <w:szCs w:val="32"/>
          <w:shd w:val="clear" w:color="auto" w:fill="FFFFFF"/>
        </w:rPr>
        <w:t>（七）结余分配：</w:t>
      </w:r>
      <w:r>
        <w:rPr>
          <w:rFonts w:hint="default" w:ascii="Times New Roman" w:hAnsi="Times New Roman" w:eastAsia="方正仿宋_GBK" w:cs="Times New Roman"/>
          <w:color w:val="000000" w:themeColor="text1"/>
          <w:sz w:val="32"/>
          <w:szCs w:val="32"/>
          <w:shd w:val="clear" w:color="auto" w:fill="FFFFFF"/>
        </w:rPr>
        <w:t>指单位按照国家有关规定，缴纳所得税、提取专用基金、转入非财政拨款结余等当年结余的分配情况。</w:t>
      </w:r>
    </w:p>
    <w:p w14:paraId="3DC276B1">
      <w:pPr>
        <w:pStyle w:val="12"/>
        <w:spacing w:before="0" w:beforeAutospacing="0" w:after="0" w:afterAutospacing="0" w:line="596" w:lineRule="exact"/>
        <w:ind w:firstLine="643" w:firstLineChars="200"/>
        <w:rPr>
          <w:rFonts w:hint="default" w:ascii="Times New Roman" w:hAnsi="Times New Roman" w:eastAsia="方正仿宋_GBK" w:cs="Times New Roman"/>
          <w:color w:val="000000" w:themeColor="text1"/>
          <w:sz w:val="32"/>
          <w:szCs w:val="32"/>
        </w:rPr>
      </w:pPr>
      <w:r>
        <w:rPr>
          <w:rStyle w:val="10"/>
          <w:rFonts w:hint="default" w:ascii="Times New Roman" w:hAnsi="Times New Roman" w:eastAsia="楷体" w:cs="Times New Roman"/>
          <w:color w:val="000000" w:themeColor="text1"/>
          <w:sz w:val="32"/>
          <w:szCs w:val="32"/>
          <w:shd w:val="clear" w:color="auto" w:fill="FFFFFF"/>
        </w:rPr>
        <w:t>（八）年末结转和结余：</w:t>
      </w:r>
      <w:r>
        <w:rPr>
          <w:rFonts w:hint="default" w:ascii="Times New Roman" w:hAnsi="Times New Roman" w:eastAsia="方正仿宋_GBK" w:cs="Times New Roman"/>
          <w:color w:val="000000" w:themeColor="text1"/>
          <w:sz w:val="32"/>
          <w:szCs w:val="32"/>
          <w:shd w:val="clear" w:color="auto" w:fill="FFFFFF"/>
        </w:rPr>
        <w:t>指单位结转下年的基本支出结转、项目支出结转和结余、经营结余。</w:t>
      </w:r>
    </w:p>
    <w:p w14:paraId="5619081E">
      <w:pPr>
        <w:pStyle w:val="12"/>
        <w:spacing w:before="0" w:beforeAutospacing="0" w:after="0" w:afterAutospacing="0" w:line="596" w:lineRule="exact"/>
        <w:ind w:firstLine="643" w:firstLineChars="200"/>
        <w:rPr>
          <w:rFonts w:hint="default" w:ascii="Times New Roman" w:hAnsi="Times New Roman" w:eastAsia="方正仿宋_GBK" w:cs="Times New Roman"/>
          <w:color w:val="000000" w:themeColor="text1"/>
          <w:sz w:val="32"/>
          <w:szCs w:val="32"/>
        </w:rPr>
      </w:pPr>
      <w:r>
        <w:rPr>
          <w:rStyle w:val="10"/>
          <w:rFonts w:hint="default" w:ascii="Times New Roman" w:hAnsi="Times New Roman" w:eastAsia="楷体" w:cs="Times New Roman"/>
          <w:color w:val="000000" w:themeColor="text1"/>
          <w:sz w:val="32"/>
          <w:szCs w:val="32"/>
          <w:shd w:val="clear" w:color="auto" w:fill="FFFFFF"/>
        </w:rPr>
        <w:t>（九）基本支出：</w:t>
      </w:r>
      <w:r>
        <w:rPr>
          <w:rFonts w:hint="default" w:ascii="Times New Roman" w:hAnsi="Times New Roman" w:eastAsia="方正仿宋_GBK" w:cs="Times New Roman"/>
          <w:color w:val="000000" w:themeColor="text1"/>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0B3DF39">
      <w:pPr>
        <w:pStyle w:val="12"/>
        <w:spacing w:before="0" w:beforeAutospacing="0" w:after="0" w:afterAutospacing="0" w:line="596" w:lineRule="exact"/>
        <w:ind w:firstLine="643" w:firstLineChars="200"/>
        <w:rPr>
          <w:rFonts w:hint="default" w:ascii="Times New Roman" w:hAnsi="Times New Roman" w:eastAsia="方正仿宋_GBK" w:cs="Times New Roman"/>
          <w:color w:val="000000" w:themeColor="text1"/>
          <w:sz w:val="32"/>
          <w:szCs w:val="32"/>
        </w:rPr>
      </w:pPr>
      <w:r>
        <w:rPr>
          <w:rStyle w:val="10"/>
          <w:rFonts w:hint="default" w:ascii="Times New Roman" w:hAnsi="Times New Roman" w:eastAsia="楷体" w:cs="Times New Roman"/>
          <w:color w:val="000000" w:themeColor="text1"/>
          <w:sz w:val="32"/>
          <w:szCs w:val="32"/>
          <w:shd w:val="clear" w:color="auto" w:fill="FFFFFF"/>
        </w:rPr>
        <w:t>（十）项目支出：</w:t>
      </w:r>
      <w:r>
        <w:rPr>
          <w:rFonts w:hint="default" w:ascii="Times New Roman" w:hAnsi="Times New Roman" w:eastAsia="方正仿宋_GBK" w:cs="Times New Roman"/>
          <w:color w:val="000000" w:themeColor="text1"/>
          <w:sz w:val="32"/>
          <w:szCs w:val="32"/>
          <w:shd w:val="clear" w:color="auto" w:fill="FFFFFF"/>
        </w:rPr>
        <w:t>指在基本支出之外为完成特定行政任务和事业发展目标所发生的支出。</w:t>
      </w:r>
    </w:p>
    <w:p w14:paraId="66BEA1FF">
      <w:pPr>
        <w:pStyle w:val="12"/>
        <w:spacing w:before="0" w:beforeAutospacing="0" w:after="0" w:afterAutospacing="0" w:line="596" w:lineRule="exact"/>
        <w:ind w:firstLine="643" w:firstLineChars="200"/>
        <w:rPr>
          <w:rFonts w:hint="default" w:ascii="Times New Roman" w:hAnsi="Times New Roman" w:eastAsia="方正仿宋_GBK" w:cs="Times New Roman"/>
          <w:color w:val="000000" w:themeColor="text1"/>
          <w:sz w:val="32"/>
          <w:szCs w:val="32"/>
        </w:rPr>
      </w:pPr>
      <w:r>
        <w:rPr>
          <w:rStyle w:val="10"/>
          <w:rFonts w:hint="default" w:ascii="Times New Roman" w:hAnsi="Times New Roman" w:eastAsia="楷体" w:cs="Times New Roman"/>
          <w:color w:val="000000" w:themeColor="text1"/>
          <w:sz w:val="32"/>
          <w:szCs w:val="32"/>
          <w:shd w:val="clear" w:color="auto" w:fill="FFFFFF"/>
        </w:rPr>
        <w:t>（十一）经营支出：</w:t>
      </w:r>
      <w:r>
        <w:rPr>
          <w:rFonts w:hint="default" w:ascii="Times New Roman" w:hAnsi="Times New Roman" w:eastAsia="方正仿宋_GBK" w:cs="Times New Roman"/>
          <w:color w:val="000000" w:themeColor="text1"/>
          <w:sz w:val="32"/>
          <w:szCs w:val="32"/>
          <w:shd w:val="clear" w:color="auto" w:fill="FFFFFF"/>
        </w:rPr>
        <w:t>指事业单位在专业业务活动及其辅助活动之外开展非独立核算经营活动发生的支出。</w:t>
      </w:r>
    </w:p>
    <w:p w14:paraId="3A015522">
      <w:pPr>
        <w:pStyle w:val="12"/>
        <w:spacing w:before="0" w:beforeAutospacing="0" w:after="0" w:afterAutospacing="0" w:line="596" w:lineRule="exact"/>
        <w:ind w:firstLine="643" w:firstLineChars="200"/>
        <w:rPr>
          <w:rFonts w:hint="default" w:ascii="Times New Roman" w:hAnsi="Times New Roman" w:eastAsia="方正仿宋_GBK" w:cs="Times New Roman"/>
          <w:color w:val="000000" w:themeColor="text1"/>
          <w:sz w:val="32"/>
          <w:szCs w:val="32"/>
        </w:rPr>
      </w:pPr>
      <w:r>
        <w:rPr>
          <w:rStyle w:val="10"/>
          <w:rFonts w:hint="default" w:ascii="Times New Roman" w:hAnsi="Times New Roman" w:eastAsia="楷体" w:cs="Times New Roman"/>
          <w:color w:val="000000" w:themeColor="text1"/>
          <w:sz w:val="32"/>
          <w:szCs w:val="32"/>
          <w:shd w:val="clear" w:color="auto" w:fill="FFFFFF"/>
        </w:rPr>
        <w:t>（十二）“三公”经费：</w:t>
      </w:r>
      <w:r>
        <w:rPr>
          <w:rFonts w:hint="default" w:ascii="Times New Roman" w:hAnsi="Times New Roman" w:eastAsia="方正仿宋_GBK" w:cs="Times New Roman"/>
          <w:color w:val="000000" w:themeColor="text1"/>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B499404">
      <w:pPr>
        <w:pStyle w:val="12"/>
        <w:spacing w:before="0" w:beforeAutospacing="0" w:after="0" w:afterAutospacing="0" w:line="596" w:lineRule="exact"/>
        <w:ind w:firstLine="643" w:firstLineChars="200"/>
        <w:rPr>
          <w:rFonts w:hint="default" w:ascii="Times New Roman" w:hAnsi="Times New Roman" w:eastAsia="方正仿宋_GBK" w:cs="Times New Roman"/>
          <w:color w:val="000000" w:themeColor="text1"/>
          <w:sz w:val="32"/>
          <w:szCs w:val="32"/>
        </w:rPr>
      </w:pPr>
      <w:r>
        <w:rPr>
          <w:rStyle w:val="10"/>
          <w:rFonts w:hint="default" w:ascii="Times New Roman" w:hAnsi="Times New Roman" w:eastAsia="楷体" w:cs="Times New Roman"/>
          <w:color w:val="000000" w:themeColor="text1"/>
          <w:sz w:val="32"/>
          <w:szCs w:val="32"/>
          <w:shd w:val="clear" w:color="auto" w:fill="FFFFFF"/>
        </w:rPr>
        <w:t>（十三）机关运行经费：</w:t>
      </w:r>
      <w:r>
        <w:rPr>
          <w:rFonts w:hint="default" w:ascii="Times New Roman" w:hAnsi="Times New Roman" w:eastAsia="方正仿宋_GBK" w:cs="Times New Roman"/>
          <w:color w:val="000000" w:themeColor="text1"/>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E9488C4">
      <w:pPr>
        <w:pStyle w:val="12"/>
        <w:spacing w:before="0" w:beforeAutospacing="0" w:after="0" w:afterAutospacing="0" w:line="596" w:lineRule="exact"/>
        <w:ind w:firstLine="643" w:firstLineChars="200"/>
        <w:rPr>
          <w:rFonts w:hint="default" w:ascii="Times New Roman" w:hAnsi="Times New Roman" w:eastAsia="方正仿宋_GBK" w:cs="Times New Roman"/>
          <w:color w:val="000000" w:themeColor="text1"/>
          <w:sz w:val="32"/>
          <w:szCs w:val="32"/>
        </w:rPr>
      </w:pPr>
      <w:r>
        <w:rPr>
          <w:rStyle w:val="10"/>
          <w:rFonts w:hint="default" w:ascii="Times New Roman" w:hAnsi="Times New Roman" w:eastAsia="楷体" w:cs="Times New Roman"/>
          <w:color w:val="000000" w:themeColor="text1"/>
          <w:sz w:val="32"/>
          <w:szCs w:val="32"/>
          <w:shd w:val="clear" w:color="auto" w:fill="FFFFFF"/>
        </w:rPr>
        <w:t>（十四）工资福利支出（支出经济分类科目类级）：</w:t>
      </w:r>
      <w:r>
        <w:rPr>
          <w:rFonts w:hint="default" w:ascii="Times New Roman" w:hAnsi="Times New Roman" w:eastAsia="方正仿宋_GBK" w:cs="Times New Roman"/>
          <w:color w:val="000000" w:themeColor="text1"/>
          <w:sz w:val="32"/>
          <w:szCs w:val="32"/>
          <w:shd w:val="clear" w:color="auto" w:fill="FFFFFF"/>
        </w:rPr>
        <w:t>反映单位开支的在职职工和编制外长期聘用人员的各类劳动报酬，以及为上述人员缴纳的各项社会保险费等。</w:t>
      </w:r>
    </w:p>
    <w:p w14:paraId="33DD9517">
      <w:pPr>
        <w:pStyle w:val="12"/>
        <w:spacing w:before="0" w:beforeAutospacing="0" w:after="0" w:afterAutospacing="0" w:line="596" w:lineRule="exact"/>
        <w:ind w:firstLine="643" w:firstLineChars="200"/>
        <w:rPr>
          <w:rFonts w:hint="default" w:ascii="Times New Roman" w:hAnsi="Times New Roman" w:eastAsia="方正仿宋_GBK" w:cs="Times New Roman"/>
          <w:color w:val="000000" w:themeColor="text1"/>
          <w:sz w:val="32"/>
          <w:szCs w:val="32"/>
        </w:rPr>
      </w:pPr>
      <w:r>
        <w:rPr>
          <w:rStyle w:val="10"/>
          <w:rFonts w:hint="default" w:ascii="Times New Roman" w:hAnsi="Times New Roman" w:eastAsia="楷体" w:cs="Times New Roman"/>
          <w:color w:val="000000" w:themeColor="text1"/>
          <w:sz w:val="32"/>
          <w:szCs w:val="32"/>
          <w:shd w:val="clear" w:color="auto" w:fill="FFFFFF"/>
        </w:rPr>
        <w:t>（十五）商品和服务支出（支出经济分类科目类级）：</w:t>
      </w:r>
      <w:r>
        <w:rPr>
          <w:rFonts w:hint="default" w:ascii="Times New Roman" w:hAnsi="Times New Roman" w:eastAsia="方正仿宋_GBK" w:cs="Times New Roman"/>
          <w:color w:val="000000" w:themeColor="text1"/>
          <w:sz w:val="32"/>
          <w:szCs w:val="32"/>
          <w:shd w:val="clear" w:color="auto" w:fill="FFFFFF"/>
        </w:rPr>
        <w:t>反映单位购买商品和服务的支出（不包括用于购置固定资产的支出、战略性和应急储备支出）。</w:t>
      </w:r>
    </w:p>
    <w:p w14:paraId="0C5C32F0">
      <w:pPr>
        <w:pStyle w:val="12"/>
        <w:spacing w:before="0" w:beforeAutospacing="0" w:after="0" w:afterAutospacing="0" w:line="596" w:lineRule="exact"/>
        <w:ind w:firstLine="643" w:firstLineChars="200"/>
        <w:rPr>
          <w:rFonts w:hint="default" w:ascii="Times New Roman" w:hAnsi="Times New Roman" w:eastAsia="方正仿宋_GBK" w:cs="Times New Roman"/>
          <w:color w:val="000000" w:themeColor="text1"/>
          <w:sz w:val="32"/>
          <w:szCs w:val="32"/>
        </w:rPr>
      </w:pPr>
      <w:r>
        <w:rPr>
          <w:rStyle w:val="10"/>
          <w:rFonts w:hint="default" w:ascii="Times New Roman" w:hAnsi="Times New Roman" w:eastAsia="楷体" w:cs="Times New Roman"/>
          <w:color w:val="000000" w:themeColor="text1"/>
          <w:sz w:val="32"/>
          <w:szCs w:val="32"/>
          <w:shd w:val="clear" w:color="auto" w:fill="FFFFFF"/>
        </w:rPr>
        <w:t>（十六）对个人和家庭的补助（支出经济分类科目类级）：</w:t>
      </w:r>
      <w:r>
        <w:rPr>
          <w:rFonts w:hint="default" w:ascii="Times New Roman" w:hAnsi="Times New Roman" w:eastAsia="方正仿宋_GBK" w:cs="Times New Roman"/>
          <w:color w:val="000000" w:themeColor="text1"/>
          <w:sz w:val="32"/>
          <w:szCs w:val="32"/>
          <w:shd w:val="clear" w:color="auto" w:fill="FFFFFF"/>
        </w:rPr>
        <w:t>反映用于对个人和家庭的补助支出。</w:t>
      </w:r>
    </w:p>
    <w:p w14:paraId="37A87FA3">
      <w:pPr>
        <w:pStyle w:val="12"/>
        <w:spacing w:before="0" w:beforeAutospacing="0" w:after="0" w:afterAutospacing="0" w:line="596" w:lineRule="exact"/>
        <w:ind w:firstLine="643" w:firstLineChars="200"/>
        <w:rPr>
          <w:rFonts w:hint="default" w:ascii="Times New Roman" w:hAnsi="Times New Roman" w:eastAsia="方正仿宋_GBK" w:cs="Times New Roman"/>
          <w:color w:val="000000" w:themeColor="text1"/>
          <w:sz w:val="32"/>
          <w:szCs w:val="32"/>
        </w:rPr>
      </w:pPr>
      <w:r>
        <w:rPr>
          <w:rStyle w:val="10"/>
          <w:rFonts w:hint="default" w:ascii="Times New Roman" w:hAnsi="Times New Roman" w:eastAsia="楷体" w:cs="Times New Roman"/>
          <w:color w:val="000000" w:themeColor="text1"/>
          <w:sz w:val="32"/>
          <w:szCs w:val="32"/>
          <w:shd w:val="clear" w:color="auto" w:fill="FFFFFF"/>
        </w:rPr>
        <w:t>（十七）其他资本性支出（支出经济分类科目类级）：</w:t>
      </w:r>
      <w:r>
        <w:rPr>
          <w:rFonts w:hint="default" w:ascii="Times New Roman" w:hAnsi="Times New Roman" w:eastAsia="方正仿宋_GBK" w:cs="Times New Roman"/>
          <w:color w:val="000000" w:themeColor="text1"/>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023A44E">
      <w:pPr>
        <w:pStyle w:val="12"/>
        <w:spacing w:before="0" w:beforeAutospacing="0" w:after="0" w:afterAutospacing="0" w:line="596" w:lineRule="exact"/>
        <w:ind w:firstLine="643" w:firstLineChars="200"/>
        <w:rPr>
          <w:rFonts w:hint="default" w:ascii="Times New Roman" w:hAnsi="Times New Roman" w:eastAsia="方正仿宋_GBK" w:cs="Times New Roman"/>
          <w:color w:val="000000" w:themeColor="text1"/>
          <w:sz w:val="32"/>
          <w:szCs w:val="32"/>
        </w:rPr>
      </w:pPr>
      <w:r>
        <w:rPr>
          <w:rStyle w:val="10"/>
          <w:rFonts w:hint="default" w:ascii="Times New Roman" w:hAnsi="Times New Roman" w:eastAsia="黑体" w:cs="Times New Roman"/>
          <w:color w:val="000000" w:themeColor="text1"/>
          <w:sz w:val="32"/>
          <w:szCs w:val="32"/>
          <w:shd w:val="clear" w:color="auto" w:fill="FFFFFF"/>
        </w:rPr>
        <w:t>七、决算公开联系方式及信息反馈渠道</w:t>
      </w:r>
    </w:p>
    <w:p w14:paraId="46435AC5">
      <w:pPr>
        <w:pStyle w:val="12"/>
        <w:spacing w:before="0" w:beforeAutospacing="0" w:after="0" w:afterAutospacing="0" w:line="596"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本</w:t>
      </w:r>
      <w:r>
        <w:rPr>
          <w:rFonts w:hint="default" w:ascii="Times New Roman" w:hAnsi="Times New Roman" w:eastAsia="方正仿宋_GBK" w:cs="Times New Roman"/>
          <w:color w:val="000000" w:themeColor="text1"/>
          <w:sz w:val="32"/>
          <w:szCs w:val="32"/>
          <w:shd w:val="clear" w:color="auto" w:fill="FFFFFF"/>
          <w:lang w:val="en-US" w:eastAsia="zh-CN"/>
        </w:rPr>
        <w:t>部门</w:t>
      </w:r>
      <w:r>
        <w:rPr>
          <w:rFonts w:hint="default" w:ascii="Times New Roman" w:hAnsi="Times New Roman" w:eastAsia="方正仿宋_GBK" w:cs="Times New Roman"/>
          <w:color w:val="000000" w:themeColor="text1"/>
          <w:sz w:val="32"/>
          <w:szCs w:val="32"/>
          <w:shd w:val="clear" w:color="auto" w:fill="FFFFFF"/>
        </w:rPr>
        <w:t>决算公开信息反馈和联系方式：</w:t>
      </w:r>
    </w:p>
    <w:p w14:paraId="302F50A1">
      <w:pPr>
        <w:pStyle w:val="12"/>
        <w:spacing w:before="0" w:beforeAutospacing="0" w:after="0" w:afterAutospacing="0" w:line="596" w:lineRule="exact"/>
        <w:ind w:firstLine="640" w:firstLineChars="200"/>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陈红   023-70717885</w:t>
      </w:r>
    </w:p>
    <w:p w14:paraId="10DBF405">
      <w:pPr>
        <w:pStyle w:val="11"/>
        <w:autoSpaceDE w:val="0"/>
        <w:spacing w:line="596" w:lineRule="exact"/>
        <w:ind w:firstLine="643"/>
        <w:jc w:val="both"/>
        <w:rPr>
          <w:rStyle w:val="10"/>
          <w:rFonts w:hint="default" w:ascii="Times New Roman" w:hAnsi="Times New Roman" w:eastAsia="方正仿宋_GBK" w:cs="Times New Roman"/>
          <w:color w:val="000000" w:themeColor="text1"/>
          <w:sz w:val="32"/>
          <w:szCs w:val="32"/>
          <w:shd w:val="clear" w:color="auto" w:fill="FFFF00"/>
        </w:rPr>
        <w:sectPr>
          <w:pgSz w:w="11915" w:h="16840"/>
          <w:pgMar w:top="1440" w:right="1800" w:bottom="1440" w:left="1800" w:header="851" w:footer="992" w:gutter="0"/>
          <w:pgNumType w:fmt="numberInDash"/>
          <w:cols w:space="720" w:num="1"/>
          <w:docGrid w:type="lines" w:linePitch="326"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7788601">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7A07AD1">
            <w:pPr>
              <w:spacing w:line="400" w:lineRule="exact"/>
              <w:jc w:val="center"/>
              <w:textAlignment w:val="bottom"/>
              <w:rPr>
                <w:rFonts w:hint="default" w:ascii="Times New Roman" w:hAnsi="Times New Roman" w:cs="Times New Roman"/>
                <w:b/>
                <w:color w:val="000000" w:themeColor="text1"/>
                <w:sz w:val="32"/>
                <w:szCs w:val="32"/>
              </w:rPr>
            </w:pPr>
            <w:r>
              <w:rPr>
                <w:rFonts w:hint="default" w:ascii="Times New Roman" w:hAnsi="Times New Roman" w:cs="Times New Roman"/>
                <w:b/>
                <w:color w:val="000000" w:themeColor="text1"/>
                <w:sz w:val="32"/>
                <w:szCs w:val="32"/>
              </w:rPr>
              <w:t>收入支出决算总表</w:t>
            </w:r>
          </w:p>
        </w:tc>
      </w:tr>
      <w:tr w14:paraId="597B1BC3">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F4DC4D1">
            <w:pPr>
              <w:spacing w:line="200" w:lineRule="exact"/>
              <w:rPr>
                <w:rFonts w:hint="default" w:ascii="Times New Roman" w:hAnsi="Times New Roman" w:cs="Times New Roman"/>
                <w:color w:val="000000" w:themeColor="text1"/>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21E0327">
            <w:pPr>
              <w:spacing w:line="200" w:lineRule="exact"/>
              <w:jc w:val="right"/>
              <w:rPr>
                <w:rFonts w:hint="default" w:ascii="Times New Roman" w:hAnsi="Times New Roman" w:cs="Times New Roman"/>
                <w:color w:val="000000" w:themeColor="text1"/>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61B2C0F">
            <w:pPr>
              <w:spacing w:line="200" w:lineRule="exact"/>
              <w:rPr>
                <w:rFonts w:hint="default" w:ascii="Times New Roman" w:hAnsi="Times New Roman" w:cs="Times New Roman"/>
                <w:color w:val="000000" w:themeColor="text1"/>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74E365D">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公开</w:t>
            </w:r>
            <w:r>
              <w:rPr>
                <w:rFonts w:hint="default" w:ascii="Times New Roman" w:hAnsi="Times New Roman" w:cs="Times New Roman"/>
                <w:color w:val="000000" w:themeColor="text1"/>
                <w:sz w:val="20"/>
                <w:szCs w:val="20"/>
              </w:rPr>
              <w:t>01</w:t>
            </w:r>
            <w:r>
              <w:rPr>
                <w:rFonts w:hint="default" w:ascii="Times New Roman" w:hAnsi="Times New Roman" w:cs="Times New Roman"/>
                <w:color w:val="000000" w:themeColor="text1"/>
                <w:sz w:val="20"/>
                <w:szCs w:val="20"/>
              </w:rPr>
              <w:t>表</w:t>
            </w:r>
          </w:p>
        </w:tc>
      </w:tr>
      <w:tr w14:paraId="21D02040">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74486E7">
            <w:pPr>
              <w:spacing w:line="280" w:lineRule="exac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0"/>
                <w:szCs w:val="20"/>
              </w:rPr>
              <w:t>部门：</w:t>
            </w:r>
            <w:r>
              <w:rPr>
                <w:rFonts w:hint="default" w:ascii="Times New Roman" w:hAnsi="Times New Roman" w:cs="Times New Roman"/>
                <w:color w:val="000000" w:themeColor="text1"/>
                <w:sz w:val="20"/>
              </w:rPr>
              <w:t>丰都县人力资源和社会保障局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52BA0C5">
            <w:pPr>
              <w:spacing w:line="200" w:lineRule="exact"/>
              <w:rPr>
                <w:rFonts w:hint="default" w:ascii="Times New Roman" w:hAnsi="Times New Roman" w:cs="Times New Roman"/>
                <w:color w:val="000000" w:themeColor="text1"/>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231F0E2">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单位：万元</w:t>
            </w:r>
          </w:p>
        </w:tc>
      </w:tr>
      <w:tr w14:paraId="74576FDA">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9940A">
            <w:pPr>
              <w:spacing w:line="240"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71C7F2">
            <w:pPr>
              <w:spacing w:line="240"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支出</w:t>
            </w:r>
          </w:p>
        </w:tc>
      </w:tr>
      <w:tr w14:paraId="59A9DF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15964">
            <w:pPr>
              <w:spacing w:line="240"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1B321">
            <w:pPr>
              <w:spacing w:line="240"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730DF">
            <w:pPr>
              <w:spacing w:line="240"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09280">
            <w:pPr>
              <w:spacing w:line="240"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决算数</w:t>
            </w:r>
          </w:p>
        </w:tc>
      </w:tr>
      <w:tr w14:paraId="488F03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19ED">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66340">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10,680.73</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348A1">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609F4">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2.85</w:t>
            </w:r>
          </w:p>
        </w:tc>
      </w:tr>
      <w:tr w14:paraId="58F90D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A6D0">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EE78A">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87CA7">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32A9A">
            <w:pPr>
              <w:wordWrap w:val="0"/>
              <w:spacing w:line="200" w:lineRule="exact"/>
              <w:jc w:val="right"/>
              <w:textAlignment w:val="center"/>
              <w:rPr>
                <w:rFonts w:hint="default" w:ascii="Times New Roman" w:hAnsi="Times New Roman" w:cs="Times New Roman"/>
                <w:color w:val="000000" w:themeColor="text1"/>
                <w:sz w:val="20"/>
                <w:szCs w:val="20"/>
              </w:rPr>
            </w:pPr>
          </w:p>
        </w:tc>
      </w:tr>
      <w:tr w14:paraId="20FF78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F1775">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3256C">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5C50F">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060A7">
            <w:pPr>
              <w:wordWrap w:val="0"/>
              <w:spacing w:line="200" w:lineRule="exact"/>
              <w:jc w:val="right"/>
              <w:textAlignment w:val="center"/>
              <w:rPr>
                <w:rFonts w:hint="default" w:ascii="Times New Roman" w:hAnsi="Times New Roman" w:cs="Times New Roman"/>
                <w:color w:val="000000" w:themeColor="text1"/>
                <w:sz w:val="20"/>
                <w:szCs w:val="20"/>
              </w:rPr>
            </w:pPr>
          </w:p>
        </w:tc>
      </w:tr>
      <w:tr w14:paraId="46611B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0886">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581C9">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55139">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D43C2">
            <w:pPr>
              <w:wordWrap w:val="0"/>
              <w:spacing w:line="200" w:lineRule="exact"/>
              <w:jc w:val="right"/>
              <w:textAlignment w:val="center"/>
              <w:rPr>
                <w:rFonts w:hint="default" w:ascii="Times New Roman" w:hAnsi="Times New Roman" w:cs="Times New Roman"/>
                <w:color w:val="000000" w:themeColor="text1"/>
                <w:sz w:val="20"/>
                <w:szCs w:val="20"/>
              </w:rPr>
            </w:pPr>
          </w:p>
        </w:tc>
      </w:tr>
      <w:tr w14:paraId="69CDAA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DC613">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AECFE">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382.38</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4094D">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E1980">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689.16</w:t>
            </w:r>
          </w:p>
        </w:tc>
      </w:tr>
      <w:tr w14:paraId="1AA6CA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61BF9">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EDC08">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EAC95">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9A0D2">
            <w:pPr>
              <w:wordWrap w:val="0"/>
              <w:spacing w:line="200" w:lineRule="exact"/>
              <w:jc w:val="right"/>
              <w:textAlignment w:val="center"/>
              <w:rPr>
                <w:rFonts w:hint="default" w:ascii="Times New Roman" w:hAnsi="Times New Roman" w:cs="Times New Roman"/>
                <w:color w:val="000000" w:themeColor="text1"/>
                <w:sz w:val="20"/>
                <w:szCs w:val="20"/>
              </w:rPr>
            </w:pPr>
          </w:p>
        </w:tc>
      </w:tr>
      <w:tr w14:paraId="0A7937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C6D13">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65C44">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3B15B">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C9DCA">
            <w:pPr>
              <w:wordWrap w:val="0"/>
              <w:spacing w:line="200" w:lineRule="exact"/>
              <w:jc w:val="right"/>
              <w:textAlignment w:val="center"/>
              <w:rPr>
                <w:rFonts w:hint="default" w:ascii="Times New Roman" w:hAnsi="Times New Roman" w:cs="Times New Roman"/>
                <w:color w:val="000000" w:themeColor="text1"/>
                <w:sz w:val="20"/>
                <w:szCs w:val="20"/>
              </w:rPr>
            </w:pPr>
          </w:p>
        </w:tc>
      </w:tr>
      <w:tr w14:paraId="56C034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57C86">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AA2D7C8">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C3B65">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53771">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9,445.82</w:t>
            </w:r>
          </w:p>
        </w:tc>
      </w:tr>
      <w:tr w14:paraId="33B8FD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40825">
            <w:pPr>
              <w:spacing w:line="240" w:lineRule="exact"/>
              <w:rPr>
                <w:rFonts w:hint="default" w:ascii="Times New Roman" w:hAnsi="Times New Roman" w:cs="Times New Roman"/>
                <w:b/>
                <w:bCs/>
                <w:color w:val="000000" w:themeColor="text1"/>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45AF65">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6D9BB">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E657A">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130.28</w:t>
            </w:r>
          </w:p>
        </w:tc>
      </w:tr>
      <w:tr w14:paraId="55DD91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F3490">
            <w:pPr>
              <w:spacing w:line="240" w:lineRule="exact"/>
              <w:rPr>
                <w:rFonts w:hint="default" w:ascii="Times New Roman" w:hAnsi="Times New Roman" w:cs="Times New Roman"/>
                <w:b/>
                <w:bCs/>
                <w:color w:val="000000" w:themeColor="text1"/>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28D186">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AA4CE">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9A1C4">
            <w:pPr>
              <w:wordWrap w:val="0"/>
              <w:spacing w:line="200" w:lineRule="exact"/>
              <w:jc w:val="right"/>
              <w:textAlignment w:val="center"/>
              <w:rPr>
                <w:rFonts w:hint="default" w:ascii="Times New Roman" w:hAnsi="Times New Roman" w:cs="Times New Roman"/>
                <w:color w:val="000000" w:themeColor="text1"/>
                <w:sz w:val="20"/>
                <w:szCs w:val="20"/>
              </w:rPr>
            </w:pPr>
          </w:p>
        </w:tc>
      </w:tr>
      <w:tr w14:paraId="7DF321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C3FCE">
            <w:pPr>
              <w:spacing w:line="240" w:lineRule="exact"/>
              <w:rPr>
                <w:rFonts w:hint="default" w:ascii="Times New Roman" w:hAnsi="Times New Roman" w:cs="Times New Roman"/>
                <w:b/>
                <w:bCs/>
                <w:color w:val="000000" w:themeColor="text1"/>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D1978D">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656FB">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D216F">
            <w:pPr>
              <w:wordWrap w:val="0"/>
              <w:spacing w:line="200" w:lineRule="exact"/>
              <w:jc w:val="right"/>
              <w:textAlignment w:val="center"/>
              <w:rPr>
                <w:rFonts w:hint="default" w:ascii="Times New Roman" w:hAnsi="Times New Roman" w:cs="Times New Roman"/>
                <w:color w:val="000000" w:themeColor="text1"/>
                <w:sz w:val="20"/>
                <w:szCs w:val="20"/>
              </w:rPr>
            </w:pPr>
          </w:p>
        </w:tc>
      </w:tr>
      <w:tr w14:paraId="736CC1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550F7">
            <w:pPr>
              <w:spacing w:line="240" w:lineRule="exact"/>
              <w:rPr>
                <w:rFonts w:hint="default" w:ascii="Times New Roman" w:hAnsi="Times New Roman" w:cs="Times New Roman"/>
                <w:b/>
                <w:bCs/>
                <w:color w:val="000000" w:themeColor="text1"/>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F6BF86">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7A41F">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7738A">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712.07</w:t>
            </w:r>
          </w:p>
        </w:tc>
      </w:tr>
      <w:tr w14:paraId="03F65A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F334D">
            <w:pPr>
              <w:spacing w:line="240" w:lineRule="exact"/>
              <w:rPr>
                <w:rFonts w:hint="default" w:ascii="Times New Roman" w:hAnsi="Times New Roman" w:cs="Times New Roman"/>
                <w:b/>
                <w:bCs/>
                <w:color w:val="000000" w:themeColor="text1"/>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B82D9">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00467">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2F248">
            <w:pPr>
              <w:wordWrap w:val="0"/>
              <w:spacing w:line="200" w:lineRule="exact"/>
              <w:jc w:val="right"/>
              <w:textAlignment w:val="center"/>
              <w:rPr>
                <w:rFonts w:hint="default" w:ascii="Times New Roman" w:hAnsi="Times New Roman" w:cs="Times New Roman"/>
                <w:color w:val="000000" w:themeColor="text1"/>
                <w:sz w:val="20"/>
                <w:szCs w:val="20"/>
              </w:rPr>
            </w:pPr>
          </w:p>
        </w:tc>
      </w:tr>
      <w:tr w14:paraId="44FE3F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467F">
            <w:pPr>
              <w:spacing w:line="240" w:lineRule="exact"/>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407A8">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5B594">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AED07">
            <w:pPr>
              <w:wordWrap w:val="0"/>
              <w:spacing w:line="200" w:lineRule="exact"/>
              <w:jc w:val="right"/>
              <w:textAlignment w:val="center"/>
              <w:rPr>
                <w:rFonts w:hint="default" w:ascii="Times New Roman" w:hAnsi="Times New Roman" w:cs="Times New Roman"/>
                <w:color w:val="000000" w:themeColor="text1"/>
                <w:sz w:val="20"/>
                <w:szCs w:val="20"/>
              </w:rPr>
            </w:pPr>
          </w:p>
        </w:tc>
      </w:tr>
      <w:tr w14:paraId="7FC426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17EE8">
            <w:pPr>
              <w:spacing w:line="240" w:lineRule="exact"/>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D9342">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0A553">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728BB">
            <w:pPr>
              <w:wordWrap w:val="0"/>
              <w:spacing w:line="200" w:lineRule="exact"/>
              <w:jc w:val="right"/>
              <w:textAlignment w:val="center"/>
              <w:rPr>
                <w:rFonts w:hint="default" w:ascii="Times New Roman" w:hAnsi="Times New Roman" w:cs="Times New Roman"/>
                <w:color w:val="000000" w:themeColor="text1"/>
                <w:sz w:val="20"/>
                <w:szCs w:val="20"/>
              </w:rPr>
            </w:pPr>
          </w:p>
        </w:tc>
      </w:tr>
      <w:tr w14:paraId="0AD83D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FB824">
            <w:pPr>
              <w:spacing w:line="240" w:lineRule="exact"/>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5C96A">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B50BD">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3BBFC">
            <w:pPr>
              <w:wordWrap w:val="0"/>
              <w:spacing w:line="200" w:lineRule="exact"/>
              <w:jc w:val="right"/>
              <w:textAlignment w:val="center"/>
              <w:rPr>
                <w:rFonts w:hint="default" w:ascii="Times New Roman" w:hAnsi="Times New Roman" w:cs="Times New Roman"/>
                <w:color w:val="000000" w:themeColor="text1"/>
                <w:sz w:val="20"/>
                <w:szCs w:val="20"/>
              </w:rPr>
            </w:pPr>
          </w:p>
        </w:tc>
      </w:tr>
      <w:tr w14:paraId="48C1F1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E97A1">
            <w:pPr>
              <w:spacing w:line="240" w:lineRule="exact"/>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4CE41">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E3ACB">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A5B66">
            <w:pPr>
              <w:wordWrap w:val="0"/>
              <w:spacing w:line="200" w:lineRule="exact"/>
              <w:jc w:val="right"/>
              <w:textAlignment w:val="center"/>
              <w:rPr>
                <w:rFonts w:hint="default" w:ascii="Times New Roman" w:hAnsi="Times New Roman" w:cs="Times New Roman"/>
                <w:color w:val="000000" w:themeColor="text1"/>
                <w:sz w:val="20"/>
                <w:szCs w:val="20"/>
              </w:rPr>
            </w:pPr>
          </w:p>
        </w:tc>
      </w:tr>
      <w:tr w14:paraId="7A9036B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D272">
            <w:pPr>
              <w:spacing w:line="240" w:lineRule="exact"/>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528F6">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1BABD">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4E7C8">
            <w:pPr>
              <w:wordWrap w:val="0"/>
              <w:spacing w:line="200" w:lineRule="exact"/>
              <w:jc w:val="right"/>
              <w:textAlignment w:val="center"/>
              <w:rPr>
                <w:rFonts w:hint="default" w:ascii="Times New Roman" w:hAnsi="Times New Roman" w:cs="Times New Roman"/>
                <w:color w:val="000000" w:themeColor="text1"/>
                <w:sz w:val="20"/>
                <w:szCs w:val="20"/>
              </w:rPr>
            </w:pPr>
          </w:p>
        </w:tc>
      </w:tr>
      <w:tr w14:paraId="723B6C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F7C94">
            <w:pPr>
              <w:spacing w:line="240" w:lineRule="exact"/>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4C6CD">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FC53C">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C3171">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132.53</w:t>
            </w:r>
          </w:p>
        </w:tc>
      </w:tr>
      <w:tr w14:paraId="571602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39AB">
            <w:pPr>
              <w:spacing w:line="240" w:lineRule="exact"/>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CFD3D">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E46E1">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7B7A0">
            <w:pPr>
              <w:wordWrap w:val="0"/>
              <w:spacing w:line="200" w:lineRule="exact"/>
              <w:jc w:val="right"/>
              <w:textAlignment w:val="center"/>
              <w:rPr>
                <w:rFonts w:hint="default" w:ascii="Times New Roman" w:hAnsi="Times New Roman" w:cs="Times New Roman"/>
                <w:color w:val="000000" w:themeColor="text1"/>
                <w:sz w:val="20"/>
                <w:szCs w:val="20"/>
              </w:rPr>
            </w:pPr>
          </w:p>
        </w:tc>
      </w:tr>
      <w:tr w14:paraId="5DA6C3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58847">
            <w:pPr>
              <w:spacing w:line="240" w:lineRule="exact"/>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A15FA">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DD69F">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F05E5">
            <w:pPr>
              <w:wordWrap w:val="0"/>
              <w:spacing w:line="200" w:lineRule="exact"/>
              <w:jc w:val="right"/>
              <w:textAlignment w:val="center"/>
              <w:rPr>
                <w:rFonts w:hint="default" w:ascii="Times New Roman" w:hAnsi="Times New Roman" w:cs="Times New Roman"/>
                <w:color w:val="000000" w:themeColor="text1"/>
                <w:sz w:val="20"/>
                <w:szCs w:val="20"/>
              </w:rPr>
            </w:pPr>
          </w:p>
        </w:tc>
      </w:tr>
      <w:tr w14:paraId="43DFC5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8B05">
            <w:pPr>
              <w:spacing w:line="240" w:lineRule="exact"/>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0448A">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C1698">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7E4A3">
            <w:pPr>
              <w:wordWrap w:val="0"/>
              <w:spacing w:line="200" w:lineRule="exact"/>
              <w:jc w:val="right"/>
              <w:textAlignment w:val="center"/>
              <w:rPr>
                <w:rFonts w:hint="default" w:ascii="Times New Roman" w:hAnsi="Times New Roman" w:cs="Times New Roman"/>
                <w:color w:val="000000" w:themeColor="text1"/>
                <w:sz w:val="20"/>
                <w:szCs w:val="20"/>
              </w:rPr>
            </w:pPr>
          </w:p>
        </w:tc>
      </w:tr>
      <w:tr w14:paraId="77003D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F2B7D">
            <w:pPr>
              <w:spacing w:line="240" w:lineRule="exact"/>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5632E">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3E4F9">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0EC4F">
            <w:pPr>
              <w:wordWrap w:val="0"/>
              <w:spacing w:line="200" w:lineRule="exact"/>
              <w:jc w:val="right"/>
              <w:textAlignment w:val="center"/>
              <w:rPr>
                <w:rFonts w:hint="default" w:ascii="Times New Roman" w:hAnsi="Times New Roman" w:cs="Times New Roman"/>
                <w:color w:val="000000" w:themeColor="text1"/>
                <w:sz w:val="20"/>
                <w:szCs w:val="20"/>
              </w:rPr>
            </w:pPr>
          </w:p>
        </w:tc>
      </w:tr>
      <w:tr w14:paraId="5B9505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BC49F">
            <w:pPr>
              <w:spacing w:line="240" w:lineRule="exact"/>
              <w:jc w:val="center"/>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0544B">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47533">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02DC7">
            <w:pPr>
              <w:wordWrap w:val="0"/>
              <w:spacing w:line="200" w:lineRule="exact"/>
              <w:jc w:val="right"/>
              <w:textAlignment w:val="center"/>
              <w:rPr>
                <w:rFonts w:hint="default" w:ascii="Times New Roman" w:hAnsi="Times New Roman" w:cs="Times New Roman"/>
                <w:color w:val="000000" w:themeColor="text1"/>
                <w:sz w:val="20"/>
                <w:szCs w:val="20"/>
              </w:rPr>
            </w:pPr>
          </w:p>
        </w:tc>
      </w:tr>
      <w:tr w14:paraId="69EE3D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8C214">
            <w:pPr>
              <w:spacing w:line="240" w:lineRule="exact"/>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C5FB4">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09D81">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0EF23">
            <w:pPr>
              <w:wordWrap w:val="0"/>
              <w:spacing w:line="200" w:lineRule="exact"/>
              <w:jc w:val="right"/>
              <w:textAlignment w:val="center"/>
              <w:rPr>
                <w:rFonts w:hint="default" w:ascii="Times New Roman" w:hAnsi="Times New Roman" w:cs="Times New Roman"/>
                <w:color w:val="000000" w:themeColor="text1"/>
                <w:sz w:val="20"/>
                <w:szCs w:val="20"/>
              </w:rPr>
            </w:pPr>
          </w:p>
        </w:tc>
      </w:tr>
      <w:tr w14:paraId="504227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AB3EF">
            <w:pPr>
              <w:spacing w:line="240" w:lineRule="exact"/>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234A1">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822FA">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6B474">
            <w:pPr>
              <w:wordWrap w:val="0"/>
              <w:spacing w:line="200" w:lineRule="exact"/>
              <w:jc w:val="right"/>
              <w:textAlignment w:val="center"/>
              <w:rPr>
                <w:rFonts w:hint="default" w:ascii="Times New Roman" w:hAnsi="Times New Roman" w:cs="Times New Roman"/>
                <w:color w:val="000000" w:themeColor="text1"/>
                <w:sz w:val="20"/>
                <w:szCs w:val="20"/>
              </w:rPr>
            </w:pPr>
          </w:p>
        </w:tc>
      </w:tr>
      <w:tr w14:paraId="00ADED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E9796">
            <w:pPr>
              <w:spacing w:line="240" w:lineRule="exact"/>
              <w:jc w:val="center"/>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DFD0B">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11,063.12</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34EC9">
            <w:pPr>
              <w:spacing w:line="240" w:lineRule="exact"/>
              <w:jc w:val="center"/>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7DC7E">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11,112.71</w:t>
            </w:r>
          </w:p>
        </w:tc>
      </w:tr>
      <w:tr w14:paraId="20AF6F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3D8A">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DABFE">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9ACEA">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CE9C9">
            <w:pPr>
              <w:wordWrap w:val="0"/>
              <w:spacing w:line="200" w:lineRule="exact"/>
              <w:jc w:val="right"/>
              <w:textAlignment w:val="center"/>
              <w:rPr>
                <w:rFonts w:hint="default" w:ascii="Times New Roman" w:hAnsi="Times New Roman" w:cs="Times New Roman"/>
                <w:color w:val="000000" w:themeColor="text1"/>
                <w:sz w:val="20"/>
                <w:szCs w:val="20"/>
              </w:rPr>
            </w:pPr>
          </w:p>
        </w:tc>
      </w:tr>
      <w:tr w14:paraId="177563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3103F">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351B4">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503.81</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D6BF9">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223094A">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454.22</w:t>
            </w:r>
          </w:p>
        </w:tc>
      </w:tr>
      <w:tr w14:paraId="375F4F93">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65C42">
            <w:pPr>
              <w:spacing w:line="240"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C4A86">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11,566.93</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9C1AE49">
            <w:pPr>
              <w:spacing w:line="240"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A96DE1">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11,566.93</w:t>
            </w:r>
          </w:p>
        </w:tc>
      </w:tr>
    </w:tbl>
    <w:p w14:paraId="6EF03272">
      <w:pPr>
        <w:rPr>
          <w:rFonts w:hint="default" w:ascii="Times New Roman" w:hAnsi="Times New Roman" w:cs="Times New Roman"/>
          <w:color w:val="000000" w:themeColor="text1"/>
          <w:sz w:val="21"/>
          <w:szCs w:val="21"/>
        </w:rPr>
      </w:pPr>
    </w:p>
    <w:p w14:paraId="35382909">
      <w:pPr>
        <w:spacing w:line="240" w:lineRule="exact"/>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备注：1.本表反映部门本年度的总收支和年末结转结余情况。</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t xml:space="preserve">      2.本套报表金额单位转换时可能存在尾数误差。</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2951F9E3">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BC36692">
            <w:pPr>
              <w:jc w:val="center"/>
              <w:textAlignment w:val="bottom"/>
              <w:rPr>
                <w:rFonts w:hint="default" w:ascii="Times New Roman" w:hAnsi="Times New Roman" w:cs="Times New Roman"/>
                <w:b/>
                <w:color w:val="000000" w:themeColor="text1"/>
                <w:sz w:val="32"/>
                <w:szCs w:val="32"/>
              </w:rPr>
            </w:pPr>
            <w:r>
              <w:rPr>
                <w:rFonts w:hint="default" w:ascii="Times New Roman" w:hAnsi="Times New Roman" w:cs="Times New Roman"/>
                <w:b/>
                <w:color w:val="000000" w:themeColor="text1"/>
                <w:sz w:val="32"/>
                <w:szCs w:val="32"/>
              </w:rPr>
              <w:t>收入决算表</w:t>
            </w:r>
          </w:p>
        </w:tc>
      </w:tr>
      <w:tr w14:paraId="1E1A623A">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29F7DF1D">
            <w:pPr>
              <w:spacing w:line="280" w:lineRule="exact"/>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部门：</w:t>
            </w:r>
            <w:r>
              <w:rPr>
                <w:rFonts w:hint="default" w:ascii="Times New Roman" w:hAnsi="Times New Roman" w:cs="Times New Roman"/>
                <w:color w:val="000000" w:themeColor="text1"/>
                <w:sz w:val="20"/>
              </w:rPr>
              <w:t>丰都县人力资源和社会保障局</w:t>
            </w:r>
          </w:p>
        </w:tc>
        <w:tc>
          <w:tcPr>
            <w:tcW w:w="461" w:type="pct"/>
            <w:tcBorders>
              <w:top w:val="nil"/>
              <w:left w:val="nil"/>
              <w:bottom w:val="nil"/>
              <w:right w:val="nil"/>
            </w:tcBorders>
            <w:shd w:val="clear" w:color="auto" w:fill="auto"/>
            <w:noWrap/>
            <w:tcMar>
              <w:top w:w="15" w:type="dxa"/>
              <w:left w:w="15" w:type="dxa"/>
              <w:right w:w="15" w:type="dxa"/>
            </w:tcMar>
            <w:vAlign w:val="bottom"/>
          </w:tcPr>
          <w:p w14:paraId="4ED7DC64">
            <w:pPr>
              <w:rPr>
                <w:rFonts w:hint="default" w:ascii="Times New Roman" w:hAnsi="Times New Roman" w:cs="Times New Roman"/>
                <w:color w:val="000000" w:themeColor="text1"/>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1D3F992B">
            <w:pPr>
              <w:rPr>
                <w:rFonts w:hint="default" w:ascii="Times New Roman" w:hAnsi="Times New Roman" w:cs="Times New Roman"/>
                <w:color w:val="000000" w:themeColor="text1"/>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7AE1C019">
            <w:pPr>
              <w:rPr>
                <w:rFonts w:hint="default" w:ascii="Times New Roman" w:hAnsi="Times New Roman" w:cs="Times New Roman"/>
                <w:color w:val="000000" w:themeColor="text1"/>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158250BA">
            <w:pPr>
              <w:rPr>
                <w:rFonts w:hint="default" w:ascii="Times New Roman" w:hAnsi="Times New Roman" w:cs="Times New Roman"/>
                <w:color w:val="000000" w:themeColor="text1"/>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757C14E">
            <w:pPr>
              <w:rPr>
                <w:rFonts w:hint="default" w:ascii="Times New Roman" w:hAnsi="Times New Roman" w:cs="Times New Roman"/>
                <w:color w:val="000000" w:themeColor="text1"/>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84ADCF5">
            <w:pPr>
              <w:rPr>
                <w:rFonts w:hint="default" w:ascii="Times New Roman" w:hAnsi="Times New Roman" w:cs="Times New Roman"/>
                <w:color w:val="000000" w:themeColor="text1"/>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77CAA0F">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公开</w:t>
            </w:r>
            <w:r>
              <w:rPr>
                <w:rFonts w:hint="default" w:ascii="Times New Roman" w:hAnsi="Times New Roman" w:cs="Times New Roman"/>
                <w:color w:val="000000" w:themeColor="text1"/>
                <w:sz w:val="20"/>
                <w:szCs w:val="20"/>
              </w:rPr>
              <w:t>02</w:t>
            </w:r>
            <w:r>
              <w:rPr>
                <w:rFonts w:hint="default" w:ascii="Times New Roman" w:hAnsi="Times New Roman" w:cs="Times New Roman"/>
                <w:color w:val="000000" w:themeColor="text1"/>
                <w:sz w:val="20"/>
                <w:szCs w:val="20"/>
              </w:rPr>
              <w:t>表</w:t>
            </w:r>
          </w:p>
        </w:tc>
      </w:tr>
      <w:tr w14:paraId="56D0B497">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18B71F17">
            <w:pPr>
              <w:rPr>
                <w:rFonts w:hint="default" w:ascii="Times New Roman" w:hAnsi="Times New Roman" w:cs="Times New Roman"/>
                <w:color w:val="000000" w:themeColor="text1"/>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3DBD7263">
            <w:pPr>
              <w:rPr>
                <w:rFonts w:hint="default" w:ascii="Times New Roman" w:hAnsi="Times New Roman" w:cs="Times New Roman"/>
                <w:color w:val="000000" w:themeColor="text1"/>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6FDF47B9">
            <w:pPr>
              <w:rPr>
                <w:rFonts w:hint="default" w:ascii="Times New Roman" w:hAnsi="Times New Roman" w:cs="Times New Roman"/>
                <w:color w:val="000000" w:themeColor="text1"/>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58814EA6">
            <w:pPr>
              <w:rPr>
                <w:rFonts w:hint="default" w:ascii="Times New Roman" w:hAnsi="Times New Roman" w:cs="Times New Roman"/>
                <w:color w:val="000000" w:themeColor="text1"/>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779F4707">
            <w:pPr>
              <w:rPr>
                <w:rFonts w:hint="default" w:ascii="Times New Roman" w:hAnsi="Times New Roman" w:cs="Times New Roman"/>
                <w:color w:val="000000" w:themeColor="text1"/>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4D1088E">
            <w:pPr>
              <w:rPr>
                <w:rFonts w:hint="default" w:ascii="Times New Roman" w:hAnsi="Times New Roman" w:cs="Times New Roman"/>
                <w:color w:val="000000" w:themeColor="text1"/>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258E96A">
            <w:pPr>
              <w:rPr>
                <w:rFonts w:hint="default" w:ascii="Times New Roman" w:hAnsi="Times New Roman" w:cs="Times New Roman"/>
                <w:color w:val="000000" w:themeColor="text1"/>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366D3D6">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单位：万元</w:t>
            </w:r>
          </w:p>
        </w:tc>
      </w:tr>
      <w:tr w14:paraId="1E7B4AA7">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8E373B2">
            <w:pPr>
              <w:jc w:val="center"/>
              <w:textAlignment w:val="bottom"/>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F2150">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5544F">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3F276">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E68C8C">
            <w:pPr>
              <w:jc w:val="center"/>
              <w:textAlignment w:val="bottom"/>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1E057">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5FB81">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A4F10">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其他收入</w:t>
            </w:r>
          </w:p>
        </w:tc>
      </w:tr>
      <w:tr w14:paraId="21D18616">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BC32">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71311DC">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61730">
            <w:pPr>
              <w:jc w:val="center"/>
              <w:rPr>
                <w:rFonts w:hint="default" w:ascii="Times New Roman" w:hAnsi="Times New Roman" w:cs="Times New Roman"/>
                <w:b/>
                <w:color w:val="000000" w:themeColor="text1"/>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6F181">
            <w:pPr>
              <w:jc w:val="center"/>
              <w:rPr>
                <w:rFonts w:hint="default" w:ascii="Times New Roman" w:hAnsi="Times New Roman" w:cs="Times New Roman"/>
                <w:b/>
                <w:color w:val="000000" w:themeColor="text1"/>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67436">
            <w:pPr>
              <w:jc w:val="center"/>
              <w:rPr>
                <w:rFonts w:hint="default" w:ascii="Times New Roman" w:hAnsi="Times New Roman" w:cs="Times New Roman"/>
                <w:b/>
                <w:color w:val="000000" w:themeColor="text1"/>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8B987">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D48D8">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DC0C6">
            <w:pPr>
              <w:jc w:val="center"/>
              <w:rPr>
                <w:rFonts w:hint="default" w:ascii="Times New Roman" w:hAnsi="Times New Roman" w:cs="Times New Roman"/>
                <w:b/>
                <w:color w:val="000000" w:themeColor="text1"/>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66BE4">
            <w:pPr>
              <w:jc w:val="center"/>
              <w:rPr>
                <w:rFonts w:hint="default" w:ascii="Times New Roman" w:hAnsi="Times New Roman" w:cs="Times New Roman"/>
                <w:b/>
                <w:color w:val="000000" w:themeColor="text1"/>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01717">
            <w:pPr>
              <w:jc w:val="center"/>
              <w:rPr>
                <w:rFonts w:hint="default" w:ascii="Times New Roman" w:hAnsi="Times New Roman" w:cs="Times New Roman"/>
                <w:b/>
                <w:color w:val="000000" w:themeColor="text1"/>
                <w:sz w:val="20"/>
                <w:szCs w:val="20"/>
              </w:rPr>
            </w:pPr>
          </w:p>
        </w:tc>
      </w:tr>
      <w:tr w14:paraId="00DAE2C0">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DBAE3">
            <w:pPr>
              <w:jc w:val="center"/>
              <w:rPr>
                <w:rFonts w:hint="default" w:ascii="Times New Roman" w:hAnsi="Times New Roman" w:cs="Times New Roman"/>
                <w:b/>
                <w:color w:val="000000" w:themeColor="text1"/>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EFF053">
            <w:pPr>
              <w:jc w:val="center"/>
              <w:rPr>
                <w:rFonts w:hint="default" w:ascii="Times New Roman" w:hAnsi="Times New Roman" w:cs="Times New Roman"/>
                <w:b/>
                <w:color w:val="000000" w:themeColor="text1"/>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54EFD">
            <w:pPr>
              <w:jc w:val="center"/>
              <w:rPr>
                <w:rFonts w:hint="default" w:ascii="Times New Roman" w:hAnsi="Times New Roman" w:cs="Times New Roman"/>
                <w:b/>
                <w:color w:val="000000" w:themeColor="text1"/>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5E9CA">
            <w:pPr>
              <w:jc w:val="center"/>
              <w:rPr>
                <w:rFonts w:hint="default" w:ascii="Times New Roman" w:hAnsi="Times New Roman" w:cs="Times New Roman"/>
                <w:b/>
                <w:color w:val="000000" w:themeColor="text1"/>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38B31">
            <w:pPr>
              <w:jc w:val="center"/>
              <w:rPr>
                <w:rFonts w:hint="default" w:ascii="Times New Roman" w:hAnsi="Times New Roman" w:cs="Times New Roman"/>
                <w:b/>
                <w:color w:val="000000" w:themeColor="text1"/>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475AB">
            <w:pPr>
              <w:jc w:val="center"/>
              <w:rPr>
                <w:rFonts w:hint="default" w:ascii="Times New Roman" w:hAnsi="Times New Roman" w:cs="Times New Roman"/>
                <w:b/>
                <w:color w:val="000000" w:themeColor="text1"/>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7D2C8">
            <w:pPr>
              <w:jc w:val="center"/>
              <w:rPr>
                <w:rFonts w:hint="default" w:ascii="Times New Roman" w:hAnsi="Times New Roman" w:cs="Times New Roman"/>
                <w:b/>
                <w:color w:val="000000" w:themeColor="text1"/>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A3B2B">
            <w:pPr>
              <w:jc w:val="center"/>
              <w:rPr>
                <w:rFonts w:hint="default" w:ascii="Times New Roman" w:hAnsi="Times New Roman" w:cs="Times New Roman"/>
                <w:b/>
                <w:color w:val="000000" w:themeColor="text1"/>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8EE0F">
            <w:pPr>
              <w:jc w:val="center"/>
              <w:rPr>
                <w:rFonts w:hint="default" w:ascii="Times New Roman" w:hAnsi="Times New Roman" w:cs="Times New Roman"/>
                <w:b/>
                <w:color w:val="000000" w:themeColor="text1"/>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54E5F">
            <w:pPr>
              <w:jc w:val="center"/>
              <w:rPr>
                <w:rFonts w:hint="default" w:ascii="Times New Roman" w:hAnsi="Times New Roman" w:cs="Times New Roman"/>
                <w:b/>
                <w:color w:val="000000" w:themeColor="text1"/>
                <w:sz w:val="20"/>
                <w:szCs w:val="20"/>
              </w:rPr>
            </w:pPr>
          </w:p>
        </w:tc>
      </w:tr>
      <w:tr w14:paraId="07F3CAD8">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B5B5E">
            <w:pPr>
              <w:jc w:val="center"/>
              <w:rPr>
                <w:rFonts w:hint="default" w:ascii="Times New Roman" w:hAnsi="Times New Roman" w:cs="Times New Roman"/>
                <w:b/>
                <w:color w:val="000000" w:themeColor="text1"/>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89AA9E">
            <w:pPr>
              <w:jc w:val="center"/>
              <w:rPr>
                <w:rFonts w:hint="default" w:ascii="Times New Roman" w:hAnsi="Times New Roman" w:cs="Times New Roman"/>
                <w:b/>
                <w:color w:val="000000" w:themeColor="text1"/>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C59F0">
            <w:pPr>
              <w:jc w:val="center"/>
              <w:rPr>
                <w:rFonts w:hint="default" w:ascii="Times New Roman" w:hAnsi="Times New Roman" w:cs="Times New Roman"/>
                <w:b/>
                <w:color w:val="000000" w:themeColor="text1"/>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4E768">
            <w:pPr>
              <w:jc w:val="center"/>
              <w:rPr>
                <w:rFonts w:hint="default" w:ascii="Times New Roman" w:hAnsi="Times New Roman" w:cs="Times New Roman"/>
                <w:b/>
                <w:color w:val="000000" w:themeColor="text1"/>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882C3">
            <w:pPr>
              <w:jc w:val="center"/>
              <w:rPr>
                <w:rFonts w:hint="default" w:ascii="Times New Roman" w:hAnsi="Times New Roman" w:cs="Times New Roman"/>
                <w:b/>
                <w:color w:val="000000" w:themeColor="text1"/>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63B7B">
            <w:pPr>
              <w:jc w:val="center"/>
              <w:rPr>
                <w:rFonts w:hint="default" w:ascii="Times New Roman" w:hAnsi="Times New Roman" w:cs="Times New Roman"/>
                <w:b/>
                <w:color w:val="000000" w:themeColor="text1"/>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B0BD8">
            <w:pPr>
              <w:jc w:val="center"/>
              <w:rPr>
                <w:rFonts w:hint="default" w:ascii="Times New Roman" w:hAnsi="Times New Roman" w:cs="Times New Roman"/>
                <w:b/>
                <w:color w:val="000000" w:themeColor="text1"/>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A5243">
            <w:pPr>
              <w:jc w:val="center"/>
              <w:rPr>
                <w:rFonts w:hint="default" w:ascii="Times New Roman" w:hAnsi="Times New Roman" w:cs="Times New Roman"/>
                <w:b/>
                <w:color w:val="000000" w:themeColor="text1"/>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742F8">
            <w:pPr>
              <w:jc w:val="center"/>
              <w:rPr>
                <w:rFonts w:hint="default" w:ascii="Times New Roman" w:hAnsi="Times New Roman" w:cs="Times New Roman"/>
                <w:b/>
                <w:color w:val="000000" w:themeColor="text1"/>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C2AE5">
            <w:pPr>
              <w:jc w:val="center"/>
              <w:rPr>
                <w:rFonts w:hint="default" w:ascii="Times New Roman" w:hAnsi="Times New Roman" w:cs="Times New Roman"/>
                <w:b/>
                <w:color w:val="000000" w:themeColor="text1"/>
                <w:sz w:val="20"/>
                <w:szCs w:val="20"/>
              </w:rPr>
            </w:pPr>
          </w:p>
        </w:tc>
      </w:tr>
      <w:tr w14:paraId="377F709E">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7B35D">
            <w:pPr>
              <w:jc w:val="center"/>
              <w:rPr>
                <w:rFonts w:hint="default" w:ascii="Times New Roman" w:hAnsi="Times New Roman" w:cs="Times New Roman"/>
                <w:b/>
                <w:color w:val="000000" w:themeColor="text1"/>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6AC4002">
            <w:pPr>
              <w:jc w:val="center"/>
              <w:rPr>
                <w:rFonts w:hint="default" w:ascii="Times New Roman" w:hAnsi="Times New Roman" w:cs="Times New Roman"/>
                <w:b/>
                <w:color w:val="000000" w:themeColor="text1"/>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A82A2">
            <w:pPr>
              <w:jc w:val="center"/>
              <w:rPr>
                <w:rFonts w:hint="default" w:ascii="Times New Roman" w:hAnsi="Times New Roman" w:cs="Times New Roman"/>
                <w:b/>
                <w:color w:val="000000" w:themeColor="text1"/>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DEC25">
            <w:pPr>
              <w:jc w:val="center"/>
              <w:rPr>
                <w:rFonts w:hint="default" w:ascii="Times New Roman" w:hAnsi="Times New Roman" w:cs="Times New Roman"/>
                <w:b/>
                <w:color w:val="000000" w:themeColor="text1"/>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FBB8D">
            <w:pPr>
              <w:jc w:val="center"/>
              <w:rPr>
                <w:rFonts w:hint="default" w:ascii="Times New Roman" w:hAnsi="Times New Roman" w:cs="Times New Roman"/>
                <w:b/>
                <w:color w:val="000000" w:themeColor="text1"/>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EFAE8">
            <w:pPr>
              <w:jc w:val="center"/>
              <w:rPr>
                <w:rFonts w:hint="default" w:ascii="Times New Roman" w:hAnsi="Times New Roman" w:cs="Times New Roman"/>
                <w:b/>
                <w:color w:val="000000" w:themeColor="text1"/>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9262D">
            <w:pPr>
              <w:jc w:val="center"/>
              <w:rPr>
                <w:rFonts w:hint="default" w:ascii="Times New Roman" w:hAnsi="Times New Roman" w:cs="Times New Roman"/>
                <w:b/>
                <w:color w:val="000000" w:themeColor="text1"/>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A807F">
            <w:pPr>
              <w:jc w:val="center"/>
              <w:rPr>
                <w:rFonts w:hint="default" w:ascii="Times New Roman" w:hAnsi="Times New Roman" w:cs="Times New Roman"/>
                <w:b/>
                <w:color w:val="000000" w:themeColor="text1"/>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A8E6D">
            <w:pPr>
              <w:jc w:val="center"/>
              <w:rPr>
                <w:rFonts w:hint="default" w:ascii="Times New Roman" w:hAnsi="Times New Roman" w:cs="Times New Roman"/>
                <w:b/>
                <w:color w:val="000000" w:themeColor="text1"/>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9B434">
            <w:pPr>
              <w:jc w:val="center"/>
              <w:rPr>
                <w:rFonts w:hint="default" w:ascii="Times New Roman" w:hAnsi="Times New Roman" w:cs="Times New Roman"/>
                <w:b/>
                <w:color w:val="000000" w:themeColor="text1"/>
                <w:sz w:val="20"/>
                <w:szCs w:val="20"/>
              </w:rPr>
            </w:pPr>
          </w:p>
        </w:tc>
      </w:tr>
      <w:tr w14:paraId="711B6812">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4C403">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C4874">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11,063.12</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48DED">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10,680.73</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6140A">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21DE3">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382.38</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6E7BB">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4.56</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0C8DF">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81440">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B424D">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r>
      <w:tr w14:paraId="2AB253B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AF63">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3E44C">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E6C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2.85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3C4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2.85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00D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5AC9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4EB5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3971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EAC0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0940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182D1ED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34D1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EDDE5">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5B06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2.85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A06D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2.85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2AC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D21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0C1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BE3D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1E2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E93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462824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02D3">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2013299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2BD7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其他组织事务支出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5BB5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2.85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97F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2.85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10E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0F7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C411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02C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F54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299D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04376AC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689D">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506A2">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教育支出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1067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639.56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D7F5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257.18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EC8D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E08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382.38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224F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4.56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E49B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9E5C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5AF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69E0681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4E23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20503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FBB1C">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职业教育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A359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639.56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4493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257.18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3F61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84B1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382.38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015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4.56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4598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30C0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A56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6937C66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AF1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2050303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0B3B8">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技校教育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A1B7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639.56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3D3F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257.18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B015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4B9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382.38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2D32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4.56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1D1C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119E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7DE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3E0FA88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DE9C">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EED8E">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AE0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9,445.82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9EB6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9,445.82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68F4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C20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47D5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19FD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8781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0294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2503699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2D163">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64790">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C596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3,767.60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BBFF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3,767.60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D886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4D54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8AEE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5F8B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3BBE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300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0603047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1E47F">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C9947">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142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1,469.23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34C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1,469.23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442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DD09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A17C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586A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7F94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B397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4A1EBF3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E6B0">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F8897">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劳动保障监察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CBB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91.65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F710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91.65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A0ED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DA9F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0E73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9F2B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D26F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68A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44C2C1E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C5CA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B5456">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信息化建设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705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57.64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B664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57.64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43CB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33AF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E44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6039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B892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E2A4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73C03E1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E211D">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DC297">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社会保险经办机构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DC1D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416.37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8363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416.37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5B30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2BF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ACB6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6CB2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D1B6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7A1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334D8AC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F6D4A">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3F1F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劳动人事争议调解仲裁</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0162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14.50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FE9B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14.50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79FA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DFE9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D9D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09B7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9164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6123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7D8D162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5513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CA45E">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59B1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57.43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E5AA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57.43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739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7274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2BC0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EA5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2CE5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E0E9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609DF19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7B76D">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23C20">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CDCC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1,660.78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EAFD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1,660.78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598B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4AF8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6181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7A0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853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AABF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056207A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4FF1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7D270">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F3A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417.04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5998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417.04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938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21D6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4E0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C94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AB45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3F5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01643B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B155A">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6D807">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9EEA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124.74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B408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124.74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3D7D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5F9D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CFEE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BA5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368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4FC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0533BBB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FEFB1">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3DCA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A2A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168.70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A9C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168.70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6100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BB3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390D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24E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887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CE11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5010FEC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0429A">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03B9D">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2EEB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94.92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1F81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94.92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4E05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48AF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2BF1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DCEC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51D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B9C1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50FACD2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91BD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C180A">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DB2A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28.68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A770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28.68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B18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B61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4D2D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DD44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CA6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3A1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13686BF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921BF">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0F85A">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C707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5,261.18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4081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5,261.18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52B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1D0B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CA42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3061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4D52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AAC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34CE75E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416B8">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8556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就业创业服务补贴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A65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4,967.28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533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4,967.28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BFA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312D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0373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C0C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CCEC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D023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1EAA4F2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C4DED">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1E588">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公益性岗位补贴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193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68.82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F5F1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68.82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C38F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0EFD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1BF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9366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6C6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3EBA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4D0AB3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1E9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2080709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B179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职业技能鉴定补贴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913D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5.00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96B7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4BB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B9DC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A08F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41C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3C5E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69EE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4EA105C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6830C">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1CC06">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其他就业补助支出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C26A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220.08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BB7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220.08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CD7C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F24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D23C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5AB0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F11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AEE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5A5FCFC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BCE1">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04E1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BB0A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130.28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86E8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130.28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FC83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E0C4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A1A4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CDCE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EEAB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47D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4534F5A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9696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07391">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03E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130.28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6973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130.28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5A5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849C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AC6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D2E1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70E6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EF42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43FA28A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22ACA">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BFE4A">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F7F4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78.01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A7BB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78.01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BA5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2B41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3019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BCEA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CC03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289E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3943A55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7FB3C">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C3676">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22AD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8.57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97F2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8.57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9556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CA1C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0B7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8ADD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600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9BF5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6846CDC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8E91">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E8E8F">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43C1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43.71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631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43.71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4D8F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FE3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D0A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B240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96A2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48ED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0C2D89F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D09DC">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60050">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6358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712.07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2C80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712.07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5B63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BD5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891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CBA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1695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D8B1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2744958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C1958">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137AE">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B69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472.26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B872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472.26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2B5A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041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87BD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BE0A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75D8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CFA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22CC90D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8F35">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2130506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65D27">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社会发展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69D5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25.47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EE04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25.47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C9F5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EA4F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109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5446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661D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AA7D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1D3B304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9C1F">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9BD42">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9AE9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446.79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391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446.79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3BD1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FB3E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02E4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7597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A551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683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487AC2F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1ACEC">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21308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3C42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普惠金融发展支出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EB2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239.80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161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239.80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0E7A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6DED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AEAE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300B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CCBC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DA3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22164F5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BE507">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2130804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31DD0">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创业担保贷款贴息及奖补</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35B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239.80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6029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239.80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71E9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2495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AD18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985D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A2C3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738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5A7D07E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5CED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6659E">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AB26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132.53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EEA4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132.53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E51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6E6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932F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755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C01C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8A23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590A040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9667F">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D620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274D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132.53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DCA4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132.53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1EE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ED4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F7C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EF23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0AC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854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5CB82BC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E861">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D1DF3">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6ACF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132.53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E56E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132.53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7E7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308E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CE41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4395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37FF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AB9D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bl>
    <w:p w14:paraId="714A1321">
      <w:pPr>
        <w:ind w:left="600" w:hanging="600" w:hangingChars="300"/>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备注：1.本表反映部门本年度取得的各项收入情况。</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t>2.本套报表金额单位转换时可能存在尾数误差。</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br w:type="textWrapping"/>
      </w:r>
    </w:p>
    <w:p w14:paraId="5E59B59F">
      <w:pP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br w:type="page"/>
      </w:r>
    </w:p>
    <w:tbl>
      <w:tblPr>
        <w:tblStyle w:val="7"/>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39A192A2">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C389D1F">
            <w:pPr>
              <w:jc w:val="center"/>
              <w:textAlignment w:val="bottom"/>
              <w:rPr>
                <w:rFonts w:hint="default" w:ascii="Times New Roman" w:hAnsi="Times New Roman" w:cs="Times New Roman"/>
                <w:b/>
                <w:color w:val="000000" w:themeColor="text1"/>
                <w:sz w:val="32"/>
                <w:szCs w:val="32"/>
              </w:rPr>
            </w:pPr>
            <w:r>
              <w:rPr>
                <w:rFonts w:hint="default" w:ascii="Times New Roman" w:hAnsi="Times New Roman" w:cs="Times New Roman"/>
                <w:b/>
                <w:color w:val="000000" w:themeColor="text1"/>
                <w:sz w:val="32"/>
                <w:szCs w:val="32"/>
              </w:rPr>
              <w:t>支出决算表</w:t>
            </w:r>
          </w:p>
        </w:tc>
      </w:tr>
      <w:tr w14:paraId="00B3B04E">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5523F5AD">
            <w:pP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部门：</w:t>
            </w:r>
            <w:r>
              <w:rPr>
                <w:rFonts w:hint="default" w:ascii="Times New Roman" w:hAnsi="Times New Roman" w:cs="Times New Roman"/>
                <w:color w:val="000000" w:themeColor="text1"/>
                <w:sz w:val="20"/>
              </w:rPr>
              <w:t>丰都县人力资源和社会保障局</w:t>
            </w:r>
          </w:p>
        </w:tc>
        <w:tc>
          <w:tcPr>
            <w:tcW w:w="567" w:type="pct"/>
            <w:tcBorders>
              <w:top w:val="nil"/>
              <w:left w:val="nil"/>
              <w:bottom w:val="nil"/>
              <w:right w:val="nil"/>
            </w:tcBorders>
            <w:shd w:val="clear" w:color="auto" w:fill="auto"/>
            <w:noWrap/>
            <w:tcMar>
              <w:top w:w="15" w:type="dxa"/>
              <w:left w:w="15" w:type="dxa"/>
              <w:right w:w="15" w:type="dxa"/>
            </w:tcMar>
            <w:vAlign w:val="bottom"/>
          </w:tcPr>
          <w:p w14:paraId="05C40FBB">
            <w:pPr>
              <w:rPr>
                <w:rFonts w:hint="default" w:ascii="Times New Roman" w:hAnsi="Times New Roman" w:cs="Times New Roman"/>
                <w:color w:val="000000" w:themeColor="text1"/>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00C94601">
            <w:pPr>
              <w:rPr>
                <w:rFonts w:hint="default" w:ascii="Times New Roman" w:hAnsi="Times New Roman" w:cs="Times New Roman"/>
                <w:color w:val="000000" w:themeColor="text1"/>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0ACA5936">
            <w:pPr>
              <w:rPr>
                <w:rFonts w:hint="default" w:ascii="Times New Roman" w:hAnsi="Times New Roman" w:cs="Times New Roman"/>
                <w:color w:val="000000" w:themeColor="text1"/>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3EAA247E">
            <w:pPr>
              <w:rPr>
                <w:rFonts w:hint="default" w:ascii="Times New Roman" w:hAnsi="Times New Roman" w:cs="Times New Roman"/>
                <w:color w:val="000000" w:themeColor="text1"/>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0998C071">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公开</w:t>
            </w:r>
            <w:r>
              <w:rPr>
                <w:rFonts w:hint="default" w:ascii="Times New Roman" w:hAnsi="Times New Roman" w:cs="Times New Roman"/>
                <w:color w:val="000000" w:themeColor="text1"/>
                <w:sz w:val="20"/>
                <w:szCs w:val="20"/>
              </w:rPr>
              <w:t>03</w:t>
            </w:r>
            <w:r>
              <w:rPr>
                <w:rFonts w:hint="default" w:ascii="Times New Roman" w:hAnsi="Times New Roman" w:cs="Times New Roman"/>
                <w:color w:val="000000" w:themeColor="text1"/>
                <w:sz w:val="20"/>
                <w:szCs w:val="20"/>
              </w:rPr>
              <w:t>表</w:t>
            </w:r>
          </w:p>
        </w:tc>
      </w:tr>
      <w:tr w14:paraId="06EA142A">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47040DC7">
            <w:pPr>
              <w:rPr>
                <w:rFonts w:hint="default" w:ascii="Times New Roman" w:hAnsi="Times New Roman" w:cs="Times New Roman"/>
                <w:color w:val="000000" w:themeColor="text1"/>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4AE32445">
            <w:pPr>
              <w:rPr>
                <w:rFonts w:hint="default" w:ascii="Times New Roman" w:hAnsi="Times New Roman" w:cs="Times New Roman"/>
                <w:color w:val="000000" w:themeColor="text1"/>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41C9FB1F">
            <w:pPr>
              <w:rPr>
                <w:rFonts w:hint="default" w:ascii="Times New Roman" w:hAnsi="Times New Roman" w:cs="Times New Roman"/>
                <w:color w:val="000000" w:themeColor="text1"/>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7E00C88D">
            <w:pPr>
              <w:rPr>
                <w:rFonts w:hint="default" w:ascii="Times New Roman" w:hAnsi="Times New Roman" w:cs="Times New Roman"/>
                <w:color w:val="000000" w:themeColor="text1"/>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58BEE422">
            <w:pPr>
              <w:rPr>
                <w:rFonts w:hint="default" w:ascii="Times New Roman" w:hAnsi="Times New Roman" w:cs="Times New Roman"/>
                <w:color w:val="000000" w:themeColor="text1"/>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3BF9339A">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单位：万元</w:t>
            </w:r>
          </w:p>
        </w:tc>
      </w:tr>
      <w:tr w14:paraId="5B1282B0">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430E33">
            <w:pPr>
              <w:jc w:val="center"/>
              <w:textAlignment w:val="bottom"/>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FADFD">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8BC06">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9763C">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B7312">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5EAC2">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A7DFF">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对附属单位补助支出</w:t>
            </w:r>
          </w:p>
        </w:tc>
      </w:tr>
      <w:tr w14:paraId="31401EB0">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AD5ED">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589D6DC">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7A8E6">
            <w:pPr>
              <w:jc w:val="center"/>
              <w:rPr>
                <w:rFonts w:hint="default" w:ascii="Times New Roman" w:hAnsi="Times New Roman" w:cs="Times New Roman"/>
                <w:b/>
                <w:color w:val="000000" w:themeColor="text1"/>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E54C8">
            <w:pPr>
              <w:jc w:val="center"/>
              <w:rPr>
                <w:rFonts w:hint="default" w:ascii="Times New Roman" w:hAnsi="Times New Roman" w:cs="Times New Roman"/>
                <w:b/>
                <w:color w:val="000000" w:themeColor="text1"/>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7A136">
            <w:pPr>
              <w:jc w:val="center"/>
              <w:rPr>
                <w:rFonts w:hint="default" w:ascii="Times New Roman" w:hAnsi="Times New Roman" w:cs="Times New Roman"/>
                <w:b/>
                <w:color w:val="000000" w:themeColor="text1"/>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DE80E">
            <w:pPr>
              <w:jc w:val="center"/>
              <w:rPr>
                <w:rFonts w:hint="default" w:ascii="Times New Roman" w:hAnsi="Times New Roman" w:cs="Times New Roman"/>
                <w:b/>
                <w:color w:val="000000" w:themeColor="text1"/>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7C8E4">
            <w:pPr>
              <w:jc w:val="center"/>
              <w:rPr>
                <w:rFonts w:hint="default" w:ascii="Times New Roman" w:hAnsi="Times New Roman" w:cs="Times New Roman"/>
                <w:b/>
                <w:color w:val="000000" w:themeColor="text1"/>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4AA3F">
            <w:pPr>
              <w:jc w:val="center"/>
              <w:rPr>
                <w:rFonts w:hint="default" w:ascii="Times New Roman" w:hAnsi="Times New Roman" w:cs="Times New Roman"/>
                <w:b/>
                <w:color w:val="000000" w:themeColor="text1"/>
                <w:sz w:val="20"/>
                <w:szCs w:val="20"/>
              </w:rPr>
            </w:pPr>
          </w:p>
        </w:tc>
      </w:tr>
      <w:tr w14:paraId="40EBBA3F">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83B2">
            <w:pPr>
              <w:jc w:val="center"/>
              <w:rPr>
                <w:rFonts w:hint="default" w:ascii="Times New Roman" w:hAnsi="Times New Roman" w:cs="Times New Roman"/>
                <w:b/>
                <w:color w:val="000000" w:themeColor="text1"/>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88297E">
            <w:pPr>
              <w:jc w:val="center"/>
              <w:rPr>
                <w:rFonts w:hint="default" w:ascii="Times New Roman" w:hAnsi="Times New Roman" w:cs="Times New Roman"/>
                <w:b/>
                <w:color w:val="000000" w:themeColor="text1"/>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857C3">
            <w:pPr>
              <w:jc w:val="center"/>
              <w:rPr>
                <w:rFonts w:hint="default" w:ascii="Times New Roman" w:hAnsi="Times New Roman" w:cs="Times New Roman"/>
                <w:b/>
                <w:color w:val="000000" w:themeColor="text1"/>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4BC46">
            <w:pPr>
              <w:jc w:val="center"/>
              <w:rPr>
                <w:rFonts w:hint="default" w:ascii="Times New Roman" w:hAnsi="Times New Roman" w:cs="Times New Roman"/>
                <w:b/>
                <w:color w:val="000000" w:themeColor="text1"/>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47A80">
            <w:pPr>
              <w:jc w:val="center"/>
              <w:rPr>
                <w:rFonts w:hint="default" w:ascii="Times New Roman" w:hAnsi="Times New Roman" w:cs="Times New Roman"/>
                <w:b/>
                <w:color w:val="000000" w:themeColor="text1"/>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48489">
            <w:pPr>
              <w:jc w:val="center"/>
              <w:rPr>
                <w:rFonts w:hint="default" w:ascii="Times New Roman" w:hAnsi="Times New Roman" w:cs="Times New Roman"/>
                <w:b/>
                <w:color w:val="000000" w:themeColor="text1"/>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CAE10">
            <w:pPr>
              <w:jc w:val="center"/>
              <w:rPr>
                <w:rFonts w:hint="default" w:ascii="Times New Roman" w:hAnsi="Times New Roman" w:cs="Times New Roman"/>
                <w:b/>
                <w:color w:val="000000" w:themeColor="text1"/>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F3A2C">
            <w:pPr>
              <w:jc w:val="center"/>
              <w:rPr>
                <w:rFonts w:hint="default" w:ascii="Times New Roman" w:hAnsi="Times New Roman" w:cs="Times New Roman"/>
                <w:b/>
                <w:color w:val="000000" w:themeColor="text1"/>
                <w:sz w:val="20"/>
                <w:szCs w:val="20"/>
              </w:rPr>
            </w:pPr>
          </w:p>
        </w:tc>
      </w:tr>
      <w:tr w14:paraId="18E0E9B4">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FEF63">
            <w:pPr>
              <w:jc w:val="center"/>
              <w:rPr>
                <w:rFonts w:hint="default" w:ascii="Times New Roman" w:hAnsi="Times New Roman" w:cs="Times New Roman"/>
                <w:b/>
                <w:color w:val="000000" w:themeColor="text1"/>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FE702AB">
            <w:pPr>
              <w:jc w:val="center"/>
              <w:rPr>
                <w:rFonts w:hint="default" w:ascii="Times New Roman" w:hAnsi="Times New Roman" w:cs="Times New Roman"/>
                <w:b/>
                <w:color w:val="000000" w:themeColor="text1"/>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AFBD8">
            <w:pPr>
              <w:jc w:val="center"/>
              <w:rPr>
                <w:rFonts w:hint="default" w:ascii="Times New Roman" w:hAnsi="Times New Roman" w:cs="Times New Roman"/>
                <w:b/>
                <w:color w:val="000000" w:themeColor="text1"/>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20EE5">
            <w:pPr>
              <w:jc w:val="center"/>
              <w:rPr>
                <w:rFonts w:hint="default" w:ascii="Times New Roman" w:hAnsi="Times New Roman" w:cs="Times New Roman"/>
                <w:b/>
                <w:color w:val="000000" w:themeColor="text1"/>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87459">
            <w:pPr>
              <w:jc w:val="center"/>
              <w:rPr>
                <w:rFonts w:hint="default" w:ascii="Times New Roman" w:hAnsi="Times New Roman" w:cs="Times New Roman"/>
                <w:b/>
                <w:color w:val="000000" w:themeColor="text1"/>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30EE1">
            <w:pPr>
              <w:jc w:val="center"/>
              <w:rPr>
                <w:rFonts w:hint="default" w:ascii="Times New Roman" w:hAnsi="Times New Roman" w:cs="Times New Roman"/>
                <w:b/>
                <w:color w:val="000000" w:themeColor="text1"/>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9092F">
            <w:pPr>
              <w:jc w:val="center"/>
              <w:rPr>
                <w:rFonts w:hint="default" w:ascii="Times New Roman" w:hAnsi="Times New Roman" w:cs="Times New Roman"/>
                <w:b/>
                <w:color w:val="000000" w:themeColor="text1"/>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3FEF1">
            <w:pPr>
              <w:jc w:val="center"/>
              <w:rPr>
                <w:rFonts w:hint="default" w:ascii="Times New Roman" w:hAnsi="Times New Roman" w:cs="Times New Roman"/>
                <w:b/>
                <w:color w:val="000000" w:themeColor="text1"/>
                <w:sz w:val="20"/>
                <w:szCs w:val="20"/>
              </w:rPr>
            </w:pPr>
          </w:p>
        </w:tc>
      </w:tr>
      <w:tr w14:paraId="2D58E6A1">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4E10E">
            <w:pPr>
              <w:jc w:val="center"/>
              <w:rPr>
                <w:rFonts w:hint="default" w:ascii="Times New Roman" w:hAnsi="Times New Roman" w:cs="Times New Roman"/>
                <w:b/>
                <w:color w:val="000000" w:themeColor="text1"/>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5E53A99">
            <w:pPr>
              <w:jc w:val="center"/>
              <w:rPr>
                <w:rFonts w:hint="default" w:ascii="Times New Roman" w:hAnsi="Times New Roman" w:cs="Times New Roman"/>
                <w:b/>
                <w:color w:val="000000" w:themeColor="text1"/>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4CC3D">
            <w:pPr>
              <w:jc w:val="center"/>
              <w:rPr>
                <w:rFonts w:hint="default" w:ascii="Times New Roman" w:hAnsi="Times New Roman" w:cs="Times New Roman"/>
                <w:b/>
                <w:color w:val="000000" w:themeColor="text1"/>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370B5">
            <w:pPr>
              <w:jc w:val="center"/>
              <w:rPr>
                <w:rFonts w:hint="default" w:ascii="Times New Roman" w:hAnsi="Times New Roman" w:cs="Times New Roman"/>
                <w:b/>
                <w:color w:val="000000" w:themeColor="text1"/>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2E22C">
            <w:pPr>
              <w:jc w:val="center"/>
              <w:rPr>
                <w:rFonts w:hint="default" w:ascii="Times New Roman" w:hAnsi="Times New Roman" w:cs="Times New Roman"/>
                <w:b/>
                <w:color w:val="000000" w:themeColor="text1"/>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0CC2C">
            <w:pPr>
              <w:jc w:val="center"/>
              <w:rPr>
                <w:rFonts w:hint="default" w:ascii="Times New Roman" w:hAnsi="Times New Roman" w:cs="Times New Roman"/>
                <w:b/>
                <w:color w:val="000000" w:themeColor="text1"/>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A632C">
            <w:pPr>
              <w:jc w:val="center"/>
              <w:rPr>
                <w:rFonts w:hint="default" w:ascii="Times New Roman" w:hAnsi="Times New Roman" w:cs="Times New Roman"/>
                <w:b/>
                <w:color w:val="000000" w:themeColor="text1"/>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40AA3">
            <w:pPr>
              <w:jc w:val="center"/>
              <w:rPr>
                <w:rFonts w:hint="default" w:ascii="Times New Roman" w:hAnsi="Times New Roman" w:cs="Times New Roman"/>
                <w:b/>
                <w:color w:val="000000" w:themeColor="text1"/>
                <w:sz w:val="20"/>
                <w:szCs w:val="20"/>
              </w:rPr>
            </w:pPr>
          </w:p>
        </w:tc>
      </w:tr>
      <w:tr w14:paraId="54775F7B">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64096">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F9987">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11,112.71</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1216C">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2,359.36</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40B02">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8,753.35</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E0BFD">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FD77E">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CEC6C">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r>
      <w:tr w14:paraId="3D09005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EB47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04B3C">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FFDE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2.85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210A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AF6B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2.85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8C6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3CF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55AC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41AFBD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207C5">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54975">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393E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2.85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5ED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A878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2.85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12FD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ACD6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5843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246B097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24C50">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2013299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2A7BC">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其他组织事务支出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B802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2.85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E84F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9AE9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2.85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1582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186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4C46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437823D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DDD6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4AA03">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教育支出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7E59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689.16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7D3E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459F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689.16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F1DF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D72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2735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63AC6BF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9FE9A">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20503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42FF0">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职业教育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94F3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689.16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06E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4554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689.16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553A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E488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139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31D559F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F247A">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2050303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B3D3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技校教育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63F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689.16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9E9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3947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689.16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001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19BE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4F16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0B3E73B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DF1BC">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BBD96">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A472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9,445.82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161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2,096.55</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F0F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7,349.27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2A40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FBFC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91BF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466717D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9F7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8C782">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737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3,767.60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6C91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1,679.51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33E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2,088.09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3CA7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7F0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3DF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7446CAE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038FA">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B9741">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9E7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1,469.23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848B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1,469.23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DB35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E480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15D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35A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54D778D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F238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FEA78">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劳动保障监察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7AB9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91.65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7C0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097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91.65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152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CEC4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1A6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0E6ADFE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18C0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604B7">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信息化建设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9178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57.64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E642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10E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57.64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0AA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FCB2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D7BF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2BFE4E5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C4D6E">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58E7C">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社会保险经办机构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9E31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416.37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B5B5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0DD0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416.37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98D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410E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70C4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48907A0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3E745">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20D50">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劳动人事争议调解仲裁</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E95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14.50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004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9F7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14.50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5BAF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90AD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0A1C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4A6DDE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63BE7">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99E01">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128D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57.43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3D36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57.43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6FD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ADF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3653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CFB9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05CFB5E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BA4DD">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F7FEE">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FE5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1,660.78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A51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152.85</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A0E8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1,507.93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60C0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1FD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9A59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7C717DF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8F090">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4B26C">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79D2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417.04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044D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417.04</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D52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8E45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88EF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1CA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7B43819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F55F2">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8C30C">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CEEC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124.74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688C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124.74</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C15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2EF4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912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4F3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7787211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8B0EF">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9F8EF">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7B3B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168.70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7729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168.70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8DCD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160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756D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ABA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3310588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D1D1">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7808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29C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94.92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772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94.92</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33D3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619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5A9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0FF1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5F3C6F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0DA22">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57A3E">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90AB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28.68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F9F6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28.68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E56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D3BF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C536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E0D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281221B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44F1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B45EC">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6DE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5,261.18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6D9C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91B0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5,261.18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4AC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E56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E8B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0DF5516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F518">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F05BF">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就业创业服务补贴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CAAE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4,967.28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752E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36F0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4,967.28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6607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4B1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5AAB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58B2690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095EE">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15B07">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公益性岗位补贴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4E4B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68.82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83F0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F26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68.82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7FB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9F6E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3292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07365D8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6068">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2080709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47E6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职业技能鉴定补贴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936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5.00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D90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F70C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861A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A70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8C3F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14D9CBC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0206">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A7ABD">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其他就业补助支出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868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220.08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A25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E143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220.08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C32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4FA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8F27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1D2DF70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013F5">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8EEB1">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933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130.28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61AD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130.28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89EA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2625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2D4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7D27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3F8C205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E0A2D">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79A25">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6ACD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130.28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84D0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130.28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3E0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86A5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324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F3A8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4B0FC11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0201D">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887AD">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6B02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78.01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347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78.01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F5D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E2B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BEBF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E7D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64D288E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246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30D5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375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8.57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D02D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8.57</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7E9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54F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280A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3BED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63C508B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769A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49587">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A989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43.71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B680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43.71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0DD7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92A0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CA1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0803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753D5D4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30BDE">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1889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3C4F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712.07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215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D0D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712.07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848C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DA9B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AC3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0350904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9ED5">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0B708">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A74F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472.26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97E1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154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472.26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464F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D91A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3D02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157F42A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22366">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2130506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8EFDA">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社会发展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4C81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25.47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F33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AFC0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25.47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C6D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2484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23F5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031462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2D8B3">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2C9CE">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6EE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446.79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A5A2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E8F7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446.79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D0B6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82C8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0F51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42C19A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1807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21308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1BC8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普惠金融发展支出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B0E9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239.80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D535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5EDF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239.80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4843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B30F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3EC9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1759E81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A4481">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2130804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1CF91">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创业担保贷款贴息及奖补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D3E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239.80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2BB2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892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239.80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4D2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E885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4B0E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73A331E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BEF56">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C81F6">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4CE2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132.53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CF96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132.53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7177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797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436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899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5239AC4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4BFB0">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FED8E">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6FD2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132.53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7848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132.53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A6DC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0943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8FC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36A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43439A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3CDE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26511">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564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132.53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3415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132.53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2A15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9DEA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4FAA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659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bl>
    <w:p w14:paraId="1EF3B889">
      <w:pP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备注：1.本表反映部门本年度各项支出情况。</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t xml:space="preserve">      2.本套报表金额单位转换时可能存在尾数误差。</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br w:type="textWrapping"/>
      </w:r>
    </w:p>
    <w:p w14:paraId="0245AFCA">
      <w:pP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br w:type="page"/>
      </w:r>
    </w:p>
    <w:p w14:paraId="51AA3691">
      <w:pPr>
        <w:rPr>
          <w:rFonts w:hint="default" w:ascii="Times New Roman" w:hAnsi="Times New Roman" w:cs="Times New Roman"/>
          <w:color w:val="000000" w:themeColor="text1"/>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395733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BBBE7C4">
            <w:pPr>
              <w:spacing w:line="400" w:lineRule="exact"/>
              <w:jc w:val="center"/>
              <w:textAlignment w:val="bottom"/>
              <w:rPr>
                <w:rFonts w:hint="default" w:ascii="Times New Roman" w:hAnsi="Times New Roman" w:cs="Times New Roman"/>
                <w:b/>
                <w:color w:val="000000" w:themeColor="text1"/>
                <w:sz w:val="32"/>
                <w:szCs w:val="32"/>
              </w:rPr>
            </w:pPr>
            <w:r>
              <w:rPr>
                <w:rFonts w:hint="default" w:ascii="Times New Roman" w:hAnsi="Times New Roman" w:cs="Times New Roman"/>
                <w:b/>
                <w:color w:val="000000" w:themeColor="text1"/>
                <w:sz w:val="32"/>
                <w:szCs w:val="32"/>
              </w:rPr>
              <w:t>财政拨款收入支出决算总表</w:t>
            </w:r>
          </w:p>
        </w:tc>
      </w:tr>
      <w:tr w14:paraId="4B3167B9">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DBCF208">
            <w:pPr>
              <w:spacing w:line="280" w:lineRule="exact"/>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20"/>
                <w:szCs w:val="20"/>
              </w:rPr>
              <w:t>部门：</w:t>
            </w:r>
            <w:r>
              <w:rPr>
                <w:rFonts w:hint="default" w:ascii="Times New Roman" w:hAnsi="Times New Roman" w:cs="Times New Roman"/>
                <w:color w:val="000000" w:themeColor="text1"/>
                <w:sz w:val="20"/>
              </w:rPr>
              <w:t>丰都县人力资源和社会保障局</w:t>
            </w:r>
          </w:p>
        </w:tc>
        <w:tc>
          <w:tcPr>
            <w:tcW w:w="577" w:type="pct"/>
            <w:tcBorders>
              <w:top w:val="nil"/>
              <w:left w:val="nil"/>
              <w:bottom w:val="nil"/>
              <w:right w:val="nil"/>
            </w:tcBorders>
            <w:shd w:val="clear" w:color="auto" w:fill="auto"/>
            <w:noWrap/>
            <w:tcMar>
              <w:top w:w="15" w:type="dxa"/>
              <w:left w:w="15" w:type="dxa"/>
              <w:right w:w="15" w:type="dxa"/>
            </w:tcMar>
            <w:vAlign w:val="bottom"/>
          </w:tcPr>
          <w:p w14:paraId="3E421637">
            <w:pPr>
              <w:spacing w:line="200" w:lineRule="exact"/>
              <w:rPr>
                <w:rFonts w:hint="default" w:ascii="Times New Roman" w:hAnsi="Times New Roman" w:cs="Times New Roman"/>
                <w:color w:val="000000" w:themeColor="text1"/>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2D8CB48">
            <w:pPr>
              <w:spacing w:line="200" w:lineRule="exact"/>
              <w:rPr>
                <w:rFonts w:hint="default" w:ascii="Times New Roman" w:hAnsi="Times New Roman" w:cs="Times New Roman"/>
                <w:color w:val="000000" w:themeColor="text1"/>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F8239F0">
            <w:pPr>
              <w:spacing w:line="200" w:lineRule="exact"/>
              <w:rPr>
                <w:rFonts w:hint="default" w:ascii="Times New Roman" w:hAnsi="Times New Roman" w:cs="Times New Roman"/>
                <w:color w:val="000000" w:themeColor="text1"/>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8C08514">
            <w:pPr>
              <w:spacing w:line="26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公开</w:t>
            </w:r>
            <w:r>
              <w:rPr>
                <w:rFonts w:hint="default" w:ascii="Times New Roman" w:hAnsi="Times New Roman" w:cs="Times New Roman"/>
                <w:color w:val="000000" w:themeColor="text1"/>
                <w:sz w:val="20"/>
                <w:szCs w:val="20"/>
              </w:rPr>
              <w:t>04</w:t>
            </w:r>
            <w:r>
              <w:rPr>
                <w:rFonts w:hint="default" w:ascii="Times New Roman" w:hAnsi="Times New Roman" w:cs="Times New Roman"/>
                <w:color w:val="000000" w:themeColor="text1"/>
                <w:sz w:val="20"/>
                <w:szCs w:val="20"/>
              </w:rPr>
              <w:t>表</w:t>
            </w:r>
          </w:p>
        </w:tc>
      </w:tr>
      <w:tr w14:paraId="411AB96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06A7A0B">
            <w:pPr>
              <w:spacing w:line="200" w:lineRule="exact"/>
              <w:rPr>
                <w:rFonts w:hint="default" w:ascii="Times New Roman" w:hAnsi="Times New Roman" w:cs="Times New Roman"/>
                <w:color w:val="000000" w:themeColor="text1"/>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EB09AD8">
            <w:pPr>
              <w:spacing w:line="200" w:lineRule="exact"/>
              <w:rPr>
                <w:rFonts w:hint="default" w:ascii="Times New Roman" w:hAnsi="Times New Roman" w:cs="Times New Roman"/>
                <w:color w:val="000000" w:themeColor="text1"/>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18BA16A">
            <w:pPr>
              <w:spacing w:line="200" w:lineRule="exact"/>
              <w:rPr>
                <w:rFonts w:hint="default" w:ascii="Times New Roman" w:hAnsi="Times New Roman" w:cs="Times New Roman"/>
                <w:color w:val="000000" w:themeColor="text1"/>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58AF7D4">
            <w:pPr>
              <w:spacing w:line="200" w:lineRule="exact"/>
              <w:rPr>
                <w:rFonts w:hint="default" w:ascii="Times New Roman" w:hAnsi="Times New Roman" w:cs="Times New Roman"/>
                <w:color w:val="000000" w:themeColor="text1"/>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E7116E7">
            <w:pPr>
              <w:spacing w:line="26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单位：万元</w:t>
            </w:r>
          </w:p>
        </w:tc>
      </w:tr>
      <w:tr w14:paraId="59FAD720">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46D3F">
            <w:pPr>
              <w:spacing w:line="200"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5BF17">
            <w:pPr>
              <w:spacing w:line="200"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支     出</w:t>
            </w:r>
          </w:p>
        </w:tc>
      </w:tr>
      <w:tr w14:paraId="60BA1FA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AB73F">
            <w:pPr>
              <w:spacing w:line="200"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7EA41">
            <w:pPr>
              <w:spacing w:line="200"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ABBB6">
            <w:pPr>
              <w:spacing w:line="200"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637FB">
            <w:pPr>
              <w:spacing w:line="200"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决算数</w:t>
            </w:r>
          </w:p>
        </w:tc>
      </w:tr>
      <w:tr w14:paraId="16C5529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1635D">
            <w:pPr>
              <w:spacing w:line="200" w:lineRule="exact"/>
              <w:jc w:val="center"/>
              <w:rPr>
                <w:rFonts w:hint="default" w:ascii="Times New Roman" w:hAnsi="Times New Roman" w:cs="Times New Roman"/>
                <w:b/>
                <w:color w:val="000000" w:themeColor="text1"/>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2A7F5">
            <w:pPr>
              <w:spacing w:line="200" w:lineRule="exact"/>
              <w:jc w:val="center"/>
              <w:rPr>
                <w:rFonts w:hint="default" w:ascii="Times New Roman" w:hAnsi="Times New Roman" w:cs="Times New Roman"/>
                <w:b/>
                <w:color w:val="000000" w:themeColor="text1"/>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AA398">
            <w:pPr>
              <w:spacing w:line="200" w:lineRule="exact"/>
              <w:jc w:val="center"/>
              <w:rPr>
                <w:rFonts w:hint="default" w:ascii="Times New Roman" w:hAnsi="Times New Roman" w:cs="Times New Roman"/>
                <w:b/>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A34A6">
            <w:pPr>
              <w:spacing w:line="200"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E1FF8">
            <w:pPr>
              <w:spacing w:line="200"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5CEC6">
            <w:pPr>
              <w:spacing w:line="200"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F1195">
            <w:pPr>
              <w:spacing w:line="200"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国有资本经营预算财政拨款</w:t>
            </w:r>
          </w:p>
        </w:tc>
      </w:tr>
      <w:tr w14:paraId="25500FFD">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E80B7">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250A6">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10,680.73</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3E310">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5721">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2.85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9F9A3">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2.85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04EC3">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35035">
            <w:pPr>
              <w:wordWrap w:val="0"/>
              <w:spacing w:line="200" w:lineRule="exact"/>
              <w:jc w:val="right"/>
              <w:textAlignment w:val="center"/>
              <w:rPr>
                <w:rFonts w:hint="default" w:ascii="Times New Roman" w:hAnsi="Times New Roman" w:cs="Times New Roman"/>
                <w:color w:val="000000" w:themeColor="text1"/>
                <w:sz w:val="18"/>
                <w:szCs w:val="18"/>
              </w:rPr>
            </w:pPr>
          </w:p>
        </w:tc>
      </w:tr>
      <w:tr w14:paraId="081D4E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71929">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E8FA">
            <w:pPr>
              <w:wordWrap w:val="0"/>
              <w:spacing w:line="200" w:lineRule="exact"/>
              <w:jc w:val="right"/>
              <w:textAlignment w:val="center"/>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EE694">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8D777">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D651">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4DF3C">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EA1F">
            <w:pPr>
              <w:wordWrap w:val="0"/>
              <w:spacing w:line="200" w:lineRule="exact"/>
              <w:jc w:val="right"/>
              <w:textAlignment w:val="center"/>
              <w:rPr>
                <w:rFonts w:hint="default" w:ascii="Times New Roman" w:hAnsi="Times New Roman" w:cs="Times New Roman"/>
                <w:color w:val="000000" w:themeColor="text1"/>
                <w:sz w:val="18"/>
                <w:szCs w:val="18"/>
              </w:rPr>
            </w:pPr>
          </w:p>
        </w:tc>
      </w:tr>
      <w:tr w14:paraId="47A05A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608E3">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40C0F">
            <w:pPr>
              <w:wordWrap w:val="0"/>
              <w:spacing w:line="200" w:lineRule="exact"/>
              <w:jc w:val="right"/>
              <w:textAlignment w:val="center"/>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A2608">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B546">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6E14">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CFBD1">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D09C0">
            <w:pPr>
              <w:wordWrap w:val="0"/>
              <w:spacing w:line="200" w:lineRule="exact"/>
              <w:jc w:val="right"/>
              <w:textAlignment w:val="center"/>
              <w:rPr>
                <w:rFonts w:hint="default" w:ascii="Times New Roman" w:hAnsi="Times New Roman" w:cs="Times New Roman"/>
                <w:color w:val="000000" w:themeColor="text1"/>
                <w:sz w:val="18"/>
                <w:szCs w:val="18"/>
              </w:rPr>
            </w:pPr>
          </w:p>
        </w:tc>
      </w:tr>
      <w:tr w14:paraId="7B7A80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4665A">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6AFA63">
            <w:pPr>
              <w:spacing w:line="200" w:lineRule="exac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988BD">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7B37E">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21AC">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AEE8F">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C949C">
            <w:pPr>
              <w:wordWrap w:val="0"/>
              <w:spacing w:line="200" w:lineRule="exact"/>
              <w:jc w:val="right"/>
              <w:textAlignment w:val="center"/>
              <w:rPr>
                <w:rFonts w:hint="default" w:ascii="Times New Roman" w:hAnsi="Times New Roman" w:cs="Times New Roman"/>
                <w:color w:val="000000" w:themeColor="text1"/>
                <w:sz w:val="18"/>
                <w:szCs w:val="18"/>
              </w:rPr>
            </w:pPr>
          </w:p>
        </w:tc>
      </w:tr>
      <w:tr w14:paraId="116D3B21">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11F3C">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5EAABD">
            <w:pPr>
              <w:spacing w:line="200" w:lineRule="exac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59EEA">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0E24">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257.18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F2B9">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257.18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DE361">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A1C0">
            <w:pPr>
              <w:wordWrap w:val="0"/>
              <w:spacing w:line="200" w:lineRule="exact"/>
              <w:jc w:val="right"/>
              <w:textAlignment w:val="center"/>
              <w:rPr>
                <w:rFonts w:hint="default" w:ascii="Times New Roman" w:hAnsi="Times New Roman" w:cs="Times New Roman"/>
                <w:color w:val="000000" w:themeColor="text1"/>
                <w:sz w:val="18"/>
                <w:szCs w:val="18"/>
              </w:rPr>
            </w:pPr>
          </w:p>
        </w:tc>
      </w:tr>
      <w:tr w14:paraId="35ED1C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367C">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3A7682">
            <w:pPr>
              <w:spacing w:line="200" w:lineRule="exac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1CC90">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940C4">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EB15">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613E6">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E031B">
            <w:pPr>
              <w:wordWrap w:val="0"/>
              <w:spacing w:line="200" w:lineRule="exact"/>
              <w:jc w:val="right"/>
              <w:textAlignment w:val="center"/>
              <w:rPr>
                <w:rFonts w:hint="default" w:ascii="Times New Roman" w:hAnsi="Times New Roman" w:cs="Times New Roman"/>
                <w:color w:val="000000" w:themeColor="text1"/>
                <w:sz w:val="18"/>
                <w:szCs w:val="18"/>
              </w:rPr>
            </w:pPr>
          </w:p>
        </w:tc>
      </w:tr>
      <w:tr w14:paraId="237120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8D91">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797C5C">
            <w:pPr>
              <w:spacing w:line="200" w:lineRule="exac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91CBD">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F9D5D">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4639">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39811">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FBFA6">
            <w:pPr>
              <w:wordWrap w:val="0"/>
              <w:spacing w:line="200" w:lineRule="exact"/>
              <w:jc w:val="right"/>
              <w:textAlignment w:val="center"/>
              <w:rPr>
                <w:rFonts w:hint="default" w:ascii="Times New Roman" w:hAnsi="Times New Roman" w:cs="Times New Roman"/>
                <w:color w:val="000000" w:themeColor="text1"/>
                <w:sz w:val="18"/>
                <w:szCs w:val="18"/>
              </w:rPr>
            </w:pPr>
          </w:p>
        </w:tc>
      </w:tr>
      <w:tr w14:paraId="1581C0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F140">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6B09BD">
            <w:pPr>
              <w:spacing w:line="200" w:lineRule="exac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BF286">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9AAE5">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9,445.82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181B">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9,445.82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EA49D">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EEE04">
            <w:pPr>
              <w:wordWrap w:val="0"/>
              <w:spacing w:line="200" w:lineRule="exact"/>
              <w:jc w:val="right"/>
              <w:textAlignment w:val="center"/>
              <w:rPr>
                <w:rFonts w:hint="default" w:ascii="Times New Roman" w:hAnsi="Times New Roman" w:cs="Times New Roman"/>
                <w:color w:val="000000" w:themeColor="text1"/>
                <w:sz w:val="18"/>
                <w:szCs w:val="18"/>
              </w:rPr>
            </w:pPr>
          </w:p>
        </w:tc>
      </w:tr>
      <w:tr w14:paraId="516811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0841">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349ECE">
            <w:pPr>
              <w:spacing w:line="200" w:lineRule="exac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A5D14">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FA8EE">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130.28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5FA50">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130.28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9FC50">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407B">
            <w:pPr>
              <w:wordWrap w:val="0"/>
              <w:spacing w:line="200" w:lineRule="exact"/>
              <w:jc w:val="right"/>
              <w:textAlignment w:val="center"/>
              <w:rPr>
                <w:rFonts w:hint="default" w:ascii="Times New Roman" w:hAnsi="Times New Roman" w:cs="Times New Roman"/>
                <w:color w:val="000000" w:themeColor="text1"/>
                <w:sz w:val="18"/>
                <w:szCs w:val="18"/>
              </w:rPr>
            </w:pPr>
          </w:p>
        </w:tc>
      </w:tr>
      <w:tr w14:paraId="518042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CAC2B">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0FBE8">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6BCB4">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EBFC">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597AC">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6684">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FE0C">
            <w:pPr>
              <w:wordWrap w:val="0"/>
              <w:spacing w:line="200" w:lineRule="exact"/>
              <w:jc w:val="right"/>
              <w:textAlignment w:val="center"/>
              <w:rPr>
                <w:rFonts w:hint="default" w:ascii="Times New Roman" w:hAnsi="Times New Roman" w:cs="Times New Roman"/>
                <w:color w:val="000000" w:themeColor="text1"/>
                <w:sz w:val="18"/>
                <w:szCs w:val="18"/>
              </w:rPr>
            </w:pPr>
          </w:p>
        </w:tc>
      </w:tr>
      <w:tr w14:paraId="3D586F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97FF">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EB73">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CEA22">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28978">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8EF2D">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C04B8">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00D12">
            <w:pPr>
              <w:wordWrap w:val="0"/>
              <w:spacing w:line="200" w:lineRule="exact"/>
              <w:jc w:val="right"/>
              <w:textAlignment w:val="center"/>
              <w:rPr>
                <w:rFonts w:hint="default" w:ascii="Times New Roman" w:hAnsi="Times New Roman" w:cs="Times New Roman"/>
                <w:color w:val="000000" w:themeColor="text1"/>
                <w:sz w:val="18"/>
                <w:szCs w:val="18"/>
              </w:rPr>
            </w:pPr>
          </w:p>
        </w:tc>
      </w:tr>
      <w:tr w14:paraId="4859F8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DD809">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BD98">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8BE37">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AB8BB">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712.07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F00E9">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712.07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532A">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A3E3">
            <w:pPr>
              <w:wordWrap w:val="0"/>
              <w:spacing w:line="200" w:lineRule="exact"/>
              <w:jc w:val="right"/>
              <w:textAlignment w:val="center"/>
              <w:rPr>
                <w:rFonts w:hint="default" w:ascii="Times New Roman" w:hAnsi="Times New Roman" w:cs="Times New Roman"/>
                <w:color w:val="000000" w:themeColor="text1"/>
                <w:sz w:val="18"/>
                <w:szCs w:val="18"/>
              </w:rPr>
            </w:pPr>
          </w:p>
        </w:tc>
      </w:tr>
      <w:tr w14:paraId="60D870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2E72B">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42E2">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6E43">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92A03">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9B83E">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37301">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2B35C">
            <w:pPr>
              <w:wordWrap w:val="0"/>
              <w:spacing w:line="200" w:lineRule="exact"/>
              <w:jc w:val="right"/>
              <w:textAlignment w:val="center"/>
              <w:rPr>
                <w:rFonts w:hint="default" w:ascii="Times New Roman" w:hAnsi="Times New Roman" w:cs="Times New Roman"/>
                <w:color w:val="000000" w:themeColor="text1"/>
                <w:sz w:val="18"/>
                <w:szCs w:val="18"/>
              </w:rPr>
            </w:pPr>
          </w:p>
        </w:tc>
      </w:tr>
      <w:tr w14:paraId="0BD988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14C92">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5B6B8">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1DD80">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51122">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72BE4">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36A51">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CF123">
            <w:pPr>
              <w:wordWrap w:val="0"/>
              <w:spacing w:line="200" w:lineRule="exact"/>
              <w:jc w:val="right"/>
              <w:textAlignment w:val="center"/>
              <w:rPr>
                <w:rFonts w:hint="default" w:ascii="Times New Roman" w:hAnsi="Times New Roman" w:cs="Times New Roman"/>
                <w:color w:val="000000" w:themeColor="text1"/>
                <w:sz w:val="18"/>
                <w:szCs w:val="18"/>
              </w:rPr>
            </w:pPr>
          </w:p>
        </w:tc>
      </w:tr>
      <w:tr w14:paraId="493478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6110A">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3CB79">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3D140">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E764">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B6B1">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57C4B">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CDDA1">
            <w:pPr>
              <w:wordWrap w:val="0"/>
              <w:spacing w:line="200" w:lineRule="exact"/>
              <w:jc w:val="right"/>
              <w:textAlignment w:val="center"/>
              <w:rPr>
                <w:rFonts w:hint="default" w:ascii="Times New Roman" w:hAnsi="Times New Roman" w:cs="Times New Roman"/>
                <w:color w:val="000000" w:themeColor="text1"/>
                <w:sz w:val="18"/>
                <w:szCs w:val="18"/>
              </w:rPr>
            </w:pPr>
          </w:p>
        </w:tc>
      </w:tr>
      <w:tr w14:paraId="07089E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D27E7">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8126D">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B49A6">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F34E8">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B289E">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81C9D">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3A5E">
            <w:pPr>
              <w:wordWrap w:val="0"/>
              <w:spacing w:line="200" w:lineRule="exact"/>
              <w:jc w:val="right"/>
              <w:textAlignment w:val="center"/>
              <w:rPr>
                <w:rFonts w:hint="default" w:ascii="Times New Roman" w:hAnsi="Times New Roman" w:cs="Times New Roman"/>
                <w:color w:val="000000" w:themeColor="text1"/>
                <w:sz w:val="18"/>
                <w:szCs w:val="18"/>
              </w:rPr>
            </w:pPr>
          </w:p>
        </w:tc>
      </w:tr>
      <w:tr w14:paraId="484DFE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5F14D">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0E4D6">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C762B">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7AE1B">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25CC4">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2C9DC">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53F1">
            <w:pPr>
              <w:wordWrap w:val="0"/>
              <w:spacing w:line="200" w:lineRule="exact"/>
              <w:jc w:val="right"/>
              <w:textAlignment w:val="center"/>
              <w:rPr>
                <w:rFonts w:hint="default" w:ascii="Times New Roman" w:hAnsi="Times New Roman" w:cs="Times New Roman"/>
                <w:color w:val="000000" w:themeColor="text1"/>
                <w:sz w:val="18"/>
                <w:szCs w:val="18"/>
              </w:rPr>
            </w:pPr>
          </w:p>
        </w:tc>
      </w:tr>
      <w:tr w14:paraId="6C5E14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8F7E2">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C5F2">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AB00D">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C1E1">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EFA87">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FC8C">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69C73">
            <w:pPr>
              <w:wordWrap w:val="0"/>
              <w:spacing w:line="200" w:lineRule="exact"/>
              <w:jc w:val="right"/>
              <w:textAlignment w:val="center"/>
              <w:rPr>
                <w:rFonts w:hint="default" w:ascii="Times New Roman" w:hAnsi="Times New Roman" w:cs="Times New Roman"/>
                <w:color w:val="000000" w:themeColor="text1"/>
                <w:sz w:val="18"/>
                <w:szCs w:val="18"/>
              </w:rPr>
            </w:pPr>
          </w:p>
        </w:tc>
      </w:tr>
      <w:tr w14:paraId="47816830">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A9DF3">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65A8">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CCCD">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4DF48">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132.53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3C37">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132.53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18E5">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12A7">
            <w:pPr>
              <w:wordWrap w:val="0"/>
              <w:spacing w:line="200" w:lineRule="exact"/>
              <w:jc w:val="right"/>
              <w:textAlignment w:val="center"/>
              <w:rPr>
                <w:rFonts w:hint="default" w:ascii="Times New Roman" w:hAnsi="Times New Roman" w:cs="Times New Roman"/>
                <w:color w:val="000000" w:themeColor="text1"/>
                <w:sz w:val="18"/>
                <w:szCs w:val="18"/>
              </w:rPr>
            </w:pPr>
          </w:p>
        </w:tc>
      </w:tr>
      <w:tr w14:paraId="0E127DC8">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F7279">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71E14">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929A">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8944">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6A44">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2827">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C2A27">
            <w:pPr>
              <w:wordWrap w:val="0"/>
              <w:spacing w:line="200" w:lineRule="exact"/>
              <w:jc w:val="right"/>
              <w:textAlignment w:val="center"/>
              <w:rPr>
                <w:rFonts w:hint="default" w:ascii="Times New Roman" w:hAnsi="Times New Roman" w:cs="Times New Roman"/>
                <w:color w:val="000000" w:themeColor="text1"/>
                <w:sz w:val="18"/>
                <w:szCs w:val="18"/>
              </w:rPr>
            </w:pPr>
          </w:p>
        </w:tc>
      </w:tr>
      <w:tr w14:paraId="63D53C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91C8E">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6930D">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1392">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30F94">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6BF0">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F2FE">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7E83">
            <w:pPr>
              <w:wordWrap w:val="0"/>
              <w:spacing w:line="200" w:lineRule="exact"/>
              <w:jc w:val="right"/>
              <w:textAlignment w:val="center"/>
              <w:rPr>
                <w:rFonts w:hint="default" w:ascii="Times New Roman" w:hAnsi="Times New Roman" w:cs="Times New Roman"/>
                <w:color w:val="000000" w:themeColor="text1"/>
                <w:sz w:val="18"/>
                <w:szCs w:val="18"/>
              </w:rPr>
            </w:pPr>
          </w:p>
        </w:tc>
      </w:tr>
      <w:tr w14:paraId="1A6BCF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60081">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01BC">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000D">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2BBFA">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6B0D3">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F83B">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7FB0">
            <w:pPr>
              <w:wordWrap w:val="0"/>
              <w:spacing w:line="200" w:lineRule="exact"/>
              <w:jc w:val="right"/>
              <w:textAlignment w:val="center"/>
              <w:rPr>
                <w:rFonts w:hint="default" w:ascii="Times New Roman" w:hAnsi="Times New Roman" w:cs="Times New Roman"/>
                <w:color w:val="000000" w:themeColor="text1"/>
                <w:sz w:val="18"/>
                <w:szCs w:val="18"/>
              </w:rPr>
            </w:pPr>
          </w:p>
        </w:tc>
      </w:tr>
      <w:tr w14:paraId="541613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B798D">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ED6CE">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1075">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D5BE">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AC88A">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0B0D2">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ACF7">
            <w:pPr>
              <w:wordWrap w:val="0"/>
              <w:spacing w:line="200" w:lineRule="exact"/>
              <w:jc w:val="right"/>
              <w:textAlignment w:val="center"/>
              <w:rPr>
                <w:rFonts w:hint="default" w:ascii="Times New Roman" w:hAnsi="Times New Roman" w:cs="Times New Roman"/>
                <w:color w:val="000000" w:themeColor="text1"/>
                <w:sz w:val="18"/>
                <w:szCs w:val="18"/>
              </w:rPr>
            </w:pPr>
          </w:p>
        </w:tc>
      </w:tr>
      <w:tr w14:paraId="340D4F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1F18CC">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33B5">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CD99A">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F42A">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F3BD1">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681B">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39DE">
            <w:pPr>
              <w:wordWrap w:val="0"/>
              <w:spacing w:line="200" w:lineRule="exact"/>
              <w:jc w:val="right"/>
              <w:textAlignment w:val="center"/>
              <w:rPr>
                <w:rFonts w:hint="default" w:ascii="Times New Roman" w:hAnsi="Times New Roman" w:cs="Times New Roman"/>
                <w:color w:val="000000" w:themeColor="text1"/>
                <w:sz w:val="18"/>
                <w:szCs w:val="18"/>
              </w:rPr>
            </w:pPr>
          </w:p>
        </w:tc>
      </w:tr>
      <w:tr w14:paraId="761CF5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68AE72">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FB568">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1B00">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1623C">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F9BA">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E26BB">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1D190">
            <w:pPr>
              <w:wordWrap w:val="0"/>
              <w:spacing w:line="200" w:lineRule="exact"/>
              <w:jc w:val="right"/>
              <w:textAlignment w:val="center"/>
              <w:rPr>
                <w:rFonts w:hint="default" w:ascii="Times New Roman" w:hAnsi="Times New Roman" w:cs="Times New Roman"/>
                <w:color w:val="000000" w:themeColor="text1"/>
                <w:sz w:val="18"/>
                <w:szCs w:val="18"/>
              </w:rPr>
            </w:pPr>
          </w:p>
        </w:tc>
      </w:tr>
      <w:tr w14:paraId="3CE174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66321F">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DD527">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194A1">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26D34">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B46F">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E9FA5">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D0AD">
            <w:pPr>
              <w:wordWrap w:val="0"/>
              <w:spacing w:line="200" w:lineRule="exact"/>
              <w:jc w:val="right"/>
              <w:textAlignment w:val="center"/>
              <w:rPr>
                <w:rFonts w:hint="default" w:ascii="Times New Roman" w:hAnsi="Times New Roman" w:cs="Times New Roman"/>
                <w:color w:val="000000" w:themeColor="text1"/>
                <w:sz w:val="18"/>
                <w:szCs w:val="18"/>
              </w:rPr>
            </w:pPr>
          </w:p>
        </w:tc>
      </w:tr>
      <w:tr w14:paraId="2C632A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0C27">
            <w:pPr>
              <w:spacing w:line="200" w:lineRule="exact"/>
              <w:jc w:val="center"/>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66631">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10,680.73</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5D45C">
            <w:pPr>
              <w:spacing w:line="200" w:lineRule="exact"/>
              <w:jc w:val="center"/>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35F92">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10,680.73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C434D">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10,680.73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DEFC6">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A5911">
            <w:pPr>
              <w:wordWrap w:val="0"/>
              <w:spacing w:line="200" w:lineRule="exact"/>
              <w:jc w:val="right"/>
              <w:textAlignment w:val="center"/>
              <w:rPr>
                <w:rFonts w:hint="default" w:ascii="Times New Roman" w:hAnsi="Times New Roman" w:cs="Times New Roman"/>
                <w:color w:val="000000" w:themeColor="text1"/>
                <w:sz w:val="18"/>
                <w:szCs w:val="18"/>
              </w:rPr>
            </w:pPr>
          </w:p>
        </w:tc>
      </w:tr>
      <w:tr w14:paraId="2A6F9E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6E74">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71DB3">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100.00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19824">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A45D">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100.00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AB4BA">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100.00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0E328">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4B651">
            <w:pPr>
              <w:wordWrap w:val="0"/>
              <w:spacing w:line="200" w:lineRule="exact"/>
              <w:jc w:val="right"/>
              <w:textAlignment w:val="center"/>
              <w:rPr>
                <w:rFonts w:hint="default" w:ascii="Times New Roman" w:hAnsi="Times New Roman" w:cs="Times New Roman"/>
                <w:color w:val="000000" w:themeColor="text1"/>
                <w:sz w:val="18"/>
                <w:szCs w:val="18"/>
              </w:rPr>
            </w:pPr>
          </w:p>
        </w:tc>
      </w:tr>
      <w:tr w14:paraId="57A060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22E3">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22A5">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100.00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7680A2">
            <w:pPr>
              <w:spacing w:line="200" w:lineRule="exact"/>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807CFA">
            <w:pPr>
              <w:spacing w:line="200" w:lineRule="exact"/>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BB9195">
            <w:pPr>
              <w:spacing w:line="200" w:lineRule="exact"/>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B19322">
            <w:pPr>
              <w:spacing w:line="200" w:lineRule="exact"/>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3C007B">
            <w:pPr>
              <w:spacing w:line="200" w:lineRule="exact"/>
              <w:rPr>
                <w:rFonts w:hint="default" w:ascii="Times New Roman" w:hAnsi="Times New Roman" w:cs="Times New Roman"/>
                <w:color w:val="000000" w:themeColor="text1"/>
                <w:sz w:val="18"/>
                <w:szCs w:val="18"/>
              </w:rPr>
            </w:pPr>
          </w:p>
        </w:tc>
      </w:tr>
      <w:tr w14:paraId="234337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CE77A">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83AC5">
            <w:pPr>
              <w:wordWrap w:val="0"/>
              <w:spacing w:line="200" w:lineRule="exact"/>
              <w:jc w:val="right"/>
              <w:textAlignment w:val="center"/>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8B659">
            <w:pPr>
              <w:spacing w:line="200" w:lineRule="exact"/>
              <w:jc w:val="center"/>
              <w:rPr>
                <w:rFonts w:hint="default" w:ascii="Times New Roman" w:hAnsi="Times New Roman" w:cs="Times New Roman"/>
                <w:b/>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11519">
            <w:pPr>
              <w:spacing w:line="200" w:lineRule="exact"/>
              <w:jc w:val="right"/>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070A8">
            <w:pPr>
              <w:spacing w:line="200" w:lineRule="exact"/>
              <w:jc w:val="right"/>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D4BC">
            <w:pPr>
              <w:spacing w:line="200" w:lineRule="exact"/>
              <w:jc w:val="right"/>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16A5">
            <w:pPr>
              <w:spacing w:line="200" w:lineRule="exact"/>
              <w:jc w:val="right"/>
              <w:rPr>
                <w:rFonts w:hint="default" w:ascii="Times New Roman" w:hAnsi="Times New Roman" w:cs="Times New Roman"/>
                <w:color w:val="000000" w:themeColor="text1"/>
                <w:sz w:val="18"/>
                <w:szCs w:val="18"/>
              </w:rPr>
            </w:pPr>
          </w:p>
        </w:tc>
      </w:tr>
      <w:tr w14:paraId="049605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63D90">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BABC4">
            <w:pPr>
              <w:wordWrap w:val="0"/>
              <w:spacing w:line="200" w:lineRule="exact"/>
              <w:jc w:val="right"/>
              <w:textAlignment w:val="center"/>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BA41A">
            <w:pPr>
              <w:spacing w:line="200" w:lineRule="exact"/>
              <w:jc w:val="center"/>
              <w:rPr>
                <w:rFonts w:hint="default" w:ascii="Times New Roman" w:hAnsi="Times New Roman" w:cs="Times New Roman"/>
                <w:b/>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ACE17">
            <w:pPr>
              <w:spacing w:line="200" w:lineRule="exact"/>
              <w:jc w:val="right"/>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2DE49">
            <w:pPr>
              <w:spacing w:line="200" w:lineRule="exact"/>
              <w:jc w:val="right"/>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E9D2">
            <w:pPr>
              <w:spacing w:line="200" w:lineRule="exact"/>
              <w:jc w:val="right"/>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8AA28">
            <w:pPr>
              <w:spacing w:line="200" w:lineRule="exact"/>
              <w:jc w:val="right"/>
              <w:rPr>
                <w:rFonts w:hint="default" w:ascii="Times New Roman" w:hAnsi="Times New Roman" w:cs="Times New Roman"/>
                <w:color w:val="000000" w:themeColor="text1"/>
                <w:sz w:val="18"/>
                <w:szCs w:val="18"/>
              </w:rPr>
            </w:pPr>
          </w:p>
        </w:tc>
      </w:tr>
      <w:tr w14:paraId="6C2DE8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461BE">
            <w:pPr>
              <w:spacing w:line="200"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450C">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10,780.73</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07703">
            <w:pPr>
              <w:spacing w:line="200"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64F34">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10,780.73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F450F">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10,780.73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09C73">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4ACF">
            <w:pPr>
              <w:wordWrap w:val="0"/>
              <w:spacing w:line="200" w:lineRule="exact"/>
              <w:jc w:val="right"/>
              <w:textAlignment w:val="center"/>
              <w:rPr>
                <w:rFonts w:hint="default" w:ascii="Times New Roman" w:hAnsi="Times New Roman" w:cs="Times New Roman"/>
                <w:color w:val="000000" w:themeColor="text1"/>
                <w:sz w:val="18"/>
                <w:szCs w:val="18"/>
              </w:rPr>
            </w:pPr>
          </w:p>
        </w:tc>
      </w:tr>
    </w:tbl>
    <w:p w14:paraId="3C60F205">
      <w:pPr>
        <w:spacing w:line="240" w:lineRule="exact"/>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t xml:space="preserve">      2.本套报表金额单位转换时可能存在尾数误差。</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7A299EE8">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1D0465C">
            <w:pPr>
              <w:jc w:val="center"/>
              <w:textAlignment w:val="bottom"/>
              <w:rPr>
                <w:rFonts w:hint="default" w:ascii="Times New Roman" w:hAnsi="Times New Roman" w:cs="Times New Roman"/>
                <w:b/>
                <w:color w:val="000000" w:themeColor="text1"/>
                <w:sz w:val="32"/>
                <w:szCs w:val="32"/>
              </w:rPr>
            </w:pPr>
            <w:r>
              <w:rPr>
                <w:rFonts w:hint="default" w:ascii="Times New Roman" w:hAnsi="Times New Roman" w:cs="Times New Roman"/>
                <w:b/>
                <w:color w:val="000000" w:themeColor="text1"/>
                <w:sz w:val="32"/>
                <w:szCs w:val="32"/>
              </w:rPr>
              <w:t>一般公共预算财政拨款支出决算表</w:t>
            </w:r>
          </w:p>
        </w:tc>
      </w:tr>
      <w:tr w14:paraId="05364990">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CFFF04F">
            <w:pPr>
              <w:spacing w:line="280" w:lineRule="exact"/>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部门：</w:t>
            </w:r>
            <w:r>
              <w:rPr>
                <w:rFonts w:hint="default" w:ascii="Times New Roman" w:hAnsi="Times New Roman" w:cs="Times New Roman"/>
                <w:color w:val="000000" w:themeColor="text1"/>
                <w:sz w:val="20"/>
              </w:rPr>
              <w:t>丰都县人力资源和社会保障局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88E52E1">
            <w:pPr>
              <w:rPr>
                <w:rFonts w:hint="default" w:ascii="Times New Roman" w:hAnsi="Times New Roman" w:cs="Times New Roman"/>
                <w:color w:val="000000" w:themeColor="text1"/>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F03FA21">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公开</w:t>
            </w:r>
            <w:r>
              <w:rPr>
                <w:rFonts w:hint="default" w:ascii="Times New Roman" w:hAnsi="Times New Roman" w:cs="Times New Roman"/>
                <w:color w:val="000000" w:themeColor="text1"/>
                <w:sz w:val="20"/>
                <w:szCs w:val="20"/>
              </w:rPr>
              <w:t>05</w:t>
            </w:r>
            <w:r>
              <w:rPr>
                <w:rFonts w:hint="default" w:ascii="Times New Roman" w:hAnsi="Times New Roman" w:cs="Times New Roman"/>
                <w:color w:val="000000" w:themeColor="text1"/>
                <w:sz w:val="20"/>
                <w:szCs w:val="20"/>
              </w:rPr>
              <w:t>表</w:t>
            </w:r>
          </w:p>
        </w:tc>
      </w:tr>
      <w:tr w14:paraId="671AD437">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6544F91">
            <w:pPr>
              <w:rPr>
                <w:rFonts w:hint="default" w:ascii="Times New Roman" w:hAnsi="Times New Roman" w:cs="Times New Roman"/>
                <w:color w:val="000000" w:themeColor="text1"/>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50400D1">
            <w:pPr>
              <w:rPr>
                <w:rFonts w:hint="default" w:ascii="Times New Roman" w:hAnsi="Times New Roman" w:cs="Times New Roman"/>
                <w:color w:val="000000" w:themeColor="text1"/>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41DA739">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单位：万元</w:t>
            </w:r>
          </w:p>
        </w:tc>
      </w:tr>
      <w:tr w14:paraId="237D49AA">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CAD10">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E3B3EC">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本年支出</w:t>
            </w:r>
          </w:p>
        </w:tc>
      </w:tr>
      <w:tr w14:paraId="62782FE1">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3DDF6">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D8B20">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D1F18">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21D86">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BAABE">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项目支出</w:t>
            </w:r>
          </w:p>
        </w:tc>
      </w:tr>
      <w:tr w14:paraId="3B1F800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04747">
            <w:pPr>
              <w:jc w:val="center"/>
              <w:rPr>
                <w:rFonts w:hint="default" w:ascii="Times New Roman" w:hAnsi="Times New Roman" w:cs="Times New Roman"/>
                <w:b/>
                <w:color w:val="000000" w:themeColor="text1"/>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B1B4F">
            <w:pPr>
              <w:jc w:val="center"/>
              <w:rPr>
                <w:rFonts w:hint="default" w:ascii="Times New Roman" w:hAnsi="Times New Roman" w:cs="Times New Roman"/>
                <w:b/>
                <w:color w:val="000000" w:themeColor="text1"/>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AD888">
            <w:pPr>
              <w:jc w:val="center"/>
              <w:rPr>
                <w:rFonts w:hint="default" w:ascii="Times New Roman" w:hAnsi="Times New Roman" w:cs="Times New Roman"/>
                <w:b/>
                <w:color w:val="000000" w:themeColor="text1"/>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3F4FB">
            <w:pPr>
              <w:jc w:val="center"/>
              <w:rPr>
                <w:rFonts w:hint="default" w:ascii="Times New Roman" w:hAnsi="Times New Roman" w:cs="Times New Roman"/>
                <w:b/>
                <w:color w:val="000000" w:themeColor="text1"/>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569DE0">
            <w:pPr>
              <w:jc w:val="center"/>
              <w:rPr>
                <w:rFonts w:hint="default" w:ascii="Times New Roman" w:hAnsi="Times New Roman" w:cs="Times New Roman"/>
                <w:b/>
                <w:color w:val="000000" w:themeColor="text1"/>
                <w:sz w:val="20"/>
                <w:szCs w:val="20"/>
              </w:rPr>
            </w:pPr>
          </w:p>
        </w:tc>
      </w:tr>
      <w:tr w14:paraId="0DB179BC">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69381">
            <w:pPr>
              <w:jc w:val="center"/>
              <w:rPr>
                <w:rFonts w:hint="default" w:ascii="Times New Roman" w:hAnsi="Times New Roman" w:cs="Times New Roman"/>
                <w:b/>
                <w:color w:val="000000" w:themeColor="text1"/>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B085B">
            <w:pPr>
              <w:jc w:val="center"/>
              <w:rPr>
                <w:rFonts w:hint="default" w:ascii="Times New Roman" w:hAnsi="Times New Roman" w:cs="Times New Roman"/>
                <w:b/>
                <w:color w:val="000000" w:themeColor="text1"/>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AA834">
            <w:pPr>
              <w:jc w:val="center"/>
              <w:rPr>
                <w:rFonts w:hint="default" w:ascii="Times New Roman" w:hAnsi="Times New Roman" w:cs="Times New Roman"/>
                <w:b/>
                <w:color w:val="000000" w:themeColor="text1"/>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4B353">
            <w:pPr>
              <w:jc w:val="center"/>
              <w:rPr>
                <w:rFonts w:hint="default" w:ascii="Times New Roman" w:hAnsi="Times New Roman" w:cs="Times New Roman"/>
                <w:b/>
                <w:color w:val="000000" w:themeColor="text1"/>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A8CF4">
            <w:pPr>
              <w:jc w:val="center"/>
              <w:rPr>
                <w:rFonts w:hint="default" w:ascii="Times New Roman" w:hAnsi="Times New Roman" w:cs="Times New Roman"/>
                <w:b/>
                <w:color w:val="000000" w:themeColor="text1"/>
                <w:sz w:val="20"/>
                <w:szCs w:val="20"/>
              </w:rPr>
            </w:pPr>
          </w:p>
        </w:tc>
      </w:tr>
      <w:tr w14:paraId="75F6CBC4">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49E5D">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CDB65">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10,680.73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75742">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2,359.36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57641">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8,321.37</w:t>
            </w:r>
          </w:p>
        </w:tc>
      </w:tr>
      <w:tr w14:paraId="47D777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EC4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FF9EC">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6915E">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2.85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0CF14">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78561">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2.85</w:t>
            </w:r>
          </w:p>
        </w:tc>
      </w:tr>
      <w:tr w14:paraId="7F68D7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0444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DBB2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0AC33">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2.85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694D7">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FCD1F">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2.85</w:t>
            </w:r>
          </w:p>
        </w:tc>
      </w:tr>
      <w:tr w14:paraId="52A859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D3D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C2AAA">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CFF2F">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2.85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48D0B">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0030F">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2.85</w:t>
            </w:r>
          </w:p>
        </w:tc>
      </w:tr>
      <w:tr w14:paraId="0DF440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F4832">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B8B55">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69560">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257.18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DE8C0">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1CBC0">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257.18</w:t>
            </w:r>
          </w:p>
        </w:tc>
      </w:tr>
      <w:tr w14:paraId="1416DC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594F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20503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4E4F7">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职业教育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BEC86">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257.18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1A7A7">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04B76">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257.18</w:t>
            </w:r>
          </w:p>
        </w:tc>
      </w:tr>
      <w:tr w14:paraId="4C2641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D9E6F">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2050303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B2EB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技校教育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15B65">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257.18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D3E16">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DFD84">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257.18</w:t>
            </w:r>
          </w:p>
        </w:tc>
      </w:tr>
      <w:tr w14:paraId="2A1F68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C8177">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F74B3">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814D4">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9,445.82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9AF4B">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2,096.55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E66AD">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7,349.27</w:t>
            </w:r>
          </w:p>
        </w:tc>
      </w:tr>
      <w:tr w14:paraId="43F0E2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1D94A">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627EC">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5292D">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3,767.60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17974">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1,679.51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CD6B4">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2,088.09</w:t>
            </w:r>
          </w:p>
        </w:tc>
      </w:tr>
      <w:tr w14:paraId="059A53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9FF9D">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3143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AF10D">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1,469.23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21B6C">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1,469.23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71A53">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r>
      <w:tr w14:paraId="26D93D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24B3">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76791">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劳动保障监察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17DCB">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91.65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892DF">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FF1CE">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91.65</w:t>
            </w:r>
          </w:p>
        </w:tc>
      </w:tr>
      <w:tr w14:paraId="2DC185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2EF1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CCC47">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信息化建设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4C0E6">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57.64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89F23">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EB1D3">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57.64</w:t>
            </w:r>
          </w:p>
        </w:tc>
      </w:tr>
      <w:tr w14:paraId="14A5D8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DB9A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6D0CF">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社会保险经办机构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3CCEB">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416.37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9DE28">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944AA">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416.37</w:t>
            </w:r>
          </w:p>
        </w:tc>
      </w:tr>
      <w:tr w14:paraId="014AFD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E4863">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1137C">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劳动人事争议调解仲裁</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835D6">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14.50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89D7D">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B4405">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14.50</w:t>
            </w:r>
          </w:p>
        </w:tc>
      </w:tr>
      <w:tr w14:paraId="45CDC8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3357A">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E28C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C1346">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57.43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15BC0">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57.43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A1FC6">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r>
      <w:tr w14:paraId="326D12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131E7">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1536F">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7901B">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1,660.78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DDC32">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152.85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1E1DC">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1,507.93</w:t>
            </w:r>
          </w:p>
        </w:tc>
      </w:tr>
      <w:tr w14:paraId="52A7E1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37EA6">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E7C9F">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6EB29">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417.04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1EC0E">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417.04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A2CC1">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p>
        </w:tc>
      </w:tr>
      <w:tr w14:paraId="31FC66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A7365">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7CA35">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44027">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124.74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31371">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124.74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8E73B">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r>
      <w:tr w14:paraId="6CBD4A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56C2D">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0C663">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655B6">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168.70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DD42F">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168.70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E8BE5">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r>
      <w:tr w14:paraId="1852D9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F35FE">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48B0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593F6">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94.92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401E8">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94.92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53E29">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r>
      <w:tr w14:paraId="23406C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48D2">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4AD28">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7E64A">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28.68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D6237">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28.68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3E0D7">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r>
      <w:tr w14:paraId="59DF62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62A3A">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79B5D">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94C9C">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5,261.18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EAA36">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F4FF4">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5,261.18</w:t>
            </w:r>
          </w:p>
        </w:tc>
      </w:tr>
      <w:tr w14:paraId="4544DF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E0CBF">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7F66E">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就业创业服务补贴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9C95A">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4,967.28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61E8F">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9FA31">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4,967.28</w:t>
            </w:r>
          </w:p>
        </w:tc>
      </w:tr>
      <w:tr w14:paraId="108C73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DEC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2E45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F3AA9">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68.82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186C2">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DADB8">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68.82</w:t>
            </w:r>
          </w:p>
        </w:tc>
      </w:tr>
      <w:tr w14:paraId="46BDE7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6F605">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2080709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7C736">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职业技能鉴定补贴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500ED">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5.00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F5B2D">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F8536">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5.00</w:t>
            </w:r>
          </w:p>
        </w:tc>
      </w:tr>
      <w:tr w14:paraId="00675A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23B00">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EAE77">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其他就业补助支出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612EF">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220.08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11039">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8D546">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220.08</w:t>
            </w:r>
          </w:p>
        </w:tc>
      </w:tr>
      <w:tr w14:paraId="5C08CC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5CDFD">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41B31">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5FB1D">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130.28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48255">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130.28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20F4A">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p>
        </w:tc>
      </w:tr>
      <w:tr w14:paraId="42600A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35A48">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4C766">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8D213">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130.28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F33EE">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130.28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B7239">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p>
        </w:tc>
      </w:tr>
      <w:tr w14:paraId="0000FB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A8106">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E5806">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33C4C">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78.01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FB9AE">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78.01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550B4">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r>
      <w:tr w14:paraId="415A80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D964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DD042">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9348A">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8.57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6A880">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8.57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6070B">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r>
      <w:tr w14:paraId="083BAE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F78B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B23DD">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57DC8">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43.71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9DB14">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43.71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D0822">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r>
      <w:tr w14:paraId="0FA7BB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7547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BA1E1">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3CA29">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712.07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8BC93">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368D0">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712.07</w:t>
            </w:r>
          </w:p>
        </w:tc>
      </w:tr>
      <w:tr w14:paraId="667FC3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5AC13">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541AC">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ADA02">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472.26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490A2">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C9CCB">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472.26</w:t>
            </w:r>
          </w:p>
        </w:tc>
      </w:tr>
      <w:tr w14:paraId="5BD996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697A">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66C95">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1DC5B">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25.47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35257">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3E2D5">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25.47</w:t>
            </w:r>
          </w:p>
        </w:tc>
      </w:tr>
      <w:tr w14:paraId="7B6A44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6290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B6A12">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B8AEC">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446.79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5FDD7">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F5017">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446.79</w:t>
            </w:r>
          </w:p>
        </w:tc>
      </w:tr>
      <w:tr w14:paraId="1693DC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747D6">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AD191">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普惠金融发展支出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874B8">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239.80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E78A6">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EE4FF">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239.80</w:t>
            </w:r>
          </w:p>
        </w:tc>
      </w:tr>
      <w:tr w14:paraId="346CDF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1A09A">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2130804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76FE8">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创业担保贷款贴息及奖补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8C2A6">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239.80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CA681">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44A6F">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239.80</w:t>
            </w:r>
          </w:p>
        </w:tc>
      </w:tr>
      <w:tr w14:paraId="4AFFC3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896D1">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683F8">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1AE92">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132.53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EA872">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132.53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A483B">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p>
        </w:tc>
      </w:tr>
      <w:tr w14:paraId="2DC5FC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F8B40">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2FB3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7F32E">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132.53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DD141">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132.53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3513D">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p>
        </w:tc>
      </w:tr>
      <w:tr w14:paraId="420418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8D7FF">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45C31">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2BDB7">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132.53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0A2C8">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132.53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5633C">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r>
    </w:tbl>
    <w:p w14:paraId="34F973A5">
      <w:pP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0"/>
          <w:szCs w:val="20"/>
        </w:rPr>
        <w:t>备注：1.本表反映部门本年度一般公共预算财政拨款支出情况。</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t xml:space="preserve">      2.本套报表金额单位转换时可能存在尾数误差。</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br w:type="textWrapping"/>
      </w:r>
    </w:p>
    <w:p w14:paraId="64398940">
      <w:pPr>
        <w:ind w:firstLine="630" w:firstLineChars="300"/>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191F8114">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48A9B95">
            <w:pPr>
              <w:spacing w:line="440" w:lineRule="exact"/>
              <w:jc w:val="center"/>
              <w:textAlignment w:val="bottom"/>
              <w:rPr>
                <w:rFonts w:hint="default" w:ascii="Times New Roman" w:hAnsi="Times New Roman" w:cs="Times New Roman"/>
                <w:b/>
                <w:color w:val="000000" w:themeColor="text1"/>
                <w:sz w:val="32"/>
                <w:szCs w:val="32"/>
              </w:rPr>
            </w:pPr>
            <w:r>
              <w:rPr>
                <w:rFonts w:hint="default" w:ascii="Times New Roman" w:hAnsi="Times New Roman" w:cs="Times New Roman"/>
                <w:b/>
                <w:color w:val="000000" w:themeColor="text1"/>
                <w:sz w:val="32"/>
                <w:szCs w:val="32"/>
              </w:rPr>
              <w:t>一般公共预算财政拨款基本支出决算表</w:t>
            </w:r>
          </w:p>
        </w:tc>
      </w:tr>
      <w:tr w14:paraId="7D795AC2">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7D87A85">
            <w:pPr>
              <w:spacing w:line="280" w:lineRule="exact"/>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20"/>
                <w:szCs w:val="20"/>
              </w:rPr>
              <w:t>部门：</w:t>
            </w:r>
            <w:r>
              <w:rPr>
                <w:rFonts w:hint="default" w:ascii="Times New Roman" w:hAnsi="Times New Roman" w:cs="Times New Roman"/>
                <w:color w:val="000000" w:themeColor="text1"/>
                <w:sz w:val="20"/>
              </w:rPr>
              <w:t>丰都县人力资源和社会保障局</w:t>
            </w:r>
          </w:p>
        </w:tc>
        <w:tc>
          <w:tcPr>
            <w:tcW w:w="463" w:type="pct"/>
            <w:tcBorders>
              <w:top w:val="nil"/>
              <w:left w:val="nil"/>
              <w:bottom w:val="nil"/>
              <w:right w:val="nil"/>
            </w:tcBorders>
            <w:shd w:val="clear" w:color="auto" w:fill="auto"/>
            <w:noWrap/>
            <w:tcMar>
              <w:top w:w="15" w:type="dxa"/>
              <w:left w:w="15" w:type="dxa"/>
              <w:right w:w="15" w:type="dxa"/>
            </w:tcMar>
            <w:vAlign w:val="bottom"/>
          </w:tcPr>
          <w:p w14:paraId="2094FD26">
            <w:pPr>
              <w:spacing w:line="200" w:lineRule="exact"/>
              <w:rPr>
                <w:rFonts w:hint="default" w:ascii="Times New Roman" w:hAnsi="Times New Roman" w:cs="Times New Roman"/>
                <w:color w:val="000000" w:themeColor="text1"/>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32B8865">
            <w:pPr>
              <w:spacing w:line="200" w:lineRule="exact"/>
              <w:rPr>
                <w:rFonts w:hint="default" w:ascii="Times New Roman" w:hAnsi="Times New Roman" w:cs="Times New Roman"/>
                <w:color w:val="000000" w:themeColor="text1"/>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67FA3BD">
            <w:pPr>
              <w:spacing w:line="200" w:lineRule="exact"/>
              <w:rPr>
                <w:rFonts w:hint="default" w:ascii="Times New Roman" w:hAnsi="Times New Roman" w:cs="Times New Roman"/>
                <w:color w:val="000000" w:themeColor="text1"/>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A20BD48">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公开</w:t>
            </w:r>
            <w:r>
              <w:rPr>
                <w:rFonts w:hint="default" w:ascii="Times New Roman" w:hAnsi="Times New Roman" w:cs="Times New Roman"/>
                <w:color w:val="000000" w:themeColor="text1"/>
                <w:sz w:val="20"/>
                <w:szCs w:val="20"/>
              </w:rPr>
              <w:t>06</w:t>
            </w:r>
            <w:r>
              <w:rPr>
                <w:rFonts w:hint="default" w:ascii="Times New Roman" w:hAnsi="Times New Roman" w:cs="Times New Roman"/>
                <w:color w:val="000000" w:themeColor="text1"/>
                <w:sz w:val="20"/>
                <w:szCs w:val="20"/>
              </w:rPr>
              <w:t>表</w:t>
            </w:r>
          </w:p>
        </w:tc>
      </w:tr>
      <w:tr w14:paraId="5D5DB10A">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4332079">
            <w:pPr>
              <w:spacing w:line="200" w:lineRule="exact"/>
              <w:rPr>
                <w:rFonts w:hint="default" w:ascii="Times New Roman" w:hAnsi="Times New Roman" w:cs="Times New Roman"/>
                <w:color w:val="000000" w:themeColor="text1"/>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1EE82C2">
            <w:pPr>
              <w:spacing w:line="200" w:lineRule="exact"/>
              <w:rPr>
                <w:rFonts w:hint="default" w:ascii="Times New Roman" w:hAnsi="Times New Roman" w:cs="Times New Roman"/>
                <w:color w:val="000000" w:themeColor="text1"/>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31D2743">
            <w:pPr>
              <w:spacing w:line="200" w:lineRule="exact"/>
              <w:rPr>
                <w:rFonts w:hint="default" w:ascii="Times New Roman" w:hAnsi="Times New Roman" w:cs="Times New Roman"/>
                <w:color w:val="000000" w:themeColor="text1"/>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AD0050E">
            <w:pPr>
              <w:spacing w:line="200" w:lineRule="exact"/>
              <w:rPr>
                <w:rFonts w:hint="default" w:ascii="Times New Roman" w:hAnsi="Times New Roman" w:cs="Times New Roman"/>
                <w:color w:val="000000" w:themeColor="text1"/>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D17F99A">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单位：万元</w:t>
            </w:r>
          </w:p>
        </w:tc>
      </w:tr>
      <w:tr w14:paraId="5F2918EA">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804B5">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D61A84">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公用经费</w:t>
            </w:r>
          </w:p>
        </w:tc>
      </w:tr>
      <w:tr w14:paraId="2B9707A5">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E3D57">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CD1AA">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3762F1">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06831">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9ADB9">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经济分类科目（按“款”经济分类科目）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07BD4">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00FF7">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A94F3">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690D1">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金额</w:t>
            </w:r>
          </w:p>
        </w:tc>
      </w:tr>
      <w:tr w14:paraId="3FCD25A2">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07CA8">
            <w:pPr>
              <w:spacing w:line="192" w:lineRule="exact"/>
              <w:jc w:val="center"/>
              <w:rPr>
                <w:rFonts w:hint="default" w:ascii="Times New Roman" w:hAnsi="Times New Roman" w:cs="Times New Roman"/>
                <w:b/>
                <w:color w:val="000000" w:themeColor="text1"/>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A4C1D">
            <w:pPr>
              <w:spacing w:line="192" w:lineRule="exact"/>
              <w:jc w:val="center"/>
              <w:rPr>
                <w:rFonts w:hint="default" w:ascii="Times New Roman" w:hAnsi="Times New Roman" w:cs="Times New Roman"/>
                <w:b/>
                <w:color w:val="000000" w:themeColor="text1"/>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6C2BB">
            <w:pPr>
              <w:spacing w:line="192" w:lineRule="exact"/>
              <w:jc w:val="center"/>
              <w:rPr>
                <w:rFonts w:hint="default" w:ascii="Times New Roman" w:hAnsi="Times New Roman" w:cs="Times New Roman"/>
                <w:b/>
                <w:color w:val="000000" w:themeColor="text1"/>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DF6A3">
            <w:pPr>
              <w:spacing w:line="192" w:lineRule="exact"/>
              <w:jc w:val="center"/>
              <w:rPr>
                <w:rFonts w:hint="default" w:ascii="Times New Roman" w:hAnsi="Times New Roman" w:cs="Times New Roman"/>
                <w:b/>
                <w:color w:val="000000" w:themeColor="text1"/>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D6D75">
            <w:pPr>
              <w:spacing w:line="192" w:lineRule="exact"/>
              <w:jc w:val="center"/>
              <w:rPr>
                <w:rFonts w:hint="default" w:ascii="Times New Roman" w:hAnsi="Times New Roman" w:cs="Times New Roman"/>
                <w:b/>
                <w:color w:val="000000" w:themeColor="text1"/>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96EF9">
            <w:pPr>
              <w:spacing w:line="192" w:lineRule="exact"/>
              <w:jc w:val="center"/>
              <w:rPr>
                <w:rFonts w:hint="default" w:ascii="Times New Roman" w:hAnsi="Times New Roman" w:cs="Times New Roman"/>
                <w:b/>
                <w:color w:val="000000" w:themeColor="text1"/>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FF25A">
            <w:pPr>
              <w:spacing w:line="192" w:lineRule="exact"/>
              <w:jc w:val="center"/>
              <w:rPr>
                <w:rFonts w:hint="default" w:ascii="Times New Roman" w:hAnsi="Times New Roman" w:cs="Times New Roman"/>
                <w:b/>
                <w:color w:val="000000" w:themeColor="text1"/>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215D0">
            <w:pPr>
              <w:spacing w:line="192" w:lineRule="exact"/>
              <w:jc w:val="center"/>
              <w:rPr>
                <w:rFonts w:hint="default" w:ascii="Times New Roman" w:hAnsi="Times New Roman" w:cs="Times New Roman"/>
                <w:b/>
                <w:color w:val="000000" w:themeColor="text1"/>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6C708">
            <w:pPr>
              <w:spacing w:line="192" w:lineRule="exact"/>
              <w:jc w:val="center"/>
              <w:rPr>
                <w:rFonts w:hint="default" w:ascii="Times New Roman" w:hAnsi="Times New Roman" w:cs="Times New Roman"/>
                <w:b/>
                <w:color w:val="000000" w:themeColor="text1"/>
                <w:sz w:val="18"/>
                <w:szCs w:val="18"/>
              </w:rPr>
            </w:pPr>
          </w:p>
        </w:tc>
      </w:tr>
      <w:tr w14:paraId="2940C3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20C7">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9D59A">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AF232">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1,743.45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3122D">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61ECA">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E9E38">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436.26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0E7AA">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6CB2C">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CCCA">
            <w:pPr>
              <w:spacing w:line="192" w:lineRule="exact"/>
              <w:jc w:val="right"/>
              <w:textAlignment w:val="center"/>
              <w:rPr>
                <w:rFonts w:hint="default" w:ascii="Times New Roman" w:hAnsi="Times New Roman" w:cs="Times New Roman"/>
                <w:color w:val="000000" w:themeColor="text1"/>
                <w:sz w:val="18"/>
                <w:szCs w:val="18"/>
              </w:rPr>
            </w:pPr>
          </w:p>
        </w:tc>
      </w:tr>
      <w:tr w14:paraId="2C3AA8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B41B">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5B7E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AE99C">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399.30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4A526">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4E11A">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50079">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A8630">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6F8C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0CD5E">
            <w:pPr>
              <w:spacing w:line="192" w:lineRule="exact"/>
              <w:jc w:val="right"/>
              <w:textAlignment w:val="center"/>
              <w:rPr>
                <w:rFonts w:hint="default" w:ascii="Times New Roman" w:hAnsi="Times New Roman" w:cs="Times New Roman"/>
                <w:color w:val="000000" w:themeColor="text1"/>
                <w:sz w:val="18"/>
                <w:szCs w:val="18"/>
              </w:rPr>
            </w:pPr>
          </w:p>
        </w:tc>
      </w:tr>
      <w:tr w14:paraId="6676D6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526C">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F375">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83A7">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240.78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13A1">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85B0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8D32E">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2.39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00F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13DE6">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FCF1">
            <w:pPr>
              <w:spacing w:line="192" w:lineRule="exact"/>
              <w:jc w:val="right"/>
              <w:textAlignment w:val="center"/>
              <w:rPr>
                <w:rFonts w:hint="default" w:ascii="Times New Roman" w:hAnsi="Times New Roman" w:cs="Times New Roman"/>
                <w:color w:val="000000" w:themeColor="text1"/>
                <w:sz w:val="18"/>
                <w:szCs w:val="18"/>
              </w:rPr>
            </w:pPr>
          </w:p>
        </w:tc>
      </w:tr>
      <w:tr w14:paraId="5547C5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DDE4C">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4553">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D28E">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443.28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ED5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DB76">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6F5CD">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0.04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EA091">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8692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2CD0">
            <w:pPr>
              <w:spacing w:line="192" w:lineRule="exact"/>
              <w:jc w:val="right"/>
              <w:textAlignment w:val="center"/>
              <w:rPr>
                <w:rFonts w:hint="default" w:ascii="Times New Roman" w:hAnsi="Times New Roman" w:cs="Times New Roman"/>
                <w:color w:val="000000" w:themeColor="text1"/>
                <w:sz w:val="18"/>
                <w:szCs w:val="18"/>
              </w:rPr>
            </w:pPr>
          </w:p>
        </w:tc>
      </w:tr>
      <w:tr w14:paraId="65C003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51DC">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12B3D">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6D9F6">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24DC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C2E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AD17">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0.01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F983">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E571">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65236">
            <w:pPr>
              <w:spacing w:line="192" w:lineRule="exact"/>
              <w:jc w:val="right"/>
              <w:textAlignment w:val="center"/>
              <w:rPr>
                <w:rFonts w:hint="default" w:ascii="Times New Roman" w:hAnsi="Times New Roman" w:cs="Times New Roman"/>
                <w:color w:val="000000" w:themeColor="text1"/>
                <w:sz w:val="18"/>
                <w:szCs w:val="18"/>
              </w:rPr>
            </w:pPr>
          </w:p>
        </w:tc>
      </w:tr>
      <w:tr w14:paraId="003E64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B149A">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C2EA6">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632C">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121.62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050AA">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9F687">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CE8D">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0D6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0B9C">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19C3A">
            <w:pPr>
              <w:spacing w:line="192" w:lineRule="exact"/>
              <w:jc w:val="right"/>
              <w:textAlignment w:val="center"/>
              <w:rPr>
                <w:rFonts w:hint="default" w:ascii="Times New Roman" w:hAnsi="Times New Roman" w:cs="Times New Roman"/>
                <w:color w:val="000000" w:themeColor="text1"/>
                <w:sz w:val="18"/>
                <w:szCs w:val="18"/>
              </w:rPr>
            </w:pPr>
          </w:p>
        </w:tc>
      </w:tr>
      <w:tr w14:paraId="21D84F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6233">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77F8">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64E6">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172.88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147A3">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FE43">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265B6">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14.10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226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8D05B">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B35C3">
            <w:pPr>
              <w:spacing w:line="192" w:lineRule="exact"/>
              <w:jc w:val="right"/>
              <w:textAlignment w:val="center"/>
              <w:rPr>
                <w:rFonts w:hint="default" w:ascii="Times New Roman" w:hAnsi="Times New Roman" w:cs="Times New Roman"/>
                <w:color w:val="000000" w:themeColor="text1"/>
                <w:sz w:val="18"/>
                <w:szCs w:val="18"/>
              </w:rPr>
            </w:pPr>
          </w:p>
        </w:tc>
      </w:tr>
      <w:tr w14:paraId="53B165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2F01">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AAC8">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A27EF">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97.01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EE59">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D9257">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B1481">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33.34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4FB9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D8410">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1195">
            <w:pPr>
              <w:spacing w:line="192" w:lineRule="exact"/>
              <w:jc w:val="right"/>
              <w:textAlignment w:val="center"/>
              <w:rPr>
                <w:rFonts w:hint="default" w:ascii="Times New Roman" w:hAnsi="Times New Roman" w:cs="Times New Roman"/>
                <w:color w:val="000000" w:themeColor="text1"/>
                <w:sz w:val="18"/>
                <w:szCs w:val="18"/>
              </w:rPr>
            </w:pPr>
          </w:p>
        </w:tc>
      </w:tr>
      <w:tr w14:paraId="743CD8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E53C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3C787">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D0E78">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87.92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BACEB">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54467">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941DE">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DE9CB">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6BCD">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4AC3">
            <w:pPr>
              <w:spacing w:line="192" w:lineRule="exact"/>
              <w:jc w:val="right"/>
              <w:textAlignment w:val="center"/>
              <w:rPr>
                <w:rFonts w:hint="default" w:ascii="Times New Roman" w:hAnsi="Times New Roman" w:cs="Times New Roman"/>
                <w:color w:val="000000" w:themeColor="text1"/>
                <w:sz w:val="18"/>
                <w:szCs w:val="18"/>
              </w:rPr>
            </w:pPr>
          </w:p>
        </w:tc>
      </w:tr>
      <w:tr w14:paraId="72906D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8C9D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C08AC">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0031">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57A8">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2D0C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49F17">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67843">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419E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533D7">
            <w:pPr>
              <w:spacing w:line="192" w:lineRule="exact"/>
              <w:jc w:val="right"/>
              <w:textAlignment w:val="center"/>
              <w:rPr>
                <w:rFonts w:hint="default" w:ascii="Times New Roman" w:hAnsi="Times New Roman" w:cs="Times New Roman"/>
                <w:color w:val="000000" w:themeColor="text1"/>
                <w:sz w:val="18"/>
                <w:szCs w:val="18"/>
              </w:rPr>
            </w:pPr>
          </w:p>
        </w:tc>
      </w:tr>
      <w:tr w14:paraId="46C7C3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9433">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C8FA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4FD9B">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26.23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E57A0">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D1D67">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D1C7A">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26.70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5270">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56161">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52211">
            <w:pPr>
              <w:spacing w:line="192" w:lineRule="exact"/>
              <w:jc w:val="right"/>
              <w:textAlignment w:val="center"/>
              <w:rPr>
                <w:rFonts w:hint="default" w:ascii="Times New Roman" w:hAnsi="Times New Roman" w:cs="Times New Roman"/>
                <w:color w:val="000000" w:themeColor="text1"/>
                <w:sz w:val="18"/>
                <w:szCs w:val="18"/>
              </w:rPr>
            </w:pPr>
          </w:p>
        </w:tc>
      </w:tr>
      <w:tr w14:paraId="2CEF08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600E9">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57BFB">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EB4B2">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132.59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69B0">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9EB9C">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1D61">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2862A">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B470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DE18F">
            <w:pPr>
              <w:spacing w:line="192" w:lineRule="exact"/>
              <w:jc w:val="right"/>
              <w:textAlignment w:val="center"/>
              <w:rPr>
                <w:rFonts w:hint="default" w:ascii="Times New Roman" w:hAnsi="Times New Roman" w:cs="Times New Roman"/>
                <w:color w:val="000000" w:themeColor="text1"/>
                <w:sz w:val="18"/>
                <w:szCs w:val="18"/>
              </w:rPr>
            </w:pPr>
          </w:p>
        </w:tc>
      </w:tr>
      <w:tr w14:paraId="637D27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3D47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46959">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61536">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21.84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531F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C1A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8154">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1.55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94806">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72A4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E9667">
            <w:pPr>
              <w:spacing w:line="192" w:lineRule="exact"/>
              <w:jc w:val="right"/>
              <w:textAlignment w:val="center"/>
              <w:rPr>
                <w:rFonts w:hint="default" w:ascii="Times New Roman" w:hAnsi="Times New Roman" w:cs="Times New Roman"/>
                <w:color w:val="000000" w:themeColor="text1"/>
                <w:sz w:val="18"/>
                <w:szCs w:val="18"/>
              </w:rPr>
            </w:pPr>
          </w:p>
        </w:tc>
      </w:tr>
      <w:tr w14:paraId="5BB5AF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873B7">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AB95">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C87E">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B86A">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9C1A">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3857">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7759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6B3D">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BAEC0">
            <w:pPr>
              <w:spacing w:line="192" w:lineRule="exact"/>
              <w:jc w:val="right"/>
              <w:textAlignment w:val="center"/>
              <w:rPr>
                <w:rFonts w:hint="default" w:ascii="Times New Roman" w:hAnsi="Times New Roman" w:cs="Times New Roman"/>
                <w:color w:val="000000" w:themeColor="text1"/>
                <w:sz w:val="18"/>
                <w:szCs w:val="18"/>
              </w:rPr>
            </w:pPr>
          </w:p>
        </w:tc>
      </w:tr>
      <w:tr w14:paraId="70F060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7A101">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9E4FC">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76774">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179.65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DE66A">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997A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949A8">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0.99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B3BF0">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39BE0">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C3355">
            <w:pPr>
              <w:spacing w:line="192" w:lineRule="exact"/>
              <w:jc w:val="right"/>
              <w:textAlignment w:val="center"/>
              <w:rPr>
                <w:rFonts w:hint="default" w:ascii="Times New Roman" w:hAnsi="Times New Roman" w:cs="Times New Roman"/>
                <w:color w:val="000000" w:themeColor="text1"/>
                <w:sz w:val="18"/>
                <w:szCs w:val="18"/>
              </w:rPr>
            </w:pPr>
          </w:p>
        </w:tc>
      </w:tr>
      <w:tr w14:paraId="6C85E7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E0F7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9981">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141C0">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15.19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E505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EB27">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A7080">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1.99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DDA8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B50CD">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8DB1A">
            <w:pPr>
              <w:spacing w:line="192" w:lineRule="exact"/>
              <w:jc w:val="right"/>
              <w:textAlignment w:val="center"/>
              <w:rPr>
                <w:rFonts w:hint="default" w:ascii="Times New Roman" w:hAnsi="Times New Roman" w:cs="Times New Roman"/>
                <w:color w:val="000000" w:themeColor="text1"/>
                <w:sz w:val="18"/>
                <w:szCs w:val="18"/>
              </w:rPr>
            </w:pPr>
          </w:p>
        </w:tc>
      </w:tr>
      <w:tr w14:paraId="6B40E4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9F2D">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95A78">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0E5D">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8746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76577">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6A7DF">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2.15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85E1">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C78C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6D549">
            <w:pPr>
              <w:spacing w:line="192" w:lineRule="exact"/>
              <w:jc w:val="right"/>
              <w:textAlignment w:val="center"/>
              <w:rPr>
                <w:rFonts w:hint="default" w:ascii="Times New Roman" w:hAnsi="Times New Roman" w:cs="Times New Roman"/>
                <w:color w:val="000000" w:themeColor="text1"/>
                <w:sz w:val="18"/>
                <w:szCs w:val="18"/>
              </w:rPr>
            </w:pPr>
          </w:p>
        </w:tc>
      </w:tr>
      <w:tr w14:paraId="28C920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B77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F70A">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5C4E1">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ABA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9F96">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5452">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F3EF4">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4241F">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C5030">
            <w:pPr>
              <w:spacing w:line="192" w:lineRule="exact"/>
              <w:jc w:val="right"/>
              <w:textAlignment w:val="center"/>
              <w:rPr>
                <w:rFonts w:hint="default" w:ascii="Times New Roman" w:hAnsi="Times New Roman" w:cs="Times New Roman"/>
                <w:color w:val="000000" w:themeColor="text1"/>
                <w:sz w:val="18"/>
                <w:szCs w:val="18"/>
              </w:rPr>
            </w:pPr>
          </w:p>
        </w:tc>
      </w:tr>
      <w:tr w14:paraId="23EA55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0D5C3">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8D40">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C21CC">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F5FC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32F3">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B2842">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ABCB">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EA2AA">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62897">
            <w:pPr>
              <w:spacing w:line="192" w:lineRule="exact"/>
              <w:jc w:val="right"/>
              <w:textAlignment w:val="center"/>
              <w:rPr>
                <w:rFonts w:hint="default" w:ascii="Times New Roman" w:hAnsi="Times New Roman" w:cs="Times New Roman"/>
                <w:color w:val="000000" w:themeColor="text1"/>
                <w:sz w:val="18"/>
                <w:szCs w:val="18"/>
              </w:rPr>
            </w:pPr>
          </w:p>
        </w:tc>
      </w:tr>
      <w:tr w14:paraId="126045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576CD">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F5930">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D5FB">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140.11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CF63">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939C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1977">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D5BCC">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F2876">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F4F4">
            <w:pPr>
              <w:spacing w:line="192" w:lineRule="exact"/>
              <w:jc w:val="right"/>
              <w:textAlignment w:val="center"/>
              <w:rPr>
                <w:rFonts w:hint="default" w:ascii="Times New Roman" w:hAnsi="Times New Roman" w:cs="Times New Roman"/>
                <w:color w:val="000000" w:themeColor="text1"/>
                <w:sz w:val="18"/>
                <w:szCs w:val="18"/>
              </w:rPr>
            </w:pPr>
          </w:p>
        </w:tc>
      </w:tr>
      <w:tr w14:paraId="0370D6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786B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AA2EC">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403E4">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4A07A">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C11D">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72F88">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145.65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97A75">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13D90">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F87B">
            <w:pPr>
              <w:spacing w:line="192" w:lineRule="exact"/>
              <w:jc w:val="right"/>
              <w:textAlignment w:val="center"/>
              <w:rPr>
                <w:rFonts w:hint="default" w:ascii="Times New Roman" w:hAnsi="Times New Roman" w:cs="Times New Roman"/>
                <w:color w:val="000000" w:themeColor="text1"/>
                <w:sz w:val="18"/>
                <w:szCs w:val="18"/>
              </w:rPr>
            </w:pPr>
          </w:p>
        </w:tc>
      </w:tr>
      <w:tr w14:paraId="0A6D2E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7587">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18C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1368">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18.82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90A26">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C89D3">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199FD">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10.16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B638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DA4B1">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16741">
            <w:pPr>
              <w:spacing w:line="192" w:lineRule="exact"/>
              <w:jc w:val="right"/>
              <w:textAlignment w:val="center"/>
              <w:rPr>
                <w:rFonts w:hint="default" w:ascii="Times New Roman" w:hAnsi="Times New Roman" w:cs="Times New Roman"/>
                <w:color w:val="000000" w:themeColor="text1"/>
                <w:sz w:val="18"/>
                <w:szCs w:val="18"/>
              </w:rPr>
            </w:pPr>
          </w:p>
        </w:tc>
      </w:tr>
      <w:tr w14:paraId="68D90A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1A525">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C63BA">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AE2C">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260C">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A99B3">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8F2E1">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37.05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F2E5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FBEE">
            <w:pPr>
              <w:spacing w:line="192" w:lineRule="exact"/>
              <w:ind w:firstLine="180" w:firstLineChars="100"/>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BBDA">
            <w:pPr>
              <w:spacing w:line="192" w:lineRule="exact"/>
              <w:jc w:val="right"/>
              <w:textAlignment w:val="center"/>
              <w:rPr>
                <w:rFonts w:hint="default" w:ascii="Times New Roman" w:hAnsi="Times New Roman" w:cs="Times New Roman"/>
                <w:color w:val="000000" w:themeColor="text1"/>
                <w:sz w:val="18"/>
                <w:szCs w:val="18"/>
              </w:rPr>
            </w:pPr>
          </w:p>
        </w:tc>
      </w:tr>
      <w:tr w14:paraId="0CBD0F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74E05">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612C">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83805">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5.53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7292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C4113">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0B79">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8.61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E143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CBAE1">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A3B22">
            <w:pPr>
              <w:spacing w:line="192" w:lineRule="exact"/>
              <w:jc w:val="right"/>
              <w:textAlignment w:val="center"/>
              <w:rPr>
                <w:rFonts w:hint="default" w:ascii="Times New Roman" w:hAnsi="Times New Roman" w:cs="Times New Roman"/>
                <w:color w:val="000000" w:themeColor="text1"/>
                <w:sz w:val="18"/>
                <w:szCs w:val="18"/>
              </w:rPr>
            </w:pPr>
          </w:p>
        </w:tc>
      </w:tr>
      <w:tr w14:paraId="561593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F6F05">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2D18D">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25AFC">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E3C5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DC4D">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B036">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5.40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FE97D">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98B6">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C088">
            <w:pPr>
              <w:spacing w:line="192" w:lineRule="exact"/>
              <w:jc w:val="right"/>
              <w:textAlignment w:val="center"/>
              <w:rPr>
                <w:rFonts w:hint="default" w:ascii="Times New Roman" w:hAnsi="Times New Roman" w:cs="Times New Roman"/>
                <w:color w:val="000000" w:themeColor="text1"/>
                <w:sz w:val="18"/>
                <w:szCs w:val="18"/>
              </w:rPr>
            </w:pPr>
          </w:p>
        </w:tc>
      </w:tr>
      <w:tr w14:paraId="529D34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AA11">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8844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41538">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0C0DA">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42E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13C0">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58.11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B3BA7">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AF66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216BA">
            <w:pPr>
              <w:spacing w:line="192" w:lineRule="exact"/>
              <w:jc w:val="right"/>
              <w:textAlignment w:val="center"/>
              <w:rPr>
                <w:rFonts w:hint="default" w:ascii="Times New Roman" w:hAnsi="Times New Roman" w:cs="Times New Roman"/>
                <w:color w:val="000000" w:themeColor="text1"/>
                <w:sz w:val="18"/>
                <w:szCs w:val="18"/>
              </w:rPr>
            </w:pPr>
          </w:p>
        </w:tc>
      </w:tr>
      <w:tr w14:paraId="2527BC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0C89D">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22A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58A2">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26CA1">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8CCC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6960">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FFA0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70579">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506E4">
            <w:pPr>
              <w:spacing w:line="192" w:lineRule="exact"/>
              <w:jc w:val="right"/>
              <w:textAlignment w:val="center"/>
              <w:rPr>
                <w:rFonts w:hint="default" w:ascii="Times New Roman" w:hAnsi="Times New Roman" w:cs="Times New Roman"/>
                <w:color w:val="000000" w:themeColor="text1"/>
                <w:sz w:val="18"/>
                <w:szCs w:val="18"/>
              </w:rPr>
            </w:pPr>
          </w:p>
        </w:tc>
      </w:tr>
      <w:tr w14:paraId="2E61A7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4D31">
            <w:pPr>
              <w:spacing w:line="192" w:lineRule="exact"/>
              <w:rPr>
                <w:rFonts w:hint="default" w:ascii="Times New Roman" w:hAnsi="Times New Roman" w:cs="Times New Roman"/>
                <w:color w:val="000000" w:themeColor="text1"/>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E17C7">
            <w:pPr>
              <w:spacing w:line="192" w:lineRule="exact"/>
              <w:rPr>
                <w:rFonts w:hint="default" w:ascii="Times New Roman" w:hAnsi="Times New Roman" w:cs="Times New Roman"/>
                <w:color w:val="000000" w:themeColor="text1"/>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117A09">
            <w:pPr>
              <w:spacing w:line="192" w:lineRule="exact"/>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34EC6">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4851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2B089">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56.72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9820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AE327">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3AFDA">
            <w:pPr>
              <w:spacing w:line="192" w:lineRule="exact"/>
              <w:jc w:val="right"/>
              <w:textAlignment w:val="center"/>
              <w:rPr>
                <w:rFonts w:hint="default" w:ascii="Times New Roman" w:hAnsi="Times New Roman" w:cs="Times New Roman"/>
                <w:color w:val="000000" w:themeColor="text1"/>
                <w:sz w:val="18"/>
                <w:szCs w:val="18"/>
              </w:rPr>
            </w:pPr>
          </w:p>
        </w:tc>
      </w:tr>
      <w:tr w14:paraId="5FB160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F20C0">
            <w:pPr>
              <w:spacing w:line="192" w:lineRule="exact"/>
              <w:rPr>
                <w:rFonts w:hint="default" w:ascii="Times New Roman" w:hAnsi="Times New Roman" w:cs="Times New Roman"/>
                <w:color w:val="000000" w:themeColor="text1"/>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F4929">
            <w:pPr>
              <w:spacing w:line="192" w:lineRule="exact"/>
              <w:rPr>
                <w:rFonts w:hint="default" w:ascii="Times New Roman" w:hAnsi="Times New Roman" w:cs="Times New Roman"/>
                <w:color w:val="000000" w:themeColor="text1"/>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A6278B">
            <w:pPr>
              <w:spacing w:line="192" w:lineRule="exact"/>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03FF9">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130CF">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801DC">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10F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D9805">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C58B1">
            <w:pPr>
              <w:spacing w:line="192" w:lineRule="exact"/>
              <w:jc w:val="right"/>
              <w:textAlignment w:val="center"/>
              <w:rPr>
                <w:rFonts w:hint="default" w:ascii="Times New Roman" w:hAnsi="Times New Roman" w:cs="Times New Roman"/>
                <w:color w:val="000000" w:themeColor="text1"/>
                <w:sz w:val="18"/>
                <w:szCs w:val="18"/>
              </w:rPr>
            </w:pPr>
          </w:p>
        </w:tc>
      </w:tr>
      <w:tr w14:paraId="03B728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F832">
            <w:pPr>
              <w:spacing w:line="192" w:lineRule="exact"/>
              <w:rPr>
                <w:rFonts w:hint="default" w:ascii="Times New Roman" w:hAnsi="Times New Roman" w:cs="Times New Roman"/>
                <w:color w:val="000000" w:themeColor="text1"/>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1E20E">
            <w:pPr>
              <w:spacing w:line="192" w:lineRule="exact"/>
              <w:rPr>
                <w:rFonts w:hint="default" w:ascii="Times New Roman" w:hAnsi="Times New Roman" w:cs="Times New Roman"/>
                <w:color w:val="000000" w:themeColor="text1"/>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FEEDBD">
            <w:pPr>
              <w:spacing w:line="192" w:lineRule="exact"/>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F6B35">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5D11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A6D06">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E380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944A6">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DAF7D">
            <w:pPr>
              <w:spacing w:line="192" w:lineRule="exact"/>
              <w:jc w:val="right"/>
              <w:textAlignment w:val="center"/>
              <w:rPr>
                <w:rFonts w:hint="default" w:ascii="Times New Roman" w:hAnsi="Times New Roman" w:cs="Times New Roman"/>
                <w:color w:val="000000" w:themeColor="text1"/>
                <w:sz w:val="18"/>
                <w:szCs w:val="18"/>
              </w:rPr>
            </w:pPr>
          </w:p>
        </w:tc>
      </w:tr>
      <w:tr w14:paraId="2C4FDC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5374">
            <w:pPr>
              <w:spacing w:line="192" w:lineRule="exact"/>
              <w:rPr>
                <w:rFonts w:hint="default" w:ascii="Times New Roman" w:hAnsi="Times New Roman" w:cs="Times New Roman"/>
                <w:color w:val="000000" w:themeColor="text1"/>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1E71D">
            <w:pPr>
              <w:spacing w:line="192" w:lineRule="exact"/>
              <w:rPr>
                <w:rFonts w:hint="default" w:ascii="Times New Roman" w:hAnsi="Times New Roman" w:cs="Times New Roman"/>
                <w:color w:val="000000" w:themeColor="text1"/>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E41082">
            <w:pPr>
              <w:spacing w:line="192" w:lineRule="exact"/>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4BCE6">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2757D">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2F18">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C9B3E">
            <w:pPr>
              <w:spacing w:line="192" w:lineRule="exact"/>
              <w:rPr>
                <w:rFonts w:hint="default" w:ascii="Times New Roman" w:hAnsi="Times New Roman" w:cs="Times New Roman"/>
                <w:color w:val="000000" w:themeColor="text1"/>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CFEBE">
            <w:pPr>
              <w:spacing w:line="192" w:lineRule="exact"/>
              <w:rPr>
                <w:rFonts w:hint="default" w:ascii="Times New Roman" w:hAnsi="Times New Roman" w:cs="Times New Roman"/>
                <w:color w:val="000000" w:themeColor="text1"/>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FEA52">
            <w:pPr>
              <w:spacing w:line="192" w:lineRule="exact"/>
              <w:jc w:val="right"/>
              <w:rPr>
                <w:rFonts w:hint="default" w:ascii="Times New Roman" w:hAnsi="Times New Roman" w:cs="Times New Roman"/>
                <w:color w:val="000000" w:themeColor="text1"/>
                <w:sz w:val="18"/>
                <w:szCs w:val="18"/>
              </w:rPr>
            </w:pPr>
          </w:p>
        </w:tc>
      </w:tr>
      <w:tr w14:paraId="656CE5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013D3">
            <w:pPr>
              <w:spacing w:line="192" w:lineRule="exact"/>
              <w:rPr>
                <w:rFonts w:hint="default" w:ascii="Times New Roman" w:hAnsi="Times New Roman" w:cs="Times New Roman"/>
                <w:color w:val="000000" w:themeColor="text1"/>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9D61B">
            <w:pPr>
              <w:spacing w:line="192" w:lineRule="exact"/>
              <w:rPr>
                <w:rFonts w:hint="default" w:ascii="Times New Roman" w:hAnsi="Times New Roman" w:cs="Times New Roman"/>
                <w:color w:val="000000" w:themeColor="text1"/>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DE5056">
            <w:pPr>
              <w:spacing w:line="192" w:lineRule="exact"/>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A5A1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6E830">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51609">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7FF7">
            <w:pPr>
              <w:spacing w:line="192" w:lineRule="exact"/>
              <w:rPr>
                <w:rFonts w:hint="default" w:ascii="Times New Roman" w:hAnsi="Times New Roman" w:cs="Times New Roman"/>
                <w:color w:val="000000" w:themeColor="text1"/>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73E55">
            <w:pPr>
              <w:spacing w:line="192" w:lineRule="exact"/>
              <w:rPr>
                <w:rFonts w:hint="default" w:ascii="Times New Roman" w:hAnsi="Times New Roman" w:cs="Times New Roman"/>
                <w:color w:val="000000" w:themeColor="text1"/>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75AB">
            <w:pPr>
              <w:spacing w:line="192" w:lineRule="exact"/>
              <w:jc w:val="right"/>
              <w:rPr>
                <w:rFonts w:hint="default" w:ascii="Times New Roman" w:hAnsi="Times New Roman" w:cs="Times New Roman"/>
                <w:color w:val="000000" w:themeColor="text1"/>
                <w:sz w:val="18"/>
                <w:szCs w:val="18"/>
              </w:rPr>
            </w:pPr>
          </w:p>
        </w:tc>
      </w:tr>
      <w:tr w14:paraId="08CD6EB1">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71BA1">
            <w:pPr>
              <w:spacing w:line="192" w:lineRule="exact"/>
              <w:rPr>
                <w:rFonts w:hint="default" w:ascii="Times New Roman" w:hAnsi="Times New Roman" w:cs="Times New Roman"/>
                <w:color w:val="000000" w:themeColor="text1"/>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F110C">
            <w:pPr>
              <w:spacing w:line="192" w:lineRule="exact"/>
              <w:rPr>
                <w:rFonts w:hint="default" w:ascii="Times New Roman" w:hAnsi="Times New Roman" w:cs="Times New Roman"/>
                <w:color w:val="000000" w:themeColor="text1"/>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431497">
            <w:pPr>
              <w:spacing w:line="192" w:lineRule="exact"/>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00A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EB40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0894A">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B292">
            <w:pPr>
              <w:spacing w:line="192" w:lineRule="exact"/>
              <w:rPr>
                <w:rFonts w:hint="default" w:ascii="Times New Roman" w:hAnsi="Times New Roman" w:cs="Times New Roman"/>
                <w:color w:val="000000" w:themeColor="text1"/>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0E097">
            <w:pPr>
              <w:spacing w:line="192" w:lineRule="exact"/>
              <w:rPr>
                <w:rFonts w:hint="default" w:ascii="Times New Roman" w:hAnsi="Times New Roman" w:cs="Times New Roman"/>
                <w:color w:val="000000" w:themeColor="text1"/>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1FFB2">
            <w:pPr>
              <w:spacing w:line="192" w:lineRule="exact"/>
              <w:jc w:val="right"/>
              <w:rPr>
                <w:rFonts w:hint="default" w:ascii="Times New Roman" w:hAnsi="Times New Roman" w:cs="Times New Roman"/>
                <w:color w:val="000000" w:themeColor="text1"/>
                <w:sz w:val="18"/>
                <w:szCs w:val="18"/>
              </w:rPr>
            </w:pPr>
          </w:p>
        </w:tc>
      </w:tr>
      <w:tr w14:paraId="5DEF2FAD">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5DBF">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699971">
            <w:pPr>
              <w:spacing w:line="192" w:lineRule="exact"/>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1,923.10</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5B91B">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75DFC">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436.26</w:t>
            </w:r>
          </w:p>
        </w:tc>
      </w:tr>
    </w:tbl>
    <w:p w14:paraId="49874035">
      <w:pPr>
        <w:spacing w:line="280" w:lineRule="exact"/>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备注：1.本表反映部门本年度一般公共预算财政拨款基本支出明细情况。</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t xml:space="preserve">      2.本套报表金额单位转换时可能存在尾数误差。</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111EC01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0E1402F">
            <w:pPr>
              <w:jc w:val="center"/>
              <w:textAlignment w:val="bottom"/>
              <w:rPr>
                <w:rFonts w:hint="default" w:ascii="Times New Roman" w:hAnsi="Times New Roman" w:cs="Times New Roman"/>
                <w:b/>
                <w:color w:val="000000" w:themeColor="text1"/>
                <w:sz w:val="32"/>
                <w:szCs w:val="32"/>
              </w:rPr>
            </w:pPr>
            <w:r>
              <w:rPr>
                <w:rFonts w:hint="default" w:ascii="Times New Roman" w:hAnsi="Times New Roman" w:cs="Times New Roman"/>
                <w:b/>
                <w:color w:val="000000" w:themeColor="text1"/>
                <w:sz w:val="32"/>
                <w:szCs w:val="32"/>
              </w:rPr>
              <w:t>政府性基金预算财政拨款收入支出决算表</w:t>
            </w:r>
          </w:p>
        </w:tc>
      </w:tr>
      <w:tr w14:paraId="3492CDD0">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34D0B52">
            <w:pPr>
              <w:spacing w:line="280" w:lineRule="exact"/>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部门：</w:t>
            </w:r>
            <w:r>
              <w:rPr>
                <w:rFonts w:hint="default" w:ascii="Times New Roman" w:hAnsi="Times New Roman" w:cs="Times New Roman"/>
                <w:color w:val="000000" w:themeColor="text1"/>
                <w:sz w:val="20"/>
              </w:rPr>
              <w:t>丰都县人力资源和社会保障局</w:t>
            </w:r>
          </w:p>
        </w:tc>
        <w:tc>
          <w:tcPr>
            <w:tcW w:w="555" w:type="pct"/>
            <w:tcBorders>
              <w:top w:val="nil"/>
              <w:left w:val="nil"/>
              <w:bottom w:val="nil"/>
              <w:right w:val="nil"/>
            </w:tcBorders>
            <w:shd w:val="clear" w:color="auto" w:fill="auto"/>
            <w:noWrap/>
            <w:tcMar>
              <w:top w:w="15" w:type="dxa"/>
              <w:left w:w="15" w:type="dxa"/>
              <w:right w:w="15" w:type="dxa"/>
            </w:tcMar>
            <w:vAlign w:val="bottom"/>
          </w:tcPr>
          <w:p w14:paraId="26814CB0">
            <w:pPr>
              <w:rPr>
                <w:rFonts w:hint="default" w:ascii="Times New Roman" w:hAnsi="Times New Roman" w:cs="Times New Roman"/>
                <w:color w:val="000000" w:themeColor="text1"/>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8DAD1EC">
            <w:pPr>
              <w:rPr>
                <w:rFonts w:hint="default" w:ascii="Times New Roman" w:hAnsi="Times New Roman" w:cs="Times New Roman"/>
                <w:color w:val="000000" w:themeColor="text1"/>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F295B7D">
            <w:pPr>
              <w:rPr>
                <w:rFonts w:hint="default" w:ascii="Times New Roman" w:hAnsi="Times New Roman" w:cs="Times New Roman"/>
                <w:color w:val="000000" w:themeColor="text1"/>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C049850">
            <w:pPr>
              <w:rPr>
                <w:rFonts w:hint="default" w:ascii="Times New Roman" w:hAnsi="Times New Roman" w:cs="Times New Roman"/>
                <w:color w:val="000000" w:themeColor="text1"/>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138F29D">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公开</w:t>
            </w:r>
            <w:r>
              <w:rPr>
                <w:rFonts w:hint="default" w:ascii="Times New Roman" w:hAnsi="Times New Roman" w:cs="Times New Roman"/>
                <w:color w:val="000000" w:themeColor="text1"/>
                <w:sz w:val="20"/>
                <w:szCs w:val="20"/>
              </w:rPr>
              <w:t>07</w:t>
            </w:r>
            <w:r>
              <w:rPr>
                <w:rFonts w:hint="default" w:ascii="Times New Roman" w:hAnsi="Times New Roman" w:cs="Times New Roman"/>
                <w:color w:val="000000" w:themeColor="text1"/>
                <w:sz w:val="20"/>
                <w:szCs w:val="20"/>
              </w:rPr>
              <w:t>表</w:t>
            </w:r>
          </w:p>
        </w:tc>
      </w:tr>
      <w:tr w14:paraId="069985BF">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67AD540A">
            <w:pPr>
              <w:rPr>
                <w:rFonts w:hint="default" w:ascii="Times New Roman" w:hAnsi="Times New Roman" w:cs="Times New Roman"/>
                <w:color w:val="000000" w:themeColor="text1"/>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1ACC327">
            <w:pPr>
              <w:rPr>
                <w:rFonts w:hint="default" w:ascii="Times New Roman" w:hAnsi="Times New Roman" w:cs="Times New Roman"/>
                <w:color w:val="000000" w:themeColor="text1"/>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3D39E0E">
            <w:pPr>
              <w:rPr>
                <w:rFonts w:hint="default" w:ascii="Times New Roman" w:hAnsi="Times New Roman" w:cs="Times New Roman"/>
                <w:color w:val="000000" w:themeColor="text1"/>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A4FD876">
            <w:pPr>
              <w:rPr>
                <w:rFonts w:hint="default" w:ascii="Times New Roman" w:hAnsi="Times New Roman" w:cs="Times New Roman"/>
                <w:color w:val="000000" w:themeColor="text1"/>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735373A">
            <w:pPr>
              <w:rPr>
                <w:rFonts w:hint="default" w:ascii="Times New Roman" w:hAnsi="Times New Roman" w:cs="Times New Roman"/>
                <w:color w:val="000000" w:themeColor="text1"/>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3AAD153">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单位：万元</w:t>
            </w:r>
          </w:p>
        </w:tc>
      </w:tr>
      <w:tr w14:paraId="5630B1F0">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010BF">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0285FC">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86279">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85A1AE">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A96D9">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年末结转和结余</w:t>
            </w:r>
          </w:p>
        </w:tc>
      </w:tr>
      <w:tr w14:paraId="250BF5F3">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3D5AC">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4DE90">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24A67B">
            <w:pPr>
              <w:jc w:val="center"/>
              <w:rPr>
                <w:rFonts w:hint="default" w:ascii="Times New Roman" w:hAnsi="Times New Roman" w:cs="Times New Roman"/>
                <w:b/>
                <w:color w:val="000000" w:themeColor="text1"/>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AFF78">
            <w:pPr>
              <w:jc w:val="center"/>
              <w:rPr>
                <w:rFonts w:hint="default" w:ascii="Times New Roman" w:hAnsi="Times New Roman" w:cs="Times New Roman"/>
                <w:b/>
                <w:color w:val="000000" w:themeColor="text1"/>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9B2EB">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B3EAA">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C3F6D">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DF666">
            <w:pPr>
              <w:jc w:val="center"/>
              <w:rPr>
                <w:rFonts w:hint="default" w:ascii="Times New Roman" w:hAnsi="Times New Roman" w:cs="Times New Roman"/>
                <w:b/>
                <w:color w:val="000000" w:themeColor="text1"/>
                <w:sz w:val="20"/>
                <w:szCs w:val="20"/>
              </w:rPr>
            </w:pPr>
          </w:p>
        </w:tc>
      </w:tr>
      <w:tr w14:paraId="22DDFC4C">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2A842">
            <w:pPr>
              <w:jc w:val="center"/>
              <w:rPr>
                <w:rFonts w:hint="default" w:ascii="Times New Roman" w:hAnsi="Times New Roman" w:cs="Times New Roman"/>
                <w:b/>
                <w:color w:val="000000" w:themeColor="text1"/>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F34CB">
            <w:pPr>
              <w:jc w:val="center"/>
              <w:rPr>
                <w:rFonts w:hint="default" w:ascii="Times New Roman" w:hAnsi="Times New Roman" w:cs="Times New Roman"/>
                <w:b/>
                <w:color w:val="000000" w:themeColor="text1"/>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857A5D">
            <w:pPr>
              <w:jc w:val="center"/>
              <w:rPr>
                <w:rFonts w:hint="default" w:ascii="Times New Roman" w:hAnsi="Times New Roman" w:cs="Times New Roman"/>
                <w:b/>
                <w:color w:val="000000" w:themeColor="text1"/>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DDC73">
            <w:pPr>
              <w:jc w:val="center"/>
              <w:rPr>
                <w:rFonts w:hint="default" w:ascii="Times New Roman" w:hAnsi="Times New Roman" w:cs="Times New Roman"/>
                <w:b/>
                <w:color w:val="000000" w:themeColor="text1"/>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3F9CC">
            <w:pPr>
              <w:jc w:val="center"/>
              <w:rPr>
                <w:rFonts w:hint="default" w:ascii="Times New Roman" w:hAnsi="Times New Roman" w:cs="Times New Roman"/>
                <w:b/>
                <w:color w:val="000000" w:themeColor="text1"/>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2F1AD">
            <w:pPr>
              <w:jc w:val="center"/>
              <w:rPr>
                <w:rFonts w:hint="default" w:ascii="Times New Roman" w:hAnsi="Times New Roman" w:cs="Times New Roman"/>
                <w:b/>
                <w:color w:val="000000" w:themeColor="text1"/>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6BCCA">
            <w:pPr>
              <w:jc w:val="center"/>
              <w:rPr>
                <w:rFonts w:hint="default" w:ascii="Times New Roman" w:hAnsi="Times New Roman" w:cs="Times New Roman"/>
                <w:b/>
                <w:color w:val="000000" w:themeColor="text1"/>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09AB2">
            <w:pPr>
              <w:jc w:val="center"/>
              <w:rPr>
                <w:rFonts w:hint="default" w:ascii="Times New Roman" w:hAnsi="Times New Roman" w:cs="Times New Roman"/>
                <w:b/>
                <w:color w:val="000000" w:themeColor="text1"/>
                <w:sz w:val="20"/>
                <w:szCs w:val="20"/>
              </w:rPr>
            </w:pPr>
          </w:p>
        </w:tc>
      </w:tr>
      <w:tr w14:paraId="2DEA2F80">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EC03B">
            <w:pPr>
              <w:jc w:val="center"/>
              <w:rPr>
                <w:rFonts w:hint="default" w:ascii="Times New Roman" w:hAnsi="Times New Roman" w:cs="Times New Roman"/>
                <w:b/>
                <w:color w:val="000000" w:themeColor="text1"/>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E7A06">
            <w:pPr>
              <w:jc w:val="center"/>
              <w:rPr>
                <w:rFonts w:hint="default" w:ascii="Times New Roman" w:hAnsi="Times New Roman" w:cs="Times New Roman"/>
                <w:b/>
                <w:color w:val="000000" w:themeColor="text1"/>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1D22E2">
            <w:pPr>
              <w:jc w:val="center"/>
              <w:rPr>
                <w:rFonts w:hint="default" w:ascii="Times New Roman" w:hAnsi="Times New Roman" w:cs="Times New Roman"/>
                <w:b/>
                <w:color w:val="000000" w:themeColor="text1"/>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E5ECA">
            <w:pPr>
              <w:jc w:val="center"/>
              <w:rPr>
                <w:rFonts w:hint="default" w:ascii="Times New Roman" w:hAnsi="Times New Roman" w:cs="Times New Roman"/>
                <w:b/>
                <w:color w:val="000000" w:themeColor="text1"/>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3CC6E">
            <w:pPr>
              <w:jc w:val="center"/>
              <w:rPr>
                <w:rFonts w:hint="default" w:ascii="Times New Roman" w:hAnsi="Times New Roman" w:cs="Times New Roman"/>
                <w:b/>
                <w:color w:val="000000" w:themeColor="text1"/>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27BF7">
            <w:pPr>
              <w:jc w:val="center"/>
              <w:rPr>
                <w:rFonts w:hint="default" w:ascii="Times New Roman" w:hAnsi="Times New Roman" w:cs="Times New Roman"/>
                <w:b/>
                <w:color w:val="000000" w:themeColor="text1"/>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EDFBD">
            <w:pPr>
              <w:jc w:val="center"/>
              <w:rPr>
                <w:rFonts w:hint="default" w:ascii="Times New Roman" w:hAnsi="Times New Roman" w:cs="Times New Roman"/>
                <w:b/>
                <w:color w:val="000000" w:themeColor="text1"/>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F3D30">
            <w:pPr>
              <w:jc w:val="center"/>
              <w:rPr>
                <w:rFonts w:hint="default" w:ascii="Times New Roman" w:hAnsi="Times New Roman" w:cs="Times New Roman"/>
                <w:b/>
                <w:color w:val="000000" w:themeColor="text1"/>
                <w:sz w:val="20"/>
                <w:szCs w:val="20"/>
              </w:rPr>
            </w:pPr>
          </w:p>
        </w:tc>
      </w:tr>
      <w:tr w14:paraId="465EA2D9">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0DB96">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A8E25">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8A335">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B9FE0">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02530">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D2AA0">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B124D">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r>
      <w:tr w14:paraId="18155098">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A11B5">
            <w:pPr>
              <w:jc w:val="both"/>
              <w:textAlignment w:val="center"/>
              <w:rPr>
                <w:rFonts w:hint="default" w:ascii="Times New Roman" w:hAnsi="Times New Roman" w:cs="Times New Roman"/>
                <w:color w:val="000000" w:themeColor="text1"/>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40F32">
            <w:pPr>
              <w:jc w:val="both"/>
              <w:textAlignment w:val="center"/>
              <w:rPr>
                <w:rFonts w:hint="default" w:ascii="Times New Roman" w:hAnsi="Times New Roman" w:cs="Times New Roman"/>
                <w:color w:val="000000" w:themeColor="text1"/>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409DB">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3874F">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78162">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00626">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8E253">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355A1">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r>
    </w:tbl>
    <w:p w14:paraId="28B932B9">
      <w:pP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0"/>
          <w:szCs w:val="20"/>
        </w:rPr>
        <w:t>备注：本表反映部门本年度政府性基金预算财政拨款收入支出及结转和结余情况。本部门无政府性基金收支，故本表无数据。</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br w:type="textWrapping"/>
      </w:r>
    </w:p>
    <w:p w14:paraId="62B4243A">
      <w:pP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62AFE881">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09BE902">
            <w:pPr>
              <w:jc w:val="center"/>
              <w:textAlignment w:val="bottom"/>
              <w:rPr>
                <w:rFonts w:hint="default" w:ascii="Times New Roman" w:hAnsi="Times New Roman" w:cs="Times New Roman"/>
                <w:b/>
                <w:color w:val="000000" w:themeColor="text1"/>
                <w:sz w:val="32"/>
                <w:szCs w:val="32"/>
              </w:rPr>
            </w:pPr>
            <w:r>
              <w:rPr>
                <w:rFonts w:hint="default" w:ascii="Times New Roman" w:hAnsi="Times New Roman" w:cs="Times New Roman"/>
                <w:b/>
                <w:color w:val="000000" w:themeColor="text1"/>
                <w:sz w:val="32"/>
                <w:szCs w:val="32"/>
              </w:rPr>
              <w:t>国有资本经营预算财政拨款支出决算表</w:t>
            </w:r>
          </w:p>
        </w:tc>
      </w:tr>
      <w:tr w14:paraId="3FE63AC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8CF350A">
            <w:pPr>
              <w:spacing w:line="280" w:lineRule="exact"/>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部门：</w:t>
            </w:r>
            <w:r>
              <w:rPr>
                <w:rFonts w:hint="default" w:ascii="Times New Roman" w:hAnsi="Times New Roman" w:cs="Times New Roman"/>
                <w:color w:val="000000" w:themeColor="text1"/>
                <w:sz w:val="20"/>
              </w:rPr>
              <w:t>丰都县人力资源和社会保障局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178F39C">
            <w:pPr>
              <w:rPr>
                <w:rFonts w:hint="default" w:ascii="Times New Roman" w:hAnsi="Times New Roman" w:cs="Times New Roman"/>
                <w:color w:val="000000" w:themeColor="text1"/>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4B0947E">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公开</w:t>
            </w:r>
            <w:r>
              <w:rPr>
                <w:rFonts w:hint="default" w:ascii="Times New Roman" w:hAnsi="Times New Roman" w:cs="Times New Roman"/>
                <w:color w:val="000000" w:themeColor="text1"/>
                <w:sz w:val="20"/>
                <w:szCs w:val="20"/>
              </w:rPr>
              <w:t>08</w:t>
            </w:r>
            <w:r>
              <w:rPr>
                <w:rFonts w:hint="default" w:ascii="Times New Roman" w:hAnsi="Times New Roman" w:cs="Times New Roman"/>
                <w:color w:val="000000" w:themeColor="text1"/>
                <w:sz w:val="20"/>
                <w:szCs w:val="20"/>
              </w:rPr>
              <w:t>表</w:t>
            </w:r>
          </w:p>
        </w:tc>
      </w:tr>
      <w:tr w14:paraId="33103B8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C415961">
            <w:pPr>
              <w:rPr>
                <w:rFonts w:hint="default" w:ascii="Times New Roman" w:hAnsi="Times New Roman" w:cs="Times New Roman"/>
                <w:color w:val="000000" w:themeColor="text1"/>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C64B5F0">
            <w:pPr>
              <w:rPr>
                <w:rFonts w:hint="default" w:ascii="Times New Roman" w:hAnsi="Times New Roman" w:cs="Times New Roman"/>
                <w:color w:val="000000" w:themeColor="text1"/>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94F1676">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单位：万元</w:t>
            </w:r>
          </w:p>
        </w:tc>
      </w:tr>
      <w:tr w14:paraId="2E516EF6">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A1065F">
            <w:pPr>
              <w:jc w:val="center"/>
              <w:textAlignment w:val="bottom"/>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82CD13">
            <w:pPr>
              <w:jc w:val="center"/>
              <w:textAlignment w:val="bottom"/>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本年支出</w:t>
            </w:r>
          </w:p>
        </w:tc>
      </w:tr>
      <w:tr w14:paraId="44190C6D">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5450B">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5AB05">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C97F0">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0BBBD">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BF2CA">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项目支出</w:t>
            </w:r>
          </w:p>
        </w:tc>
      </w:tr>
      <w:tr w14:paraId="3189A2EE">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6B956">
            <w:pPr>
              <w:jc w:val="center"/>
              <w:rPr>
                <w:rFonts w:hint="default" w:ascii="Times New Roman" w:hAnsi="Times New Roman" w:cs="Times New Roman"/>
                <w:b/>
                <w:color w:val="000000" w:themeColor="text1"/>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BA7A4">
            <w:pPr>
              <w:jc w:val="center"/>
              <w:rPr>
                <w:rFonts w:hint="default" w:ascii="Times New Roman" w:hAnsi="Times New Roman" w:cs="Times New Roman"/>
                <w:b/>
                <w:color w:val="000000" w:themeColor="text1"/>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C4099">
            <w:pPr>
              <w:jc w:val="center"/>
              <w:rPr>
                <w:rFonts w:hint="default" w:ascii="Times New Roman" w:hAnsi="Times New Roman" w:cs="Times New Roman"/>
                <w:b/>
                <w:color w:val="000000" w:themeColor="text1"/>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8D487">
            <w:pPr>
              <w:jc w:val="center"/>
              <w:rPr>
                <w:rFonts w:hint="default" w:ascii="Times New Roman" w:hAnsi="Times New Roman" w:cs="Times New Roman"/>
                <w:b/>
                <w:color w:val="000000" w:themeColor="text1"/>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7C61E">
            <w:pPr>
              <w:jc w:val="center"/>
              <w:rPr>
                <w:rFonts w:hint="default" w:ascii="Times New Roman" w:hAnsi="Times New Roman" w:cs="Times New Roman"/>
                <w:b/>
                <w:color w:val="000000" w:themeColor="text1"/>
                <w:sz w:val="20"/>
                <w:szCs w:val="20"/>
              </w:rPr>
            </w:pPr>
          </w:p>
        </w:tc>
      </w:tr>
      <w:tr w14:paraId="5E05C886">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C35C4">
            <w:pPr>
              <w:jc w:val="center"/>
              <w:rPr>
                <w:rFonts w:hint="default" w:ascii="Times New Roman" w:hAnsi="Times New Roman" w:cs="Times New Roman"/>
                <w:b/>
                <w:color w:val="000000" w:themeColor="text1"/>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2750F">
            <w:pPr>
              <w:jc w:val="center"/>
              <w:rPr>
                <w:rFonts w:hint="default" w:ascii="Times New Roman" w:hAnsi="Times New Roman" w:cs="Times New Roman"/>
                <w:b/>
                <w:color w:val="000000" w:themeColor="text1"/>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A6368">
            <w:pPr>
              <w:jc w:val="center"/>
              <w:rPr>
                <w:rFonts w:hint="default" w:ascii="Times New Roman" w:hAnsi="Times New Roman" w:cs="Times New Roman"/>
                <w:b/>
                <w:color w:val="000000" w:themeColor="text1"/>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81E48">
            <w:pPr>
              <w:jc w:val="center"/>
              <w:rPr>
                <w:rFonts w:hint="default" w:ascii="Times New Roman" w:hAnsi="Times New Roman" w:cs="Times New Roman"/>
                <w:b/>
                <w:color w:val="000000" w:themeColor="text1"/>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3D77B">
            <w:pPr>
              <w:jc w:val="center"/>
              <w:rPr>
                <w:rFonts w:hint="default" w:ascii="Times New Roman" w:hAnsi="Times New Roman" w:cs="Times New Roman"/>
                <w:b/>
                <w:color w:val="000000" w:themeColor="text1"/>
                <w:sz w:val="20"/>
                <w:szCs w:val="20"/>
              </w:rPr>
            </w:pPr>
          </w:p>
        </w:tc>
      </w:tr>
      <w:tr w14:paraId="74A3F3D9">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B994B">
            <w:pPr>
              <w:jc w:val="center"/>
              <w:rPr>
                <w:rFonts w:hint="default" w:ascii="Times New Roman" w:hAnsi="Times New Roman" w:cs="Times New Roman"/>
                <w:b/>
                <w:color w:val="000000" w:themeColor="text1"/>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788D4">
            <w:pPr>
              <w:jc w:val="center"/>
              <w:rPr>
                <w:rFonts w:hint="default" w:ascii="Times New Roman" w:hAnsi="Times New Roman" w:cs="Times New Roman"/>
                <w:b/>
                <w:color w:val="000000" w:themeColor="text1"/>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7823A">
            <w:pPr>
              <w:jc w:val="center"/>
              <w:rPr>
                <w:rFonts w:hint="default" w:ascii="Times New Roman" w:hAnsi="Times New Roman" w:cs="Times New Roman"/>
                <w:b/>
                <w:color w:val="000000" w:themeColor="text1"/>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BCC90">
            <w:pPr>
              <w:jc w:val="center"/>
              <w:rPr>
                <w:rFonts w:hint="default" w:ascii="Times New Roman" w:hAnsi="Times New Roman" w:cs="Times New Roman"/>
                <w:b/>
                <w:color w:val="000000" w:themeColor="text1"/>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606D3">
            <w:pPr>
              <w:jc w:val="center"/>
              <w:rPr>
                <w:rFonts w:hint="default" w:ascii="Times New Roman" w:hAnsi="Times New Roman" w:cs="Times New Roman"/>
                <w:b/>
                <w:color w:val="000000" w:themeColor="text1"/>
                <w:sz w:val="20"/>
                <w:szCs w:val="20"/>
              </w:rPr>
            </w:pPr>
          </w:p>
        </w:tc>
      </w:tr>
      <w:tr w14:paraId="2A94327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C7B7A">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C8776">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9ECC1">
            <w:pPr>
              <w:jc w:val="right"/>
              <w:rPr>
                <w:rFonts w:hint="default" w:ascii="Times New Roman" w:hAnsi="Times New Roman" w:cs="Times New Roman"/>
                <w:b/>
                <w:color w:val="000000" w:themeColor="text1"/>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3AC0D">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r>
      <w:tr w14:paraId="785C4782">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9425">
            <w:pPr>
              <w:textAlignment w:val="center"/>
              <w:rPr>
                <w:rFonts w:hint="default" w:ascii="Times New Roman" w:hAnsi="Times New Roman" w:cs="Times New Roman"/>
                <w:color w:val="000000" w:themeColor="text1"/>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B11B2">
            <w:pPr>
              <w:textAlignment w:val="center"/>
              <w:rPr>
                <w:rFonts w:hint="default" w:ascii="Times New Roman" w:hAnsi="Times New Roman" w:cs="Times New Roman"/>
                <w:color w:val="000000" w:themeColor="text1"/>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EAAD9">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E15BF">
            <w:pPr>
              <w:jc w:val="right"/>
              <w:rPr>
                <w:rFonts w:hint="default" w:ascii="Times New Roman" w:hAnsi="Times New Roman" w:cs="Times New Roman"/>
                <w:b/>
                <w:color w:val="000000" w:themeColor="text1"/>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E5DF1">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r>
    </w:tbl>
    <w:p w14:paraId="1B1690DD">
      <w:pP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0"/>
          <w:szCs w:val="20"/>
        </w:rPr>
        <w:t>备注：本表反映部门本年度国有资本经营预算财政拨款支出情况。本部门无国有资本经营收支，故本表无数据。</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br w:type="textWrapping"/>
      </w:r>
    </w:p>
    <w:p w14:paraId="3B7DD24F">
      <w:pP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34303BE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8E5C436">
            <w:pPr>
              <w:spacing w:line="400" w:lineRule="exact"/>
              <w:jc w:val="center"/>
              <w:textAlignment w:val="bottom"/>
              <w:rPr>
                <w:rFonts w:hint="default" w:ascii="Times New Roman" w:hAnsi="Times New Roman" w:cs="Times New Roman"/>
                <w:b/>
                <w:color w:val="000000" w:themeColor="text1"/>
                <w:kern w:val="2"/>
                <w:sz w:val="32"/>
                <w:szCs w:val="32"/>
              </w:rPr>
            </w:pPr>
            <w:r>
              <w:rPr>
                <w:rFonts w:hint="default" w:ascii="Times New Roman" w:hAnsi="Times New Roman" w:cs="Times New Roman"/>
                <w:b/>
                <w:color w:val="000000" w:themeColor="text1"/>
                <w:kern w:val="2"/>
                <w:sz w:val="32"/>
                <w:szCs w:val="32"/>
              </w:rPr>
              <w:t>机构运行信息表</w:t>
            </w:r>
          </w:p>
        </w:tc>
      </w:tr>
      <w:tr w14:paraId="675EC308">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D4D7B35">
            <w:pPr>
              <w:spacing w:line="280" w:lineRule="exact"/>
              <w:rPr>
                <w:rFonts w:hint="default" w:ascii="Times New Roman" w:hAnsi="Times New Roman" w:cs="Times New Roman"/>
                <w:color w:val="000000" w:themeColor="text1"/>
                <w:kern w:val="2"/>
                <w:sz w:val="20"/>
                <w:szCs w:val="20"/>
              </w:rPr>
            </w:pPr>
          </w:p>
        </w:tc>
        <w:tc>
          <w:tcPr>
            <w:tcW w:w="854" w:type="pct"/>
            <w:shd w:val="clear" w:color="auto" w:fill="auto"/>
            <w:noWrap/>
            <w:tcMar>
              <w:top w:w="15" w:type="dxa"/>
              <w:left w:w="15" w:type="dxa"/>
              <w:right w:w="15" w:type="dxa"/>
            </w:tcMar>
            <w:vAlign w:val="bottom"/>
          </w:tcPr>
          <w:p w14:paraId="7225F431">
            <w:pPr>
              <w:spacing w:line="280" w:lineRule="exact"/>
              <w:jc w:val="center"/>
              <w:rPr>
                <w:rFonts w:hint="default" w:ascii="Times New Roman" w:hAnsi="Times New Roman" w:cs="Times New Roman"/>
                <w:color w:val="000000" w:themeColor="text1"/>
                <w:kern w:val="2"/>
                <w:sz w:val="20"/>
                <w:szCs w:val="20"/>
              </w:rPr>
            </w:pPr>
          </w:p>
        </w:tc>
        <w:tc>
          <w:tcPr>
            <w:tcW w:w="840" w:type="pct"/>
            <w:shd w:val="clear" w:color="auto" w:fill="auto"/>
            <w:noWrap/>
            <w:tcMar>
              <w:top w:w="15" w:type="dxa"/>
              <w:left w:w="15" w:type="dxa"/>
              <w:right w:w="15" w:type="dxa"/>
            </w:tcMar>
            <w:vAlign w:val="bottom"/>
          </w:tcPr>
          <w:p w14:paraId="29C3F345">
            <w:pPr>
              <w:spacing w:line="280" w:lineRule="exact"/>
              <w:jc w:val="right"/>
              <w:rPr>
                <w:rFonts w:hint="default" w:ascii="Times New Roman" w:hAnsi="Times New Roman" w:cs="Times New Roman"/>
                <w:color w:val="000000" w:themeColor="text1"/>
                <w:kern w:val="2"/>
                <w:sz w:val="20"/>
                <w:szCs w:val="20"/>
              </w:rPr>
            </w:pPr>
          </w:p>
        </w:tc>
        <w:tc>
          <w:tcPr>
            <w:tcW w:w="1299" w:type="pct"/>
            <w:shd w:val="clear" w:color="auto" w:fill="auto"/>
            <w:noWrap/>
            <w:tcMar>
              <w:top w:w="15" w:type="dxa"/>
              <w:left w:w="15" w:type="dxa"/>
              <w:right w:w="15" w:type="dxa"/>
            </w:tcMar>
            <w:vAlign w:val="bottom"/>
          </w:tcPr>
          <w:p w14:paraId="0D543362">
            <w:pPr>
              <w:spacing w:line="280" w:lineRule="exact"/>
              <w:rPr>
                <w:rFonts w:hint="default" w:ascii="Times New Roman" w:hAnsi="Times New Roman" w:cs="Times New Roman"/>
                <w:color w:val="000000" w:themeColor="text1"/>
                <w:kern w:val="2"/>
                <w:sz w:val="20"/>
                <w:szCs w:val="20"/>
              </w:rPr>
            </w:pPr>
          </w:p>
        </w:tc>
        <w:tc>
          <w:tcPr>
            <w:tcW w:w="879" w:type="pct"/>
            <w:shd w:val="clear" w:color="auto" w:fill="auto"/>
            <w:noWrap/>
            <w:tcMar>
              <w:top w:w="15" w:type="dxa"/>
              <w:left w:w="15" w:type="dxa"/>
              <w:right w:w="15" w:type="dxa"/>
            </w:tcMar>
            <w:vAlign w:val="bottom"/>
          </w:tcPr>
          <w:p w14:paraId="1B01D2B4">
            <w:pPr>
              <w:spacing w:line="280" w:lineRule="exact"/>
              <w:jc w:val="right"/>
              <w:textAlignment w:val="bottom"/>
              <w:rPr>
                <w:rFonts w:hint="default" w:ascii="Times New Roman" w:hAnsi="Times New Roman" w:cs="Times New Roman"/>
                <w:color w:val="000000" w:themeColor="text1"/>
                <w:kern w:val="2"/>
                <w:sz w:val="20"/>
                <w:szCs w:val="20"/>
              </w:rPr>
            </w:pPr>
            <w:r>
              <w:rPr>
                <w:rFonts w:hint="default" w:ascii="Times New Roman" w:hAnsi="Times New Roman" w:cs="Times New Roman"/>
                <w:color w:val="000000" w:themeColor="text1"/>
                <w:kern w:val="2"/>
                <w:sz w:val="20"/>
                <w:szCs w:val="20"/>
              </w:rPr>
              <w:t>公开</w:t>
            </w:r>
            <w:r>
              <w:rPr>
                <w:rFonts w:hint="default" w:ascii="Times New Roman" w:hAnsi="Times New Roman" w:cs="Times New Roman"/>
                <w:color w:val="000000" w:themeColor="text1"/>
                <w:kern w:val="2"/>
                <w:sz w:val="20"/>
                <w:szCs w:val="20"/>
              </w:rPr>
              <w:t>09</w:t>
            </w:r>
            <w:r>
              <w:rPr>
                <w:rFonts w:hint="default" w:ascii="Times New Roman" w:hAnsi="Times New Roman" w:cs="Times New Roman"/>
                <w:color w:val="000000" w:themeColor="text1"/>
                <w:kern w:val="2"/>
                <w:sz w:val="20"/>
                <w:szCs w:val="20"/>
              </w:rPr>
              <w:t>表</w:t>
            </w:r>
          </w:p>
        </w:tc>
      </w:tr>
      <w:tr w14:paraId="7442F1DC">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E0ACBF6">
            <w:pPr>
              <w:spacing w:line="280" w:lineRule="exact"/>
              <w:rPr>
                <w:rFonts w:hint="default" w:ascii="Times New Roman" w:hAnsi="Times New Roman" w:cs="Times New Roman"/>
                <w:color w:val="000000" w:themeColor="text1"/>
                <w:kern w:val="2"/>
                <w:sz w:val="20"/>
                <w:szCs w:val="20"/>
              </w:rPr>
            </w:pPr>
            <w:r>
              <w:rPr>
                <w:rFonts w:hint="default" w:ascii="Times New Roman" w:hAnsi="Times New Roman" w:cs="Times New Roman"/>
                <w:color w:val="000000" w:themeColor="text1"/>
                <w:sz w:val="20"/>
                <w:szCs w:val="20"/>
              </w:rPr>
              <w:t>部门</w:t>
            </w:r>
            <w:r>
              <w:rPr>
                <w:rFonts w:hint="default" w:ascii="Times New Roman" w:hAnsi="Times New Roman" w:cs="Times New Roman"/>
                <w:color w:val="000000" w:themeColor="text1"/>
                <w:kern w:val="2"/>
                <w:sz w:val="20"/>
                <w:szCs w:val="20"/>
              </w:rPr>
              <w:t>：</w:t>
            </w:r>
            <w:r>
              <w:rPr>
                <w:rFonts w:hint="default" w:ascii="Times New Roman" w:hAnsi="Times New Roman" w:cs="Times New Roman"/>
                <w:color w:val="000000" w:themeColor="text1"/>
                <w:sz w:val="20"/>
              </w:rPr>
              <w:t>丰都县人力资源和社会保障局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5B28096">
            <w:pPr>
              <w:spacing w:line="280" w:lineRule="exact"/>
              <w:jc w:val="right"/>
              <w:rPr>
                <w:rFonts w:hint="default" w:ascii="Times New Roman" w:hAnsi="Times New Roman" w:cs="Times New Roman"/>
                <w:color w:val="000000" w:themeColor="text1"/>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17979CF">
            <w:pPr>
              <w:spacing w:line="280" w:lineRule="exact"/>
              <w:rPr>
                <w:rFonts w:hint="default" w:ascii="Times New Roman" w:hAnsi="Times New Roman" w:cs="Times New Roman"/>
                <w:color w:val="000000" w:themeColor="text1"/>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F31FDCA">
            <w:pPr>
              <w:spacing w:line="280" w:lineRule="exact"/>
              <w:jc w:val="right"/>
              <w:textAlignment w:val="bottom"/>
              <w:rPr>
                <w:rFonts w:hint="default" w:ascii="Times New Roman" w:hAnsi="Times New Roman" w:cs="Times New Roman"/>
                <w:color w:val="000000" w:themeColor="text1"/>
                <w:kern w:val="2"/>
                <w:sz w:val="20"/>
                <w:szCs w:val="20"/>
              </w:rPr>
            </w:pPr>
            <w:r>
              <w:rPr>
                <w:rFonts w:hint="default" w:ascii="Times New Roman" w:hAnsi="Times New Roman" w:cs="Times New Roman"/>
                <w:color w:val="000000" w:themeColor="text1"/>
                <w:kern w:val="2"/>
                <w:sz w:val="20"/>
                <w:szCs w:val="20"/>
              </w:rPr>
              <w:t>单位：万元</w:t>
            </w:r>
          </w:p>
        </w:tc>
      </w:tr>
      <w:tr w14:paraId="4E2A2BD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85FDEF">
            <w:pPr>
              <w:spacing w:line="280" w:lineRule="exact"/>
              <w:jc w:val="center"/>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4039D4">
            <w:pPr>
              <w:spacing w:line="280" w:lineRule="exact"/>
              <w:jc w:val="center"/>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D29281">
            <w:pPr>
              <w:spacing w:line="280" w:lineRule="exact"/>
              <w:jc w:val="center"/>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7468F">
            <w:pPr>
              <w:spacing w:line="280" w:lineRule="exact"/>
              <w:jc w:val="center"/>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B0761B">
            <w:pPr>
              <w:spacing w:line="280" w:lineRule="exact"/>
              <w:jc w:val="center"/>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决算数</w:t>
            </w:r>
          </w:p>
        </w:tc>
      </w:tr>
      <w:tr w14:paraId="61934BE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7F6A8">
            <w:pPr>
              <w:spacing w:line="280" w:lineRule="exact"/>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BA767">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7C4F42">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3FDD2">
            <w:pPr>
              <w:spacing w:line="280" w:lineRule="exact"/>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B3085">
            <w:pPr>
              <w:spacing w:line="280"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408.32</w:t>
            </w:r>
          </w:p>
        </w:tc>
      </w:tr>
      <w:tr w14:paraId="427354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612526">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EA6A76">
            <w:pPr>
              <w:spacing w:line="280"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7.55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10C02E">
            <w:pPr>
              <w:spacing w:line="280"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7.55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EA5E2A">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CC313C">
            <w:pPr>
              <w:spacing w:line="280"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81.01</w:t>
            </w:r>
          </w:p>
        </w:tc>
      </w:tr>
      <w:tr w14:paraId="1385AE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B1CEFC">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34B483">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07B7A6">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B2CAB">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FA41C2">
            <w:pPr>
              <w:spacing w:line="280"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327.31</w:t>
            </w:r>
          </w:p>
        </w:tc>
      </w:tr>
      <w:tr w14:paraId="0368184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39B438">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1A0767">
            <w:pPr>
              <w:spacing w:line="280"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5.40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9535FA">
            <w:pPr>
              <w:spacing w:line="280"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5.40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9F7F2C">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EB2930">
            <w:pPr>
              <w:spacing w:line="280" w:lineRule="exact"/>
              <w:ind w:right="120" w:rightChars="50"/>
              <w:jc w:val="center"/>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w:t>
            </w:r>
          </w:p>
        </w:tc>
      </w:tr>
      <w:tr w14:paraId="4133F6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E8FE2D">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54A8D9">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F955C8">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F923B2">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33888F">
            <w:pPr>
              <w:spacing w:line="280"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w:t>
            </w:r>
          </w:p>
        </w:tc>
      </w:tr>
      <w:tr w14:paraId="3CE90E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F6CB3">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DCE89D">
            <w:pPr>
              <w:spacing w:line="280"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5.40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5A5730">
            <w:pPr>
              <w:spacing w:line="280"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5.40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4C84C3">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005FB2">
            <w:pPr>
              <w:spacing w:line="280" w:lineRule="exact"/>
              <w:ind w:right="120" w:rightChars="50"/>
              <w:jc w:val="right"/>
              <w:textAlignment w:val="bottom"/>
              <w:rPr>
                <w:rFonts w:hint="default" w:ascii="Times New Roman" w:hAnsi="Times New Roman" w:cs="Times New Roman"/>
                <w:color w:val="000000" w:themeColor="text1"/>
                <w:sz w:val="18"/>
                <w:szCs w:val="18"/>
              </w:rPr>
            </w:pPr>
          </w:p>
        </w:tc>
      </w:tr>
      <w:tr w14:paraId="4C1F3C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7E4A7D">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2B06EC">
            <w:pPr>
              <w:spacing w:line="280"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2.15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88D53A">
            <w:pPr>
              <w:spacing w:line="280"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2.15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C99519">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A3482E">
            <w:pPr>
              <w:spacing w:line="280" w:lineRule="exact"/>
              <w:ind w:right="120" w:rightChars="50"/>
              <w:jc w:val="right"/>
              <w:textAlignment w:val="bottom"/>
              <w:rPr>
                <w:rFonts w:hint="default" w:ascii="Times New Roman" w:hAnsi="Times New Roman" w:cs="Times New Roman"/>
                <w:color w:val="000000" w:themeColor="text1"/>
                <w:sz w:val="18"/>
                <w:szCs w:val="18"/>
              </w:rPr>
            </w:pPr>
          </w:p>
        </w:tc>
      </w:tr>
      <w:tr w14:paraId="6F149BD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26B1EC">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DC1667">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561D2D">
            <w:pPr>
              <w:spacing w:line="280"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2.15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3ED740">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5D2F33">
            <w:pPr>
              <w:spacing w:line="280" w:lineRule="exact"/>
              <w:ind w:right="120" w:rightChars="50"/>
              <w:jc w:val="right"/>
              <w:textAlignment w:val="bottom"/>
              <w:rPr>
                <w:rFonts w:hint="default" w:ascii="Times New Roman" w:hAnsi="Times New Roman" w:cs="Times New Roman"/>
                <w:color w:val="000000" w:themeColor="text1"/>
                <w:sz w:val="18"/>
                <w:szCs w:val="18"/>
              </w:rPr>
            </w:pPr>
          </w:p>
        </w:tc>
      </w:tr>
      <w:tr w14:paraId="43A2C28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024229">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179525">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B766A4">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5CA134">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992513">
            <w:pPr>
              <w:spacing w:line="280"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w:t>
            </w:r>
          </w:p>
        </w:tc>
      </w:tr>
      <w:tr w14:paraId="1CF56C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21073E">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9E2351">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416C1A">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4EE67">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CB280F">
            <w:pPr>
              <w:spacing w:line="280" w:lineRule="exact"/>
              <w:ind w:right="120" w:rightChars="50"/>
              <w:jc w:val="right"/>
              <w:textAlignment w:val="bottom"/>
              <w:rPr>
                <w:rFonts w:hint="default" w:ascii="Times New Roman" w:hAnsi="Times New Roman" w:cs="Times New Roman"/>
                <w:color w:val="000000" w:themeColor="text1"/>
                <w:sz w:val="18"/>
                <w:szCs w:val="18"/>
              </w:rPr>
            </w:pPr>
          </w:p>
        </w:tc>
      </w:tr>
      <w:tr w14:paraId="414DA0C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1F437">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99BDC0">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F0197">
            <w:pPr>
              <w:spacing w:line="280" w:lineRule="exact"/>
              <w:ind w:right="120" w:rightChars="50"/>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7B8570">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0E33BC">
            <w:pPr>
              <w:spacing w:line="280" w:lineRule="exact"/>
              <w:ind w:right="120" w:rightChars="50"/>
              <w:jc w:val="right"/>
              <w:textAlignment w:val="bottom"/>
              <w:rPr>
                <w:rFonts w:hint="default" w:ascii="Times New Roman" w:hAnsi="Times New Roman" w:cs="Times New Roman"/>
                <w:color w:val="000000" w:themeColor="text1"/>
                <w:sz w:val="18"/>
                <w:szCs w:val="18"/>
              </w:rPr>
            </w:pPr>
          </w:p>
        </w:tc>
      </w:tr>
      <w:tr w14:paraId="1DA08C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B27360">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B0C6B">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9AEE72">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0EE7D">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E41830">
            <w:pPr>
              <w:spacing w:line="280" w:lineRule="exact"/>
              <w:ind w:right="120" w:rightChars="50"/>
              <w:jc w:val="right"/>
              <w:textAlignment w:val="bottom"/>
              <w:rPr>
                <w:rFonts w:hint="default" w:ascii="Times New Roman" w:hAnsi="Times New Roman" w:cs="Times New Roman"/>
                <w:color w:val="000000" w:themeColor="text1"/>
                <w:sz w:val="18"/>
                <w:szCs w:val="18"/>
              </w:rPr>
            </w:pPr>
          </w:p>
        </w:tc>
      </w:tr>
      <w:tr w14:paraId="497B2A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393C7">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673678">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05907F">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98D685">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0ECBBF">
            <w:pPr>
              <w:spacing w:line="280" w:lineRule="exact"/>
              <w:ind w:right="120" w:rightChars="50"/>
              <w:jc w:val="right"/>
              <w:textAlignment w:val="bottom"/>
              <w:rPr>
                <w:rFonts w:hint="default" w:ascii="Times New Roman" w:hAnsi="Times New Roman" w:cs="Times New Roman"/>
                <w:color w:val="000000" w:themeColor="text1"/>
                <w:sz w:val="18"/>
                <w:szCs w:val="18"/>
              </w:rPr>
            </w:pPr>
          </w:p>
        </w:tc>
      </w:tr>
      <w:tr w14:paraId="495F16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5D4FB">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70FD49">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F8F3D">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48DD68">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7FB753">
            <w:pPr>
              <w:spacing w:line="280" w:lineRule="exact"/>
              <w:ind w:right="120" w:rightChars="50"/>
              <w:jc w:val="right"/>
              <w:textAlignment w:val="bottom"/>
              <w:rPr>
                <w:rFonts w:hint="default" w:ascii="Times New Roman" w:hAnsi="Times New Roman" w:cs="Times New Roman"/>
                <w:color w:val="000000" w:themeColor="text1"/>
                <w:sz w:val="18"/>
                <w:szCs w:val="18"/>
              </w:rPr>
            </w:pPr>
          </w:p>
        </w:tc>
      </w:tr>
      <w:tr w14:paraId="0F7C5B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37A971">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89EF3">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9598F6">
            <w:pPr>
              <w:spacing w:line="280"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E3B7DF">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2F8BC8">
            <w:pPr>
              <w:spacing w:line="280" w:lineRule="exact"/>
              <w:ind w:right="120" w:rightChars="50"/>
              <w:jc w:val="center"/>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w:t>
            </w:r>
          </w:p>
        </w:tc>
      </w:tr>
      <w:tr w14:paraId="2F77938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7AD800">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D57D3">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C82B80">
            <w:pPr>
              <w:spacing w:line="280"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20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3AD7E4">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85DA7E">
            <w:pPr>
              <w:spacing w:line="280"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98.26</w:t>
            </w:r>
          </w:p>
        </w:tc>
      </w:tr>
      <w:tr w14:paraId="4C248F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6DAA3">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A6FBB">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564AEF">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9E178">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DC0ACA">
            <w:pPr>
              <w:spacing w:line="280"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28.85</w:t>
            </w:r>
          </w:p>
        </w:tc>
      </w:tr>
      <w:tr w14:paraId="249FE5B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2B53EE">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F42B2B">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DA7055">
            <w:pPr>
              <w:spacing w:line="280"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238</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17EAC9">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2EF6A8">
            <w:pPr>
              <w:spacing w:line="280" w:lineRule="exact"/>
              <w:ind w:right="120" w:rightChars="50"/>
              <w:jc w:val="right"/>
              <w:textAlignment w:val="bottom"/>
              <w:rPr>
                <w:rFonts w:hint="default" w:ascii="Times New Roman" w:hAnsi="Times New Roman" w:cs="Times New Roman"/>
                <w:color w:val="000000" w:themeColor="text1"/>
                <w:sz w:val="18"/>
                <w:szCs w:val="18"/>
              </w:rPr>
            </w:pPr>
          </w:p>
        </w:tc>
      </w:tr>
      <w:tr w14:paraId="46A1BFD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59EE48">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F7E3E7">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56F7D0">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4F8091">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B37C8F">
            <w:pPr>
              <w:spacing w:line="280"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69.41</w:t>
            </w:r>
          </w:p>
        </w:tc>
      </w:tr>
      <w:tr w14:paraId="7173DB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11EA07">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C9FCF1">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726339">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19894D">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27A673">
            <w:pPr>
              <w:spacing w:line="280"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53.92</w:t>
            </w:r>
          </w:p>
        </w:tc>
      </w:tr>
      <w:tr w14:paraId="53DDFA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CE3882">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ABDB3">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9E3C1E">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AA8D27">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5EA5FD">
            <w:pPr>
              <w:spacing w:line="280"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25.95</w:t>
            </w:r>
          </w:p>
        </w:tc>
      </w:tr>
      <w:tr w14:paraId="2A2C6604">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00205">
            <w:pPr>
              <w:spacing w:line="280" w:lineRule="exact"/>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21478A">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90FB61">
            <w:pPr>
              <w:spacing w:line="280"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0.99</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54C55B">
            <w:pPr>
              <w:spacing w:line="280" w:lineRule="exact"/>
              <w:rPr>
                <w:rFonts w:hint="default" w:ascii="Times New Roman" w:hAnsi="Times New Roman" w:cs="Times New Roman"/>
                <w:color w:val="000000" w:themeColor="text1"/>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12EF85">
            <w:pPr>
              <w:spacing w:line="280" w:lineRule="exact"/>
              <w:jc w:val="right"/>
              <w:rPr>
                <w:rFonts w:hint="default" w:ascii="Times New Roman" w:hAnsi="Times New Roman" w:cs="Times New Roman"/>
                <w:color w:val="000000" w:themeColor="text1"/>
                <w:kern w:val="2"/>
                <w:sz w:val="16"/>
                <w:szCs w:val="16"/>
              </w:rPr>
            </w:pPr>
          </w:p>
        </w:tc>
      </w:tr>
      <w:tr w14:paraId="3066B19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0604F">
            <w:pPr>
              <w:spacing w:line="280" w:lineRule="exact"/>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5E94C">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8A266F">
            <w:pPr>
              <w:spacing w:line="280"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3.53</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F9AC7B">
            <w:pPr>
              <w:spacing w:line="280" w:lineRule="exact"/>
              <w:rPr>
                <w:rFonts w:hint="default" w:ascii="Times New Roman" w:hAnsi="Times New Roman" w:cs="Times New Roman"/>
                <w:color w:val="000000" w:themeColor="text1"/>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CF78A0">
            <w:pPr>
              <w:spacing w:line="280" w:lineRule="exact"/>
              <w:jc w:val="right"/>
              <w:rPr>
                <w:rFonts w:hint="default" w:ascii="Times New Roman" w:hAnsi="Times New Roman" w:cs="Times New Roman"/>
                <w:color w:val="000000" w:themeColor="text1"/>
                <w:kern w:val="2"/>
                <w:sz w:val="16"/>
                <w:szCs w:val="16"/>
              </w:rPr>
            </w:pPr>
          </w:p>
        </w:tc>
      </w:tr>
      <w:tr w14:paraId="5F640C6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4045FF">
            <w:pPr>
              <w:spacing w:line="280" w:lineRule="exact"/>
              <w:textAlignment w:val="center"/>
              <w:rPr>
                <w:rFonts w:hint="default" w:ascii="Times New Roman" w:hAnsi="Times New Roman" w:cs="Times New Roman"/>
                <w:b/>
                <w:bCs/>
                <w:color w:val="000000" w:themeColor="text1"/>
                <w:sz w:val="16"/>
                <w:szCs w:val="16"/>
              </w:rPr>
            </w:pPr>
            <w:r>
              <w:rPr>
                <w:rFonts w:hint="default" w:ascii="Times New Roman" w:hAnsi="Times New Roman" w:cs="Times New Roman"/>
                <w:b/>
                <w:bCs/>
                <w:color w:val="000000" w:themeColor="text1"/>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7A792">
            <w:pPr>
              <w:spacing w:line="280" w:lineRule="exact"/>
              <w:jc w:val="center"/>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8B45FC">
            <w:pPr>
              <w:spacing w:line="280"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39.94</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4FB9E">
            <w:pPr>
              <w:spacing w:line="280" w:lineRule="exact"/>
              <w:rPr>
                <w:rFonts w:hint="default" w:ascii="Times New Roman" w:hAnsi="Times New Roman" w:cs="Times New Roman"/>
                <w:color w:val="000000" w:themeColor="text1"/>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5BF9F8">
            <w:pPr>
              <w:spacing w:line="280" w:lineRule="exact"/>
              <w:jc w:val="right"/>
              <w:rPr>
                <w:rFonts w:hint="default" w:ascii="Times New Roman" w:hAnsi="Times New Roman" w:cs="Times New Roman"/>
                <w:color w:val="000000" w:themeColor="text1"/>
                <w:sz w:val="16"/>
                <w:szCs w:val="16"/>
              </w:rPr>
            </w:pPr>
          </w:p>
        </w:tc>
      </w:tr>
    </w:tbl>
    <w:p w14:paraId="42ED2726">
      <w:pP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color w:val="000000" w:themeColor="text1"/>
          <w:sz w:val="18"/>
          <w:szCs w:val="18"/>
        </w:rPr>
        <w:br w:type="textWrapping"/>
      </w:r>
      <w:r>
        <w:rPr>
          <w:rFonts w:hint="default" w:ascii="Times New Roman" w:hAnsi="Times New Roman" w:cs="Times New Roman"/>
          <w:color w:val="000000" w:themeColor="text1"/>
          <w:sz w:val="18"/>
          <w:szCs w:val="18"/>
        </w:rPr>
        <w:t xml:space="preserve">      2.本套报表金额单位转换时可能存在尾数误差。</w:t>
      </w:r>
      <w:r>
        <w:rPr>
          <w:rFonts w:hint="default" w:ascii="Times New Roman" w:hAnsi="Times New Roman" w:cs="Times New Roman"/>
          <w:color w:val="000000" w:themeColor="text1"/>
          <w:sz w:val="18"/>
          <w:szCs w:val="18"/>
        </w:rPr>
        <w:br w:type="textWrapping"/>
      </w:r>
      <w:r>
        <w:rPr>
          <w:rFonts w:hint="default" w:ascii="Times New Roman" w:hAnsi="Times New Roman" w:cs="Times New Roman"/>
          <w:color w:val="000000" w:themeColor="text1"/>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1DE37">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30B08D1C">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315FD">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5753174A">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34 -</w:t>
                </w:r>
                <w:r>
                  <w:fldChar w:fldCharType="end"/>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3EDDA0C5">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66783">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D3825"/>
    <w:rsid w:val="003D779C"/>
    <w:rsid w:val="00442F7F"/>
    <w:rsid w:val="004852DA"/>
    <w:rsid w:val="004C12FF"/>
    <w:rsid w:val="004D0390"/>
    <w:rsid w:val="004F5272"/>
    <w:rsid w:val="00550ABE"/>
    <w:rsid w:val="005B023C"/>
    <w:rsid w:val="005C373E"/>
    <w:rsid w:val="00600322"/>
    <w:rsid w:val="006137D7"/>
    <w:rsid w:val="00634FA8"/>
    <w:rsid w:val="0063613A"/>
    <w:rsid w:val="0068170B"/>
    <w:rsid w:val="006E2034"/>
    <w:rsid w:val="00732392"/>
    <w:rsid w:val="007815A8"/>
    <w:rsid w:val="00792285"/>
    <w:rsid w:val="007A0D2E"/>
    <w:rsid w:val="007A3314"/>
    <w:rsid w:val="007B419D"/>
    <w:rsid w:val="007C5C5B"/>
    <w:rsid w:val="00810F13"/>
    <w:rsid w:val="00826B47"/>
    <w:rsid w:val="00893689"/>
    <w:rsid w:val="00900E40"/>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E5C8E"/>
    <w:rsid w:val="00BF5A85"/>
    <w:rsid w:val="00C307F6"/>
    <w:rsid w:val="00C96B11"/>
    <w:rsid w:val="00C97747"/>
    <w:rsid w:val="00CC6B99"/>
    <w:rsid w:val="00D50567"/>
    <w:rsid w:val="00D943C0"/>
    <w:rsid w:val="00DF7706"/>
    <w:rsid w:val="00E05175"/>
    <w:rsid w:val="00E654E2"/>
    <w:rsid w:val="00E76362"/>
    <w:rsid w:val="00E86B80"/>
    <w:rsid w:val="00EA71CB"/>
    <w:rsid w:val="00F12DFE"/>
    <w:rsid w:val="00F137D3"/>
    <w:rsid w:val="00F13C36"/>
    <w:rsid w:val="00F23C68"/>
    <w:rsid w:val="00F32C53"/>
    <w:rsid w:val="00F73F90"/>
    <w:rsid w:val="00F7623D"/>
    <w:rsid w:val="00F8598B"/>
    <w:rsid w:val="00FA0819"/>
    <w:rsid w:val="00FB7EF0"/>
    <w:rsid w:val="01474EBF"/>
    <w:rsid w:val="01F3521E"/>
    <w:rsid w:val="02DE15D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0440CF"/>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A170D3"/>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5A08B8"/>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2D30EE"/>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31</Pages>
  <Words>4076</Words>
  <Characters>4704</Characters>
  <Lines>150</Lines>
  <Paragraphs>42</Paragraphs>
  <TotalTime>8</TotalTime>
  <ScaleCrop>false</ScaleCrop>
  <LinksUpToDate>false</LinksUpToDate>
  <CharactersWithSpaces>4718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单车</cp:lastModifiedBy>
  <dcterms:modified xsi:type="dcterms:W3CDTF">2025-09-16T07:23:39Z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BB46EABDBB2749749395447164B066B3_12</vt:lpwstr>
  </property>
  <property fmtid="{D5CDD505-2E9C-101B-9397-08002B2CF9AE}" pid="4" name="KSOTemplateDocerSaveRecord">
    <vt:lpwstr>eyJoZGlkIjoiYmQ3MzJhNTU1M2IxZDZhMGY1MTc1OGQ5MTA2ODY3MGYiLCJ1c2VySWQiOiIxOTg4NDQ3MDUifQ==</vt:lpwstr>
  </property>
</Properties>
</file>