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28577" w14:textId="77777777" w:rsidR="00B11D74" w:rsidRDefault="00000000">
      <w:pPr>
        <w:spacing w:line="60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丰都县人力资源和社会保障局</w:t>
      </w:r>
    </w:p>
    <w:p w14:paraId="18370B89" w14:textId="77777777" w:rsidR="00B11D74" w:rsidRDefault="00000000">
      <w:pPr>
        <w:overflowPunct w:val="0"/>
        <w:spacing w:line="60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关于2023年项目资金绩效目标自评情况的</w:t>
      </w:r>
    </w:p>
    <w:p w14:paraId="12C2506D" w14:textId="77777777" w:rsidR="00B11D74" w:rsidRDefault="00000000">
      <w:pPr>
        <w:overflowPunct w:val="0"/>
        <w:spacing w:line="60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报  告</w:t>
      </w:r>
    </w:p>
    <w:p w14:paraId="43942E47" w14:textId="77777777" w:rsidR="00B11D74" w:rsidRDefault="00B11D74">
      <w:pPr>
        <w:overflowPunct w:val="0"/>
        <w:spacing w:line="600" w:lineRule="exact"/>
        <w:ind w:firstLineChars="200" w:firstLine="640"/>
        <w:jc w:val="both"/>
        <w:rPr>
          <w:color w:val="000000" w:themeColor="text1"/>
          <w:szCs w:val="32"/>
          <w:highlight w:val="yellow"/>
        </w:rPr>
      </w:pPr>
    </w:p>
    <w:p w14:paraId="26C03AFA" w14:textId="77777777" w:rsidR="00B11D74" w:rsidRDefault="00000000">
      <w:pPr>
        <w:overflowPunct w:val="0"/>
        <w:spacing w:line="600" w:lineRule="exact"/>
        <w:jc w:val="both"/>
        <w:rPr>
          <w:color w:val="000000" w:themeColor="text1"/>
          <w:szCs w:val="32"/>
        </w:rPr>
      </w:pPr>
      <w:r>
        <w:rPr>
          <w:color w:val="000000" w:themeColor="text1"/>
          <w:szCs w:val="32"/>
        </w:rPr>
        <w:t>县财政局：</w:t>
      </w:r>
    </w:p>
    <w:p w14:paraId="37A352DA" w14:textId="77777777" w:rsidR="00B11D74" w:rsidRDefault="00000000">
      <w:pPr>
        <w:overflowPunct w:val="0"/>
        <w:spacing w:line="600" w:lineRule="exact"/>
        <w:ind w:firstLineChars="200" w:firstLine="640"/>
        <w:jc w:val="both"/>
        <w:rPr>
          <w:color w:val="000000" w:themeColor="text1"/>
          <w:szCs w:val="32"/>
        </w:rPr>
      </w:pPr>
      <w:r>
        <w:rPr>
          <w:color w:val="000000" w:themeColor="text1"/>
          <w:szCs w:val="32"/>
        </w:rPr>
        <w:t>为加强财政资金的管理，提高财政资金的使用效益，贯彻落实《中共丰都县</w:t>
      </w:r>
      <w:r>
        <w:rPr>
          <w:color w:val="000000" w:themeColor="text1"/>
          <w:spacing w:val="4"/>
          <w:szCs w:val="32"/>
        </w:rPr>
        <w:t>委丰都县人民政府关于全面落实预算绩效管理的实施方案》（丰委办〔</w:t>
      </w:r>
      <w:r>
        <w:rPr>
          <w:color w:val="000000" w:themeColor="text1"/>
          <w:spacing w:val="4"/>
          <w:szCs w:val="32"/>
        </w:rPr>
        <w:t>2019</w:t>
      </w:r>
      <w:r>
        <w:rPr>
          <w:color w:val="000000" w:themeColor="text1"/>
          <w:spacing w:val="4"/>
          <w:szCs w:val="32"/>
        </w:rPr>
        <w:t>〕</w:t>
      </w:r>
      <w:r>
        <w:rPr>
          <w:color w:val="000000" w:themeColor="text1"/>
          <w:spacing w:val="4"/>
          <w:szCs w:val="32"/>
        </w:rPr>
        <w:t>32</w:t>
      </w:r>
      <w:r>
        <w:rPr>
          <w:color w:val="000000" w:themeColor="text1"/>
          <w:spacing w:val="4"/>
          <w:szCs w:val="32"/>
        </w:rPr>
        <w:t>号）、根据《中共重庆市委重庆市人民政府关于全面实施预算绩效管理的实施意见》（渝委发</w:t>
      </w:r>
      <w:r>
        <w:rPr>
          <w:color w:val="000000" w:themeColor="text1"/>
          <w:szCs w:val="32"/>
        </w:rPr>
        <w:t>〔</w:t>
      </w:r>
      <w:r>
        <w:rPr>
          <w:color w:val="000000" w:themeColor="text1"/>
          <w:szCs w:val="32"/>
        </w:rPr>
        <w:t>2019</w:t>
      </w:r>
      <w:r>
        <w:rPr>
          <w:color w:val="000000" w:themeColor="text1"/>
          <w:szCs w:val="32"/>
        </w:rPr>
        <w:t>〕</w:t>
      </w:r>
      <w:r>
        <w:rPr>
          <w:color w:val="000000" w:themeColor="text1"/>
          <w:szCs w:val="32"/>
        </w:rPr>
        <w:t>12</w:t>
      </w:r>
      <w:r>
        <w:rPr>
          <w:color w:val="000000" w:themeColor="text1"/>
          <w:szCs w:val="32"/>
        </w:rPr>
        <w:t>号）、《重庆市财政专项资金绩效评价管理暂行办法》形成自评报告如下：</w:t>
      </w:r>
    </w:p>
    <w:p w14:paraId="0FAE3A5B" w14:textId="77777777" w:rsidR="00B11D74" w:rsidRDefault="00000000">
      <w:pPr>
        <w:overflowPunct w:val="0"/>
        <w:spacing w:line="600" w:lineRule="exact"/>
        <w:ind w:firstLineChars="200" w:firstLine="640"/>
        <w:jc w:val="both"/>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一、项目基本概况</w:t>
      </w:r>
    </w:p>
    <w:p w14:paraId="2A0181A3" w14:textId="77777777" w:rsidR="00B11D74" w:rsidRDefault="00000000">
      <w:pPr>
        <w:overflowPunct w:val="0"/>
        <w:spacing w:line="600" w:lineRule="exact"/>
        <w:ind w:firstLineChars="200" w:firstLine="640"/>
        <w:jc w:val="both"/>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（一）项目概况</w:t>
      </w:r>
    </w:p>
    <w:p w14:paraId="16D7161F" w14:textId="77777777" w:rsidR="00B11D74" w:rsidRDefault="00000000">
      <w:pPr>
        <w:overflowPunct w:val="0"/>
        <w:spacing w:line="600" w:lineRule="exact"/>
        <w:ind w:firstLineChars="200" w:firstLine="640"/>
        <w:jc w:val="both"/>
        <w:rPr>
          <w:b/>
          <w:color w:val="000000" w:themeColor="text1"/>
          <w:szCs w:val="32"/>
        </w:rPr>
      </w:pPr>
      <w:r>
        <w:rPr>
          <w:b/>
          <w:color w:val="000000" w:themeColor="text1"/>
          <w:szCs w:val="32"/>
        </w:rPr>
        <w:t>1</w:t>
      </w:r>
      <w:r>
        <w:rPr>
          <w:rFonts w:hint="eastAsia"/>
          <w:b/>
          <w:color w:val="000000" w:themeColor="text1"/>
          <w:szCs w:val="32"/>
        </w:rPr>
        <w:t>.</w:t>
      </w:r>
      <w:r>
        <w:rPr>
          <w:b/>
          <w:color w:val="000000" w:themeColor="text1"/>
          <w:szCs w:val="32"/>
        </w:rPr>
        <w:t>立项背景</w:t>
      </w:r>
    </w:p>
    <w:p w14:paraId="547856D0" w14:textId="78B13C5A" w:rsidR="00B11D74" w:rsidRDefault="00000000">
      <w:pPr>
        <w:spacing w:line="600" w:lineRule="exact"/>
        <w:jc w:val="both"/>
        <w:rPr>
          <w:color w:val="000000" w:themeColor="text1"/>
          <w:spacing w:val="6"/>
          <w:szCs w:val="32"/>
        </w:rPr>
      </w:pPr>
      <w:r>
        <w:rPr>
          <w:color w:val="000000" w:themeColor="text1"/>
          <w:szCs w:val="32"/>
        </w:rPr>
        <w:t xml:space="preserve">    2020</w:t>
      </w:r>
      <w:r>
        <w:rPr>
          <w:color w:val="000000" w:themeColor="text1"/>
          <w:szCs w:val="32"/>
        </w:rPr>
        <w:t>年，</w:t>
      </w:r>
      <w:r>
        <w:rPr>
          <w:color w:val="000000" w:themeColor="text1"/>
          <w:spacing w:val="6"/>
          <w:szCs w:val="32"/>
        </w:rPr>
        <w:t>根据《关于全面推进人力资源和社会保障部门法治建设的指导意见》（人社部发</w:t>
      </w:r>
      <w:r>
        <w:rPr>
          <w:color w:val="000000" w:themeColor="text1"/>
          <w:szCs w:val="32"/>
        </w:rPr>
        <w:t>〔</w:t>
      </w:r>
      <w:r>
        <w:rPr>
          <w:color w:val="000000" w:themeColor="text1"/>
          <w:szCs w:val="32"/>
        </w:rPr>
        <w:t>2015</w:t>
      </w:r>
      <w:r>
        <w:rPr>
          <w:color w:val="000000" w:themeColor="text1"/>
          <w:szCs w:val="32"/>
        </w:rPr>
        <w:t>〕</w:t>
      </w:r>
      <w:r>
        <w:rPr>
          <w:color w:val="000000" w:themeColor="text1"/>
          <w:spacing w:val="6"/>
          <w:szCs w:val="32"/>
        </w:rPr>
        <w:t>62</w:t>
      </w:r>
      <w:r>
        <w:rPr>
          <w:color w:val="000000" w:themeColor="text1"/>
          <w:spacing w:val="6"/>
          <w:szCs w:val="32"/>
        </w:rPr>
        <w:t>号）、《关于规范考试劳务费发放工作的通知》（渝财综</w:t>
      </w:r>
      <w:r>
        <w:rPr>
          <w:color w:val="000000" w:themeColor="text1"/>
          <w:szCs w:val="32"/>
        </w:rPr>
        <w:t>〔</w:t>
      </w:r>
      <w:r>
        <w:rPr>
          <w:color w:val="000000" w:themeColor="text1"/>
          <w:szCs w:val="32"/>
        </w:rPr>
        <w:t>2020</w:t>
      </w:r>
      <w:r>
        <w:rPr>
          <w:color w:val="000000" w:themeColor="text1"/>
          <w:szCs w:val="32"/>
        </w:rPr>
        <w:t>〕</w:t>
      </w:r>
      <w:r>
        <w:rPr>
          <w:color w:val="000000" w:themeColor="text1"/>
          <w:spacing w:val="6"/>
          <w:szCs w:val="32"/>
        </w:rPr>
        <w:t>50</w:t>
      </w:r>
      <w:r>
        <w:rPr>
          <w:color w:val="000000" w:themeColor="text1"/>
          <w:spacing w:val="6"/>
          <w:szCs w:val="32"/>
        </w:rPr>
        <w:t>号）、《关于严格干部人事档案管理的通知》（渝委组</w:t>
      </w:r>
      <w:r>
        <w:rPr>
          <w:color w:val="000000" w:themeColor="text1"/>
          <w:szCs w:val="32"/>
        </w:rPr>
        <w:t>〔</w:t>
      </w:r>
      <w:r>
        <w:rPr>
          <w:color w:val="000000" w:themeColor="text1"/>
          <w:szCs w:val="32"/>
        </w:rPr>
        <w:t>2014</w:t>
      </w:r>
      <w:r>
        <w:rPr>
          <w:color w:val="000000" w:themeColor="text1"/>
          <w:szCs w:val="32"/>
        </w:rPr>
        <w:t>〕</w:t>
      </w:r>
      <w:r>
        <w:rPr>
          <w:color w:val="000000" w:themeColor="text1"/>
          <w:spacing w:val="6"/>
          <w:szCs w:val="32"/>
        </w:rPr>
        <w:t>56</w:t>
      </w:r>
      <w:r>
        <w:rPr>
          <w:color w:val="000000" w:themeColor="text1"/>
          <w:spacing w:val="6"/>
          <w:szCs w:val="32"/>
        </w:rPr>
        <w:t>号）、《关于做好</w:t>
      </w:r>
      <w:r>
        <w:rPr>
          <w:color w:val="000000" w:themeColor="text1"/>
          <w:spacing w:val="6"/>
          <w:szCs w:val="32"/>
        </w:rPr>
        <w:t>2021</w:t>
      </w:r>
      <w:r>
        <w:rPr>
          <w:color w:val="000000" w:themeColor="text1"/>
          <w:spacing w:val="6"/>
          <w:szCs w:val="32"/>
        </w:rPr>
        <w:t>年高校毕业生三支一扶计划实施工作的通知》（人社厅发</w:t>
      </w:r>
      <w:r>
        <w:rPr>
          <w:color w:val="000000" w:themeColor="text1"/>
          <w:szCs w:val="32"/>
        </w:rPr>
        <w:t>〔</w:t>
      </w:r>
      <w:r>
        <w:rPr>
          <w:color w:val="000000" w:themeColor="text1"/>
          <w:szCs w:val="32"/>
        </w:rPr>
        <w:t>2021</w:t>
      </w:r>
      <w:r>
        <w:rPr>
          <w:color w:val="000000" w:themeColor="text1"/>
          <w:szCs w:val="32"/>
        </w:rPr>
        <w:t>〕</w:t>
      </w:r>
      <w:r>
        <w:rPr>
          <w:color w:val="000000" w:themeColor="text1"/>
          <w:spacing w:val="6"/>
          <w:szCs w:val="32"/>
        </w:rPr>
        <w:t>40</w:t>
      </w:r>
      <w:r>
        <w:rPr>
          <w:color w:val="000000" w:themeColor="text1"/>
          <w:spacing w:val="6"/>
          <w:szCs w:val="32"/>
        </w:rPr>
        <w:t>号）、《关于开展</w:t>
      </w:r>
      <w:r>
        <w:rPr>
          <w:color w:val="000000" w:themeColor="text1"/>
          <w:spacing w:val="6"/>
          <w:szCs w:val="32"/>
        </w:rPr>
        <w:t>2022</w:t>
      </w:r>
      <w:r>
        <w:rPr>
          <w:color w:val="000000" w:themeColor="text1"/>
          <w:spacing w:val="6"/>
          <w:szCs w:val="32"/>
        </w:rPr>
        <w:t>年度在职正高级职称专</w:t>
      </w:r>
      <w:r>
        <w:rPr>
          <w:color w:val="000000" w:themeColor="text1"/>
          <w:spacing w:val="6"/>
          <w:szCs w:val="32"/>
        </w:rPr>
        <w:lastRenderedPageBreak/>
        <w:t>业技术人员健康体检补检工作的通知》（渝人社办</w:t>
      </w:r>
      <w:r>
        <w:rPr>
          <w:color w:val="000000" w:themeColor="text1"/>
          <w:szCs w:val="32"/>
        </w:rPr>
        <w:t>〔</w:t>
      </w:r>
      <w:r>
        <w:rPr>
          <w:color w:val="000000" w:themeColor="text1"/>
          <w:szCs w:val="32"/>
        </w:rPr>
        <w:t>2022</w:t>
      </w:r>
      <w:r>
        <w:rPr>
          <w:color w:val="000000" w:themeColor="text1"/>
          <w:szCs w:val="32"/>
        </w:rPr>
        <w:t>〕</w:t>
      </w:r>
      <w:r>
        <w:rPr>
          <w:color w:val="000000" w:themeColor="text1"/>
          <w:spacing w:val="6"/>
          <w:szCs w:val="32"/>
        </w:rPr>
        <w:t>111</w:t>
      </w:r>
      <w:r>
        <w:rPr>
          <w:color w:val="000000" w:themeColor="text1"/>
          <w:spacing w:val="6"/>
          <w:szCs w:val="32"/>
        </w:rPr>
        <w:t>号）等文件要求</w:t>
      </w:r>
      <w:r>
        <w:rPr>
          <w:color w:val="000000" w:themeColor="text1"/>
          <w:szCs w:val="32"/>
        </w:rPr>
        <w:t>，为了保障我局正常运行，保障人事档案按时规范整理、工伤认定和鉴定工作扎实稳步推进，保证事业单位公招考试顺利进行，为全县各事业单位（特别是教育系统和卫生系统）招录人才，体现</w:t>
      </w:r>
      <w:r w:rsidR="00DF24CA" w:rsidRPr="00DF24CA">
        <w:rPr>
          <w:rFonts w:hint="eastAsia"/>
          <w:color w:val="000000" w:themeColor="text1"/>
          <w:szCs w:val="32"/>
        </w:rPr>
        <w:t>县委县政府</w:t>
      </w:r>
      <w:r>
        <w:rPr>
          <w:color w:val="000000" w:themeColor="text1"/>
          <w:szCs w:val="32"/>
        </w:rPr>
        <w:t>对全县离退休人员的重视与关怀，确保全县工资系统正常运行。</w:t>
      </w:r>
    </w:p>
    <w:p w14:paraId="27A74234" w14:textId="77777777" w:rsidR="00B11D74" w:rsidRDefault="00000000">
      <w:pPr>
        <w:overflowPunct w:val="0"/>
        <w:spacing w:line="600" w:lineRule="exact"/>
        <w:ind w:firstLineChars="200" w:firstLine="640"/>
        <w:jc w:val="both"/>
        <w:rPr>
          <w:b/>
          <w:color w:val="000000" w:themeColor="text1"/>
          <w:szCs w:val="32"/>
        </w:rPr>
      </w:pPr>
      <w:r>
        <w:rPr>
          <w:b/>
          <w:color w:val="000000" w:themeColor="text1"/>
          <w:szCs w:val="32"/>
        </w:rPr>
        <w:t>2</w:t>
      </w:r>
      <w:r>
        <w:rPr>
          <w:rFonts w:hint="eastAsia"/>
          <w:b/>
          <w:color w:val="000000" w:themeColor="text1"/>
          <w:szCs w:val="32"/>
        </w:rPr>
        <w:t>.</w:t>
      </w:r>
      <w:r>
        <w:rPr>
          <w:b/>
          <w:color w:val="000000" w:themeColor="text1"/>
          <w:szCs w:val="32"/>
        </w:rPr>
        <w:t>项目实施情况</w:t>
      </w:r>
    </w:p>
    <w:p w14:paraId="56A39A28" w14:textId="77777777" w:rsidR="00B11D74" w:rsidRDefault="00000000">
      <w:pPr>
        <w:overflowPunct w:val="0"/>
        <w:spacing w:line="600" w:lineRule="exact"/>
        <w:ind w:firstLineChars="200" w:firstLine="640"/>
        <w:jc w:val="both"/>
        <w:rPr>
          <w:color w:val="000000" w:themeColor="text1"/>
          <w:szCs w:val="32"/>
        </w:rPr>
      </w:pPr>
      <w:r>
        <w:rPr>
          <w:color w:val="000000" w:themeColor="text1"/>
          <w:szCs w:val="32"/>
        </w:rPr>
        <w:t>2022</w:t>
      </w:r>
      <w:r>
        <w:rPr>
          <w:color w:val="000000" w:themeColor="text1"/>
          <w:szCs w:val="32"/>
        </w:rPr>
        <w:t>年社保保障专项工作、</w:t>
      </w:r>
      <w:r>
        <w:rPr>
          <w:color w:val="000000" w:themeColor="text1"/>
          <w:szCs w:val="32"/>
        </w:rPr>
        <w:t>2023</w:t>
      </w:r>
      <w:r>
        <w:rPr>
          <w:color w:val="000000" w:themeColor="text1"/>
          <w:szCs w:val="32"/>
        </w:rPr>
        <w:t>年社保专项转移支付资金（本级）</w:t>
      </w:r>
      <w:r>
        <w:rPr>
          <w:rFonts w:hint="eastAsia"/>
          <w:color w:val="000000" w:themeColor="text1"/>
          <w:szCs w:val="32"/>
        </w:rPr>
        <w:t>、博士后科研工作站经费、单位职工丧葬抚恤费、防范化解重大风险工作先进表彰</w:t>
      </w:r>
      <w:r>
        <w:rPr>
          <w:color w:val="000000" w:themeColor="text1"/>
          <w:szCs w:val="32"/>
        </w:rPr>
        <w:t>、渝薪芯工资软件升级服务费、三支一扶人员安家费、驻村工作补贴、事业单位公招考试费用、鸿雁计划人才奖励</w:t>
      </w:r>
      <w:r>
        <w:rPr>
          <w:rFonts w:hint="eastAsia"/>
          <w:color w:val="000000" w:themeColor="text1"/>
          <w:szCs w:val="32"/>
        </w:rPr>
        <w:t>、人力资源和社会保障专项经费、人社局本级编外人员经费、退休一次性补贴</w:t>
      </w:r>
      <w:r>
        <w:rPr>
          <w:rFonts w:hint="eastAsia"/>
          <w:color w:val="000000" w:themeColor="text1"/>
          <w:szCs w:val="32"/>
        </w:rPr>
        <w:t>13</w:t>
      </w:r>
      <w:r>
        <w:rPr>
          <w:color w:val="000000" w:themeColor="text1"/>
          <w:szCs w:val="32"/>
        </w:rPr>
        <w:t>个项目均已按照计划实施完毕。</w:t>
      </w:r>
    </w:p>
    <w:p w14:paraId="5D5DE57E" w14:textId="77777777" w:rsidR="00B11D74" w:rsidRDefault="00000000">
      <w:pPr>
        <w:overflowPunct w:val="0"/>
        <w:spacing w:line="600" w:lineRule="exact"/>
        <w:ind w:firstLineChars="200" w:firstLine="640"/>
        <w:jc w:val="both"/>
        <w:rPr>
          <w:b/>
          <w:color w:val="000000" w:themeColor="text1"/>
          <w:szCs w:val="32"/>
        </w:rPr>
      </w:pPr>
      <w:r>
        <w:rPr>
          <w:rFonts w:hint="eastAsia"/>
          <w:b/>
          <w:color w:val="000000" w:themeColor="text1"/>
          <w:szCs w:val="32"/>
        </w:rPr>
        <w:t>3.</w:t>
      </w:r>
      <w:r>
        <w:rPr>
          <w:b/>
          <w:color w:val="000000" w:themeColor="text1"/>
          <w:szCs w:val="32"/>
        </w:rPr>
        <w:t>项目经费</w:t>
      </w:r>
    </w:p>
    <w:p w14:paraId="763A015D" w14:textId="77777777" w:rsidR="00B11D74" w:rsidRDefault="00000000">
      <w:pPr>
        <w:spacing w:line="600" w:lineRule="exact"/>
        <w:ind w:firstLineChars="200" w:firstLine="640"/>
        <w:jc w:val="both"/>
        <w:rPr>
          <w:color w:val="000000" w:themeColor="text1"/>
          <w:szCs w:val="32"/>
        </w:rPr>
      </w:pPr>
      <w:r>
        <w:rPr>
          <w:color w:val="000000" w:themeColor="text1"/>
          <w:szCs w:val="32"/>
        </w:rPr>
        <w:t>202</w:t>
      </w:r>
      <w:r>
        <w:rPr>
          <w:rFonts w:hint="eastAsia"/>
          <w:color w:val="000000" w:themeColor="text1"/>
          <w:szCs w:val="32"/>
        </w:rPr>
        <w:t>3</w:t>
      </w:r>
      <w:r>
        <w:rPr>
          <w:color w:val="000000" w:themeColor="text1"/>
          <w:szCs w:val="32"/>
        </w:rPr>
        <w:t>年实际到位</w:t>
      </w:r>
      <w:r>
        <w:rPr>
          <w:rFonts w:hint="eastAsia"/>
          <w:color w:val="000000" w:themeColor="text1"/>
          <w:szCs w:val="32"/>
        </w:rPr>
        <w:t>446.43</w:t>
      </w:r>
      <w:r>
        <w:rPr>
          <w:color w:val="000000" w:themeColor="text1"/>
          <w:szCs w:val="32"/>
        </w:rPr>
        <w:t>万元，分别投入到</w:t>
      </w:r>
      <w:r>
        <w:rPr>
          <w:rFonts w:hint="eastAsia"/>
          <w:color w:val="000000" w:themeColor="text1"/>
          <w:szCs w:val="32"/>
        </w:rPr>
        <w:t>13</w:t>
      </w:r>
      <w:r>
        <w:rPr>
          <w:color w:val="000000" w:themeColor="text1"/>
          <w:szCs w:val="32"/>
        </w:rPr>
        <w:t>个项目。其中：</w:t>
      </w:r>
      <w:r>
        <w:rPr>
          <w:color w:val="000000" w:themeColor="text1"/>
          <w:szCs w:val="32"/>
        </w:rPr>
        <w:t>2022</w:t>
      </w:r>
      <w:r>
        <w:rPr>
          <w:color w:val="000000" w:themeColor="text1"/>
          <w:szCs w:val="32"/>
        </w:rPr>
        <w:t>年社保保障专项工作</w:t>
      </w:r>
      <w:r>
        <w:rPr>
          <w:rFonts w:hint="eastAsia"/>
          <w:color w:val="000000" w:themeColor="text1"/>
          <w:szCs w:val="32"/>
        </w:rPr>
        <w:t>70</w:t>
      </w:r>
      <w:r>
        <w:rPr>
          <w:rFonts w:hint="eastAsia"/>
          <w:color w:val="000000" w:themeColor="text1"/>
          <w:szCs w:val="32"/>
        </w:rPr>
        <w:t>万元</w:t>
      </w:r>
      <w:r>
        <w:rPr>
          <w:color w:val="000000" w:themeColor="text1"/>
          <w:szCs w:val="32"/>
        </w:rPr>
        <w:t>、</w:t>
      </w:r>
      <w:r>
        <w:rPr>
          <w:color w:val="000000" w:themeColor="text1"/>
          <w:szCs w:val="32"/>
        </w:rPr>
        <w:t>2023</w:t>
      </w:r>
      <w:r>
        <w:rPr>
          <w:color w:val="000000" w:themeColor="text1"/>
          <w:szCs w:val="32"/>
        </w:rPr>
        <w:t>年社保专项转移支付资金（本级）</w:t>
      </w:r>
      <w:r>
        <w:rPr>
          <w:rFonts w:hint="eastAsia"/>
          <w:color w:val="000000" w:themeColor="text1"/>
          <w:szCs w:val="32"/>
        </w:rPr>
        <w:t>45</w:t>
      </w:r>
      <w:r>
        <w:rPr>
          <w:rFonts w:hint="eastAsia"/>
          <w:color w:val="000000" w:themeColor="text1"/>
          <w:szCs w:val="32"/>
        </w:rPr>
        <w:t>万元、博士后科研工作站经费</w:t>
      </w:r>
      <w:r>
        <w:rPr>
          <w:rFonts w:hint="eastAsia"/>
          <w:color w:val="000000" w:themeColor="text1"/>
          <w:szCs w:val="32"/>
        </w:rPr>
        <w:t>58</w:t>
      </w:r>
      <w:r>
        <w:rPr>
          <w:rFonts w:hint="eastAsia"/>
          <w:color w:val="000000" w:themeColor="text1"/>
          <w:szCs w:val="32"/>
        </w:rPr>
        <w:t>万元、单位职工丧葬抚恤费</w:t>
      </w:r>
      <w:r>
        <w:rPr>
          <w:rFonts w:hint="eastAsia"/>
          <w:color w:val="000000" w:themeColor="text1"/>
          <w:szCs w:val="32"/>
        </w:rPr>
        <w:t>45.38</w:t>
      </w:r>
      <w:r>
        <w:rPr>
          <w:rFonts w:hint="eastAsia"/>
          <w:color w:val="000000" w:themeColor="text1"/>
          <w:szCs w:val="32"/>
        </w:rPr>
        <w:t>万元、防范化解重大风险工作先进表彰</w:t>
      </w:r>
      <w:r>
        <w:rPr>
          <w:rFonts w:hint="eastAsia"/>
          <w:color w:val="000000" w:themeColor="text1"/>
          <w:szCs w:val="32"/>
        </w:rPr>
        <w:t>40</w:t>
      </w:r>
      <w:r>
        <w:rPr>
          <w:rFonts w:hint="eastAsia"/>
          <w:color w:val="000000" w:themeColor="text1"/>
          <w:szCs w:val="32"/>
        </w:rPr>
        <w:t>万元</w:t>
      </w:r>
      <w:r>
        <w:rPr>
          <w:color w:val="000000" w:themeColor="text1"/>
          <w:szCs w:val="32"/>
        </w:rPr>
        <w:t>、渝薪芯工资软件升级服务费</w:t>
      </w:r>
      <w:r>
        <w:rPr>
          <w:rFonts w:hint="eastAsia"/>
          <w:color w:val="000000" w:themeColor="text1"/>
          <w:szCs w:val="32"/>
        </w:rPr>
        <w:t>14</w:t>
      </w:r>
      <w:r>
        <w:rPr>
          <w:rFonts w:hint="eastAsia"/>
          <w:color w:val="000000" w:themeColor="text1"/>
          <w:szCs w:val="32"/>
        </w:rPr>
        <w:t>万元</w:t>
      </w:r>
      <w:r>
        <w:rPr>
          <w:color w:val="000000" w:themeColor="text1"/>
          <w:szCs w:val="32"/>
        </w:rPr>
        <w:t>、三支一扶人员安家费</w:t>
      </w:r>
      <w:r>
        <w:rPr>
          <w:rFonts w:hint="eastAsia"/>
          <w:color w:val="000000" w:themeColor="text1"/>
          <w:szCs w:val="32"/>
        </w:rPr>
        <w:t>5.7</w:t>
      </w:r>
      <w:r>
        <w:rPr>
          <w:rFonts w:hint="eastAsia"/>
          <w:color w:val="000000" w:themeColor="text1"/>
          <w:szCs w:val="32"/>
        </w:rPr>
        <w:t>万元</w:t>
      </w:r>
      <w:r>
        <w:rPr>
          <w:color w:val="000000" w:themeColor="text1"/>
          <w:szCs w:val="32"/>
        </w:rPr>
        <w:t>、驻村工作补贴</w:t>
      </w:r>
      <w:r>
        <w:rPr>
          <w:rFonts w:hint="eastAsia"/>
          <w:color w:val="000000" w:themeColor="text1"/>
          <w:szCs w:val="32"/>
        </w:rPr>
        <w:t>万元</w:t>
      </w:r>
      <w:r>
        <w:rPr>
          <w:rFonts w:hint="eastAsia"/>
          <w:color w:val="000000" w:themeColor="text1"/>
          <w:szCs w:val="32"/>
        </w:rPr>
        <w:t>1.06</w:t>
      </w:r>
      <w:r>
        <w:rPr>
          <w:color w:val="000000" w:themeColor="text1"/>
          <w:szCs w:val="32"/>
        </w:rPr>
        <w:t>、事业单位公招考试费用</w:t>
      </w:r>
      <w:r>
        <w:rPr>
          <w:rFonts w:hint="eastAsia"/>
          <w:color w:val="000000" w:themeColor="text1"/>
          <w:szCs w:val="32"/>
        </w:rPr>
        <w:t>109.6</w:t>
      </w:r>
      <w:r>
        <w:rPr>
          <w:rFonts w:hint="eastAsia"/>
          <w:color w:val="000000" w:themeColor="text1"/>
          <w:szCs w:val="32"/>
        </w:rPr>
        <w:lastRenderedPageBreak/>
        <w:t>万元</w:t>
      </w:r>
      <w:r>
        <w:rPr>
          <w:color w:val="000000" w:themeColor="text1"/>
          <w:szCs w:val="32"/>
        </w:rPr>
        <w:t>、鸿雁计划人才奖励</w:t>
      </w:r>
      <w:r>
        <w:rPr>
          <w:rFonts w:hint="eastAsia"/>
          <w:color w:val="000000" w:themeColor="text1"/>
          <w:szCs w:val="32"/>
        </w:rPr>
        <w:t>29</w:t>
      </w:r>
      <w:r>
        <w:rPr>
          <w:rFonts w:hint="eastAsia"/>
          <w:color w:val="000000" w:themeColor="text1"/>
          <w:szCs w:val="32"/>
        </w:rPr>
        <w:t>万元、人力资源和社会保障专项经费</w:t>
      </w:r>
      <w:r>
        <w:rPr>
          <w:rFonts w:hint="eastAsia"/>
          <w:color w:val="000000" w:themeColor="text1"/>
          <w:szCs w:val="32"/>
        </w:rPr>
        <w:t>20</w:t>
      </w:r>
      <w:r>
        <w:rPr>
          <w:rFonts w:hint="eastAsia"/>
          <w:color w:val="000000" w:themeColor="text1"/>
          <w:szCs w:val="32"/>
        </w:rPr>
        <w:t>万元、人社局本级编外人员经费</w:t>
      </w:r>
      <w:r>
        <w:rPr>
          <w:rFonts w:hint="eastAsia"/>
          <w:color w:val="000000" w:themeColor="text1"/>
          <w:szCs w:val="32"/>
        </w:rPr>
        <w:t>3.84</w:t>
      </w:r>
      <w:r>
        <w:rPr>
          <w:rFonts w:hint="eastAsia"/>
          <w:color w:val="000000" w:themeColor="text1"/>
          <w:szCs w:val="32"/>
        </w:rPr>
        <w:t>万元、退休一次性补贴</w:t>
      </w:r>
      <w:r>
        <w:rPr>
          <w:rFonts w:hint="eastAsia"/>
          <w:color w:val="000000" w:themeColor="text1"/>
          <w:szCs w:val="32"/>
        </w:rPr>
        <w:t>4.85</w:t>
      </w:r>
      <w:r>
        <w:rPr>
          <w:rFonts w:hint="eastAsia"/>
          <w:color w:val="000000" w:themeColor="text1"/>
          <w:szCs w:val="32"/>
        </w:rPr>
        <w:t>万元。</w:t>
      </w:r>
      <w:r>
        <w:rPr>
          <w:color w:val="000000" w:themeColor="text1"/>
          <w:szCs w:val="32"/>
        </w:rPr>
        <w:t>下达资金均已使用完毕，资金使用率</w:t>
      </w:r>
      <w:r>
        <w:rPr>
          <w:rFonts w:hint="eastAsia"/>
          <w:color w:val="000000" w:themeColor="text1"/>
          <w:szCs w:val="32"/>
        </w:rPr>
        <w:t>100</w:t>
      </w:r>
      <w:r>
        <w:rPr>
          <w:color w:val="000000" w:themeColor="text1"/>
          <w:szCs w:val="32"/>
        </w:rPr>
        <w:t>%</w:t>
      </w:r>
      <w:r>
        <w:rPr>
          <w:color w:val="000000" w:themeColor="text1"/>
          <w:szCs w:val="32"/>
        </w:rPr>
        <w:t>。</w:t>
      </w:r>
    </w:p>
    <w:p w14:paraId="2A5350E3" w14:textId="77777777" w:rsidR="00B11D74" w:rsidRDefault="00000000">
      <w:pPr>
        <w:numPr>
          <w:ilvl w:val="0"/>
          <w:numId w:val="1"/>
        </w:numPr>
        <w:overflowPunct w:val="0"/>
        <w:spacing w:line="600" w:lineRule="exact"/>
        <w:ind w:firstLineChars="200" w:firstLine="640"/>
        <w:jc w:val="both"/>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职能职责</w:t>
      </w:r>
    </w:p>
    <w:p w14:paraId="5952D0EE" w14:textId="77777777" w:rsidR="00B11D74" w:rsidRDefault="00000000">
      <w:pPr>
        <w:spacing w:line="600" w:lineRule="exact"/>
        <w:ind w:firstLineChars="200" w:firstLine="640"/>
        <w:rPr>
          <w:szCs w:val="32"/>
        </w:rPr>
      </w:pPr>
      <w:r>
        <w:rPr>
          <w:szCs w:val="32"/>
        </w:rPr>
        <w:t>1.</w:t>
      </w:r>
      <w:r>
        <w:rPr>
          <w:szCs w:val="32"/>
        </w:rPr>
        <w:t>贯彻执行人力资源和社会保障法律、法规、规章和方针政策；拟订人力资源和社会保障事业发展规划、政策措施，并组织实施和监督检查；拟订机构改革人员定岗和分流政策。</w:t>
      </w:r>
      <w:r>
        <w:rPr>
          <w:szCs w:val="32"/>
        </w:rPr>
        <w:t xml:space="preserve"> </w:t>
      </w:r>
    </w:p>
    <w:p w14:paraId="59262AB4" w14:textId="77777777" w:rsidR="00B11D74" w:rsidRDefault="00000000">
      <w:pPr>
        <w:spacing w:line="600" w:lineRule="exact"/>
        <w:ind w:firstLineChars="200" w:firstLine="640"/>
        <w:rPr>
          <w:szCs w:val="32"/>
        </w:rPr>
      </w:pPr>
      <w:r>
        <w:rPr>
          <w:szCs w:val="32"/>
        </w:rPr>
        <w:t>2.</w:t>
      </w:r>
      <w:r>
        <w:rPr>
          <w:szCs w:val="32"/>
        </w:rPr>
        <w:t>拟订人力资源市场发展规划和人力资源服务业发展、人力资源流动政策，综合管理人力资源市场和人力资源开发培训、流动调配等工作。</w:t>
      </w:r>
      <w:r>
        <w:rPr>
          <w:szCs w:val="32"/>
        </w:rPr>
        <w:t xml:space="preserve"> </w:t>
      </w:r>
    </w:p>
    <w:p w14:paraId="284118FA" w14:textId="77777777" w:rsidR="00B11D74" w:rsidRDefault="00000000">
      <w:pPr>
        <w:spacing w:line="600" w:lineRule="exact"/>
        <w:ind w:firstLineChars="200" w:firstLine="640"/>
        <w:rPr>
          <w:szCs w:val="32"/>
        </w:rPr>
      </w:pPr>
      <w:r>
        <w:rPr>
          <w:szCs w:val="32"/>
        </w:rPr>
        <w:t>3.</w:t>
      </w:r>
      <w:r>
        <w:rPr>
          <w:szCs w:val="32"/>
        </w:rPr>
        <w:t>负责促进就业工作，拟订统筹城乡的就业发展规划和政策，完善公共就业服务体系；完善公用就业创业服务体系，统筹建立面向城乡劳动者的职业技能培训制度，拟定就业援助制度，牵头拟订高校毕业生就业政策。</w:t>
      </w:r>
    </w:p>
    <w:p w14:paraId="646803A3" w14:textId="77777777" w:rsidR="00B11D74" w:rsidRDefault="00000000">
      <w:pPr>
        <w:spacing w:line="600" w:lineRule="exact"/>
        <w:ind w:firstLineChars="200" w:firstLine="640"/>
        <w:rPr>
          <w:szCs w:val="32"/>
        </w:rPr>
      </w:pPr>
      <w:r>
        <w:rPr>
          <w:szCs w:val="32"/>
        </w:rPr>
        <w:t>4.</w:t>
      </w:r>
      <w:r>
        <w:rPr>
          <w:szCs w:val="32"/>
        </w:rPr>
        <w:t>统筹推进建立覆盖城乡的多层次社会保障体系，负责城乡社会保险及其补充保险政策的组织实施工作；承担社会保险及其补充保险基金行政监督责任。会同有关部门实施全民参保计划。</w:t>
      </w:r>
    </w:p>
    <w:p w14:paraId="056075BC" w14:textId="77777777" w:rsidR="00B11D74" w:rsidRDefault="00000000">
      <w:pPr>
        <w:spacing w:line="600" w:lineRule="exact"/>
        <w:ind w:firstLineChars="200" w:firstLine="640"/>
        <w:rPr>
          <w:szCs w:val="32"/>
        </w:rPr>
      </w:pPr>
      <w:r>
        <w:rPr>
          <w:szCs w:val="32"/>
        </w:rPr>
        <w:t>5.</w:t>
      </w:r>
      <w:r>
        <w:rPr>
          <w:szCs w:val="32"/>
        </w:rPr>
        <w:t>负责就业、失业和相关社会保险基金预测预警和信息引导，拟订应对预案，实施预防、调节和控制，保持就业形势稳定和相关社会保险基金总体收支平衡。</w:t>
      </w:r>
    </w:p>
    <w:p w14:paraId="609167E4" w14:textId="77777777" w:rsidR="00B11D74" w:rsidRDefault="00000000">
      <w:pPr>
        <w:spacing w:line="600" w:lineRule="exact"/>
        <w:ind w:firstLineChars="200" w:firstLine="640"/>
        <w:rPr>
          <w:szCs w:val="32"/>
        </w:rPr>
      </w:pPr>
      <w:r>
        <w:rPr>
          <w:szCs w:val="32"/>
        </w:rPr>
        <w:lastRenderedPageBreak/>
        <w:t>6.</w:t>
      </w:r>
      <w:r>
        <w:rPr>
          <w:szCs w:val="32"/>
        </w:rPr>
        <w:t>统筹实施劳动人事争议调解仲裁制度和劳动关系政策，完善劳动关系协商协调机制，贯彻职工工作时间、休息休假和假期制度，贯彻消除非法使用童工政策和女工、未成年工的特殊劳动保护政策。组织实施劳动保障监察，协调劳动者维权工作，依法查处重大案件。</w:t>
      </w:r>
    </w:p>
    <w:p w14:paraId="454B7151" w14:textId="77777777" w:rsidR="00B11D74" w:rsidRDefault="00000000">
      <w:pPr>
        <w:spacing w:line="600" w:lineRule="exact"/>
        <w:ind w:firstLineChars="200" w:firstLine="640"/>
        <w:rPr>
          <w:szCs w:val="32"/>
        </w:rPr>
      </w:pPr>
      <w:r>
        <w:rPr>
          <w:szCs w:val="32"/>
        </w:rPr>
        <w:t>7.</w:t>
      </w:r>
      <w:r>
        <w:rPr>
          <w:szCs w:val="32"/>
        </w:rPr>
        <w:t>参与拟订全县人才队伍建设的总体规划、法规政策等工作。负责县级有关重点人才项目的组织实施和监督检查。负责拟订人才引进政策。</w:t>
      </w:r>
    </w:p>
    <w:p w14:paraId="7A4701F2" w14:textId="77777777" w:rsidR="00B11D74" w:rsidRDefault="00000000">
      <w:pPr>
        <w:spacing w:line="600" w:lineRule="exact"/>
        <w:ind w:firstLineChars="200" w:firstLine="640"/>
        <w:rPr>
          <w:szCs w:val="32"/>
        </w:rPr>
      </w:pPr>
      <w:r>
        <w:rPr>
          <w:szCs w:val="32"/>
        </w:rPr>
        <w:t>8.</w:t>
      </w:r>
      <w:r>
        <w:rPr>
          <w:szCs w:val="32"/>
        </w:rPr>
        <w:t>负责专业技术人才队伍和高技能人才队伍建设。牵头推进深化职称制度改革工作，实施专业技术人员管理、继续教育和博士后管理等政策，负责高层次专业技术人才选拔和培养工作。拟订技能人才培养、评价、使用和激励政策，完善职业资格制度，健全职业技能多元化评价政策。牵头组织紧缺优秀人才的引进工作。负责专家、高层次人才服务工作。</w:t>
      </w:r>
    </w:p>
    <w:p w14:paraId="112292BC" w14:textId="77777777" w:rsidR="00B11D74" w:rsidRDefault="00000000">
      <w:pPr>
        <w:spacing w:line="600" w:lineRule="exact"/>
        <w:ind w:firstLineChars="200" w:firstLine="640"/>
        <w:rPr>
          <w:szCs w:val="32"/>
        </w:rPr>
      </w:pPr>
      <w:r>
        <w:rPr>
          <w:szCs w:val="32"/>
        </w:rPr>
        <w:t>9.</w:t>
      </w:r>
      <w:r>
        <w:rPr>
          <w:szCs w:val="32"/>
        </w:rPr>
        <w:t>会同相关部门指导推进事业单位人事制度改革，按照管理权限负责规范事业单位岗位设置、公开招聘、聘用合同、人员交流等人事综合管理工作，拟订并组织实施事业单位人员和机关工勤人员管理政策。</w:t>
      </w:r>
    </w:p>
    <w:p w14:paraId="7663E679" w14:textId="77777777" w:rsidR="00B11D74" w:rsidRDefault="00000000">
      <w:pPr>
        <w:spacing w:line="600" w:lineRule="exact"/>
        <w:ind w:firstLineChars="200" w:firstLine="640"/>
        <w:rPr>
          <w:szCs w:val="32"/>
        </w:rPr>
      </w:pPr>
      <w:r>
        <w:rPr>
          <w:szCs w:val="32"/>
        </w:rPr>
        <w:t>10.</w:t>
      </w:r>
      <w:r>
        <w:rPr>
          <w:szCs w:val="32"/>
        </w:rPr>
        <w:t>综合管理全县表彰奖励工作，审核县委、县政府及以上机关奖励表彰事宜及项目名单。根据授权承办县级表彰奖励活动。</w:t>
      </w:r>
    </w:p>
    <w:p w14:paraId="718DA84A" w14:textId="77777777" w:rsidR="00B11D74" w:rsidRDefault="00000000">
      <w:pPr>
        <w:spacing w:line="600" w:lineRule="exact"/>
        <w:ind w:firstLineChars="150" w:firstLine="480"/>
        <w:rPr>
          <w:szCs w:val="32"/>
        </w:rPr>
      </w:pPr>
      <w:r>
        <w:rPr>
          <w:szCs w:val="32"/>
        </w:rPr>
        <w:lastRenderedPageBreak/>
        <w:t>11.</w:t>
      </w:r>
      <w:r>
        <w:rPr>
          <w:szCs w:val="32"/>
        </w:rPr>
        <w:t>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w:t>
      </w:r>
      <w:r>
        <w:rPr>
          <w:szCs w:val="32"/>
        </w:rPr>
        <w:t xml:space="preserve"> </w:t>
      </w:r>
    </w:p>
    <w:p w14:paraId="627E144B" w14:textId="77777777" w:rsidR="00B11D74" w:rsidRDefault="00000000">
      <w:pPr>
        <w:spacing w:line="600" w:lineRule="exact"/>
        <w:ind w:firstLineChars="200" w:firstLine="640"/>
        <w:rPr>
          <w:szCs w:val="32"/>
        </w:rPr>
      </w:pPr>
      <w:r>
        <w:rPr>
          <w:szCs w:val="32"/>
        </w:rPr>
        <w:t>12.</w:t>
      </w:r>
      <w:r>
        <w:rPr>
          <w:szCs w:val="32"/>
        </w:rPr>
        <w:t>会同有关部门贯彻落实农民工工作综合性政策和规划，组织实施相关配套政策，协调解决重点难点问题，维护农民工合法权益。</w:t>
      </w:r>
    </w:p>
    <w:p w14:paraId="19DD735D" w14:textId="77777777" w:rsidR="00B11D74" w:rsidRDefault="00000000">
      <w:pPr>
        <w:spacing w:line="600" w:lineRule="exact"/>
        <w:ind w:firstLineChars="200" w:firstLine="640"/>
        <w:rPr>
          <w:szCs w:val="32"/>
        </w:rPr>
      </w:pPr>
      <w:r>
        <w:rPr>
          <w:szCs w:val="32"/>
        </w:rPr>
        <w:t>13.</w:t>
      </w:r>
      <w:r>
        <w:rPr>
          <w:szCs w:val="32"/>
        </w:rPr>
        <w:t>负责机关、直属单位和主管的社会组织党建工作、安全监管和信访稳定工作。</w:t>
      </w:r>
      <w:r>
        <w:rPr>
          <w:szCs w:val="32"/>
        </w:rPr>
        <w:t xml:space="preserve"> </w:t>
      </w:r>
    </w:p>
    <w:p w14:paraId="5F9F82C3" w14:textId="77777777" w:rsidR="00B11D74" w:rsidRDefault="00000000">
      <w:pPr>
        <w:spacing w:line="600" w:lineRule="exact"/>
        <w:ind w:firstLineChars="200" w:firstLine="640"/>
      </w:pPr>
      <w:r>
        <w:rPr>
          <w:szCs w:val="32"/>
        </w:rPr>
        <w:t>14.</w:t>
      </w:r>
      <w:r>
        <w:rPr>
          <w:szCs w:val="32"/>
        </w:rPr>
        <w:t>完成县委和县政府交办的其他任务。</w:t>
      </w:r>
    </w:p>
    <w:p w14:paraId="056853BA" w14:textId="77777777" w:rsidR="00B11D74" w:rsidRDefault="00000000">
      <w:pPr>
        <w:overflowPunct w:val="0"/>
        <w:spacing w:line="600" w:lineRule="exact"/>
        <w:ind w:firstLineChars="200" w:firstLine="640"/>
        <w:jc w:val="both"/>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（三）项目绩效目标</w:t>
      </w:r>
    </w:p>
    <w:p w14:paraId="0E60B4BB" w14:textId="77777777" w:rsidR="00B11D74" w:rsidRDefault="00000000">
      <w:pPr>
        <w:pStyle w:val="6"/>
        <w:spacing w:before="0" w:after="0" w:line="600" w:lineRule="exact"/>
        <w:ind w:firstLineChars="200" w:firstLine="640"/>
        <w:rPr>
          <w:rFonts w:ascii="Times New Roman" w:eastAsia="方正仿宋_GBK" w:hAnsi="Times New Roman" w:cs="Times New Roman"/>
          <w:b w:val="0"/>
          <w:bCs w:val="0"/>
          <w:color w:val="000000" w:themeColor="text1"/>
          <w:sz w:val="32"/>
          <w:szCs w:val="32"/>
        </w:rPr>
      </w:pPr>
      <w:r>
        <w:rPr>
          <w:rFonts w:ascii="Times New Roman" w:eastAsia="方正仿宋_GBK" w:hAnsi="Times New Roman" w:cs="Times New Roman"/>
          <w:b w:val="0"/>
          <w:bCs w:val="0"/>
          <w:color w:val="000000" w:themeColor="text1"/>
          <w:sz w:val="32"/>
          <w:szCs w:val="32"/>
        </w:rPr>
        <w:t>具体详见各项目绩效自评表（附件</w:t>
      </w:r>
      <w:r>
        <w:rPr>
          <w:rFonts w:ascii="Times New Roman" w:eastAsia="方正仿宋_GBK" w:hAnsi="Times New Roman" w:cs="Times New Roman"/>
          <w:b w:val="0"/>
          <w:bCs w:val="0"/>
          <w:color w:val="000000" w:themeColor="text1"/>
          <w:sz w:val="32"/>
          <w:szCs w:val="32"/>
        </w:rPr>
        <w:t>1</w:t>
      </w:r>
      <w:r>
        <w:rPr>
          <w:rFonts w:ascii="Times New Roman" w:eastAsia="方正仿宋_GBK" w:hAnsi="Times New Roman" w:cs="Times New Roman"/>
          <w:b w:val="0"/>
          <w:bCs w:val="0"/>
          <w:color w:val="000000" w:themeColor="text1"/>
          <w:sz w:val="32"/>
          <w:szCs w:val="32"/>
        </w:rPr>
        <w:t>）。</w:t>
      </w:r>
    </w:p>
    <w:p w14:paraId="2F021937" w14:textId="77777777" w:rsidR="00B11D74" w:rsidRDefault="00000000">
      <w:pPr>
        <w:overflowPunct w:val="0"/>
        <w:spacing w:line="600" w:lineRule="exact"/>
        <w:ind w:firstLineChars="200" w:firstLine="640"/>
        <w:jc w:val="both"/>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二、绩效分析及评价结论</w:t>
      </w:r>
    </w:p>
    <w:p w14:paraId="7E8E1E0E" w14:textId="77777777" w:rsidR="00B11D74" w:rsidRDefault="00000000">
      <w:pPr>
        <w:spacing w:line="600" w:lineRule="exact"/>
        <w:ind w:firstLineChars="200" w:firstLine="640"/>
        <w:jc w:val="both"/>
        <w:rPr>
          <w:color w:val="000000" w:themeColor="text1"/>
          <w:szCs w:val="32"/>
        </w:rPr>
      </w:pPr>
      <w:r>
        <w:rPr>
          <w:color w:val="000000" w:themeColor="text1"/>
          <w:szCs w:val="32"/>
        </w:rPr>
        <w:t>评价工作组通过资</w:t>
      </w:r>
      <w:r>
        <w:rPr>
          <w:color w:val="000000" w:themeColor="text1"/>
          <w:spacing w:val="-10"/>
          <w:szCs w:val="32"/>
        </w:rPr>
        <w:t>料收集分析、指标体系搭建等方式，对人社局</w:t>
      </w:r>
      <w:r>
        <w:rPr>
          <w:color w:val="000000" w:themeColor="text1"/>
          <w:spacing w:val="-10"/>
          <w:szCs w:val="32"/>
        </w:rPr>
        <w:t>1</w:t>
      </w:r>
      <w:r>
        <w:rPr>
          <w:rFonts w:hint="eastAsia"/>
          <w:color w:val="000000" w:themeColor="text1"/>
          <w:spacing w:val="-10"/>
          <w:szCs w:val="32"/>
        </w:rPr>
        <w:t>3</w:t>
      </w:r>
      <w:r>
        <w:rPr>
          <w:color w:val="000000" w:themeColor="text1"/>
          <w:spacing w:val="-10"/>
          <w:szCs w:val="32"/>
        </w:rPr>
        <w:t>个项目进行综合绩效评分。</w:t>
      </w:r>
      <w:r>
        <w:rPr>
          <w:color w:val="000000" w:themeColor="text1"/>
          <w:szCs w:val="32"/>
        </w:rPr>
        <w:t>1</w:t>
      </w:r>
      <w:r>
        <w:rPr>
          <w:rFonts w:hint="eastAsia"/>
          <w:color w:val="000000" w:themeColor="text1"/>
          <w:szCs w:val="32"/>
        </w:rPr>
        <w:t>3</w:t>
      </w:r>
      <w:r>
        <w:rPr>
          <w:color w:val="000000" w:themeColor="text1"/>
          <w:szCs w:val="32"/>
        </w:rPr>
        <w:t>个项目自评绩效评级为优，达到预期绩效目标。具体详见各项目绩效自评表（附件</w:t>
      </w:r>
      <w:r>
        <w:rPr>
          <w:color w:val="000000" w:themeColor="text1"/>
          <w:szCs w:val="32"/>
        </w:rPr>
        <w:t>1</w:t>
      </w:r>
      <w:r>
        <w:rPr>
          <w:color w:val="000000" w:themeColor="text1"/>
          <w:szCs w:val="32"/>
        </w:rPr>
        <w:t>）。</w:t>
      </w:r>
    </w:p>
    <w:p w14:paraId="2D23FF71" w14:textId="77777777" w:rsidR="00B11D74" w:rsidRDefault="00000000">
      <w:pPr>
        <w:overflowPunct w:val="0"/>
        <w:spacing w:line="600" w:lineRule="exact"/>
        <w:ind w:firstLineChars="200" w:firstLine="640"/>
        <w:jc w:val="both"/>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三、存在的问题</w:t>
      </w:r>
    </w:p>
    <w:p w14:paraId="590B4B5F" w14:textId="77777777" w:rsidR="00B11D74" w:rsidRDefault="00000000">
      <w:pPr>
        <w:overflowPunct w:val="0"/>
        <w:spacing w:line="600" w:lineRule="exact"/>
        <w:ind w:firstLineChars="200" w:firstLine="640"/>
        <w:jc w:val="both"/>
        <w:rPr>
          <w:color w:val="000000" w:themeColor="text1"/>
          <w:szCs w:val="32"/>
        </w:rPr>
      </w:pPr>
      <w:bookmarkStart w:id="0" w:name="_Toc22671_WPSOffice_Level2"/>
      <w:bookmarkStart w:id="1" w:name="_Toc31349_WPSOffice_Level2"/>
      <w:bookmarkStart w:id="2" w:name="_Toc5419_WPSOffice_Level2"/>
      <w:r>
        <w:rPr>
          <w:color w:val="000000" w:themeColor="text1"/>
          <w:szCs w:val="32"/>
        </w:rPr>
        <w:t>少数项目绩效目标设置不够科学，绩效指标细化量化但部分指标缺乏合理性，产出指标及效益指标有待优化。</w:t>
      </w:r>
    </w:p>
    <w:p w14:paraId="215753A1" w14:textId="77777777" w:rsidR="00B11D74" w:rsidRDefault="00000000">
      <w:pPr>
        <w:overflowPunct w:val="0"/>
        <w:spacing w:line="600" w:lineRule="exact"/>
        <w:ind w:firstLineChars="200" w:firstLine="640"/>
        <w:jc w:val="both"/>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lastRenderedPageBreak/>
        <w:t>四、改进措施</w:t>
      </w:r>
      <w:bookmarkEnd w:id="0"/>
      <w:bookmarkEnd w:id="1"/>
      <w:bookmarkEnd w:id="2"/>
    </w:p>
    <w:p w14:paraId="2E301258" w14:textId="77777777" w:rsidR="00B11D74" w:rsidRDefault="00000000">
      <w:pPr>
        <w:overflowPunct w:val="0"/>
        <w:spacing w:line="600" w:lineRule="exact"/>
        <w:ind w:firstLineChars="200" w:firstLine="640"/>
        <w:jc w:val="both"/>
        <w:rPr>
          <w:color w:val="000000" w:themeColor="text1"/>
          <w:szCs w:val="32"/>
        </w:rPr>
      </w:pPr>
      <w:r>
        <w:rPr>
          <w:color w:val="000000" w:themeColor="text1"/>
          <w:szCs w:val="32"/>
        </w:rPr>
        <w:t>1</w:t>
      </w:r>
      <w:r>
        <w:rPr>
          <w:rFonts w:hint="eastAsia"/>
          <w:color w:val="000000" w:themeColor="text1"/>
          <w:szCs w:val="32"/>
        </w:rPr>
        <w:t>.</w:t>
      </w:r>
      <w:r>
        <w:rPr>
          <w:color w:val="000000" w:themeColor="text1"/>
          <w:szCs w:val="32"/>
        </w:rPr>
        <w:t>加大项目过程管理监督的力度，建议从项目立项、项目实施、项目进度到项目竣工验收加强项目监管工作。</w:t>
      </w:r>
    </w:p>
    <w:p w14:paraId="053C7F0E" w14:textId="77777777" w:rsidR="00B11D74" w:rsidRDefault="00000000">
      <w:pPr>
        <w:overflowPunct w:val="0"/>
        <w:spacing w:line="600" w:lineRule="exact"/>
        <w:ind w:firstLineChars="200" w:firstLine="640"/>
        <w:jc w:val="both"/>
        <w:rPr>
          <w:color w:val="000000" w:themeColor="text1"/>
          <w:szCs w:val="32"/>
        </w:rPr>
      </w:pPr>
      <w:r>
        <w:rPr>
          <w:color w:val="000000" w:themeColor="text1"/>
          <w:szCs w:val="32"/>
        </w:rPr>
        <w:t>2</w:t>
      </w:r>
      <w:r>
        <w:rPr>
          <w:rFonts w:hint="eastAsia"/>
          <w:color w:val="000000" w:themeColor="text1"/>
          <w:szCs w:val="32"/>
        </w:rPr>
        <w:t>.</w:t>
      </w:r>
      <w:r>
        <w:rPr>
          <w:color w:val="000000" w:themeColor="text1"/>
          <w:szCs w:val="32"/>
        </w:rPr>
        <w:t>加强项目统筹管理。明确项目实施进度计划，加强执行中的过程管理和监督机制，保障工程进度，提高项目管理水平。对于无法按进度实施工作或无法按时完成工作的相关责任人，应落实项目绩效考核制度，坚持将绩效考核结果与单位奖励挂钩。</w:t>
      </w:r>
    </w:p>
    <w:p w14:paraId="7CE301B1" w14:textId="77777777" w:rsidR="00B11D74" w:rsidRDefault="00000000">
      <w:pPr>
        <w:spacing w:line="600" w:lineRule="exact"/>
        <w:ind w:firstLineChars="200" w:firstLine="640"/>
        <w:rPr>
          <w:rFonts w:ascii="方正黑体_GBK" w:eastAsia="方正黑体_GBK"/>
          <w:bCs/>
          <w:szCs w:val="32"/>
        </w:rPr>
      </w:pPr>
      <w:r>
        <w:rPr>
          <w:rFonts w:ascii="方正黑体_GBK" w:eastAsia="方正黑体_GBK" w:hint="eastAsia"/>
          <w:bCs/>
          <w:szCs w:val="32"/>
        </w:rPr>
        <w:t>五、绩效自评结果拟应用和公开情况</w:t>
      </w:r>
    </w:p>
    <w:p w14:paraId="2BC4D9B0" w14:textId="77777777" w:rsidR="00B11D74" w:rsidRDefault="00000000">
      <w:pPr>
        <w:pStyle w:val="6"/>
        <w:spacing w:before="0" w:after="0" w:line="600" w:lineRule="exact"/>
        <w:ind w:firstLineChars="200" w:firstLine="640"/>
        <w:rPr>
          <w:rFonts w:ascii="Times New Roman" w:eastAsia="方正仿宋_GBK" w:hAnsi="Times New Roman" w:cs="Times New Roman"/>
          <w:b w:val="0"/>
          <w:bCs w:val="0"/>
          <w:color w:val="000000" w:themeColor="text1"/>
          <w:sz w:val="32"/>
          <w:szCs w:val="32"/>
        </w:rPr>
      </w:pPr>
      <w:r>
        <w:rPr>
          <w:rFonts w:ascii="Times New Roman" w:eastAsia="方正仿宋_GBK" w:hAnsi="Times New Roman" w:cs="Times New Roman"/>
          <w:b w:val="0"/>
          <w:bCs w:val="0"/>
          <w:color w:val="000000" w:themeColor="text1"/>
          <w:sz w:val="32"/>
          <w:szCs w:val="32"/>
        </w:rPr>
        <w:t>绩效自评结果将在丰都县人民政府网站上进行公开，绩效评价结果与下年度资金安排直接挂钩。</w:t>
      </w:r>
    </w:p>
    <w:p w14:paraId="39E00E7A" w14:textId="77777777" w:rsidR="00B11D74" w:rsidRDefault="00B11D74">
      <w:pPr>
        <w:overflowPunct w:val="0"/>
        <w:spacing w:line="600" w:lineRule="exact"/>
        <w:ind w:firstLineChars="1300" w:firstLine="4160"/>
        <w:jc w:val="both"/>
        <w:rPr>
          <w:color w:val="000000" w:themeColor="text1"/>
          <w:szCs w:val="32"/>
        </w:rPr>
      </w:pPr>
    </w:p>
    <w:p w14:paraId="63983A7B" w14:textId="77777777" w:rsidR="00B11D74" w:rsidRDefault="00B11D74">
      <w:pPr>
        <w:overflowPunct w:val="0"/>
        <w:spacing w:line="600" w:lineRule="exact"/>
        <w:ind w:firstLineChars="1300" w:firstLine="4160"/>
        <w:jc w:val="both"/>
        <w:rPr>
          <w:color w:val="000000" w:themeColor="text1"/>
          <w:szCs w:val="32"/>
        </w:rPr>
      </w:pPr>
    </w:p>
    <w:p w14:paraId="62086A8E" w14:textId="77777777" w:rsidR="00B11D74" w:rsidRDefault="00000000">
      <w:pPr>
        <w:overflowPunct w:val="0"/>
        <w:spacing w:line="600" w:lineRule="exact"/>
        <w:ind w:firstLineChars="1300" w:firstLine="4160"/>
        <w:jc w:val="both"/>
        <w:rPr>
          <w:color w:val="000000" w:themeColor="text1"/>
          <w:szCs w:val="32"/>
        </w:rPr>
      </w:pPr>
      <w:r>
        <w:rPr>
          <w:color w:val="000000" w:themeColor="text1"/>
          <w:szCs w:val="32"/>
        </w:rPr>
        <w:t>丰都县人力资源和社会保障局</w:t>
      </w:r>
    </w:p>
    <w:p w14:paraId="77ECBCAC" w14:textId="77777777" w:rsidR="00B11D74" w:rsidRDefault="00000000">
      <w:pPr>
        <w:pStyle w:val="6"/>
        <w:spacing w:before="0"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b w:val="0"/>
          <w:bCs w:val="0"/>
          <w:color w:val="000000" w:themeColor="text1"/>
          <w:sz w:val="32"/>
          <w:szCs w:val="32"/>
        </w:rPr>
        <w:t xml:space="preserve">                                202</w:t>
      </w:r>
      <w:r>
        <w:rPr>
          <w:rFonts w:ascii="Times New Roman" w:eastAsia="方正仿宋_GBK" w:hAnsi="Times New Roman" w:cs="Times New Roman" w:hint="eastAsia"/>
          <w:b w:val="0"/>
          <w:bCs w:val="0"/>
          <w:color w:val="000000" w:themeColor="text1"/>
          <w:sz w:val="32"/>
          <w:szCs w:val="32"/>
        </w:rPr>
        <w:t>4</w:t>
      </w:r>
      <w:r>
        <w:rPr>
          <w:rFonts w:ascii="Times New Roman" w:eastAsia="方正仿宋_GBK" w:hAnsi="Times New Roman" w:cs="Times New Roman"/>
          <w:b w:val="0"/>
          <w:bCs w:val="0"/>
          <w:color w:val="000000" w:themeColor="text1"/>
          <w:sz w:val="32"/>
          <w:szCs w:val="32"/>
        </w:rPr>
        <w:t>年</w:t>
      </w:r>
      <w:r>
        <w:rPr>
          <w:rFonts w:ascii="Times New Roman" w:eastAsia="方正仿宋_GBK" w:hAnsi="Times New Roman" w:cs="Times New Roman" w:hint="eastAsia"/>
          <w:b w:val="0"/>
          <w:bCs w:val="0"/>
          <w:color w:val="000000" w:themeColor="text1"/>
          <w:sz w:val="32"/>
          <w:szCs w:val="32"/>
        </w:rPr>
        <w:t>4</w:t>
      </w:r>
      <w:r>
        <w:rPr>
          <w:rFonts w:ascii="Times New Roman" w:eastAsia="方正仿宋_GBK" w:hAnsi="Times New Roman" w:cs="Times New Roman"/>
          <w:b w:val="0"/>
          <w:bCs w:val="0"/>
          <w:color w:val="000000" w:themeColor="text1"/>
          <w:sz w:val="32"/>
          <w:szCs w:val="32"/>
        </w:rPr>
        <w:t>月</w:t>
      </w:r>
      <w:r>
        <w:rPr>
          <w:rFonts w:ascii="Times New Roman" w:eastAsia="方正仿宋_GBK" w:hAnsi="Times New Roman" w:cs="Times New Roman" w:hint="eastAsia"/>
          <w:b w:val="0"/>
          <w:bCs w:val="0"/>
          <w:color w:val="000000" w:themeColor="text1"/>
          <w:sz w:val="32"/>
          <w:szCs w:val="32"/>
        </w:rPr>
        <w:t>30</w:t>
      </w:r>
      <w:r>
        <w:rPr>
          <w:rFonts w:ascii="Times New Roman" w:eastAsia="方正仿宋_GBK" w:hAnsi="Times New Roman" w:cs="Times New Roman"/>
          <w:b w:val="0"/>
          <w:bCs w:val="0"/>
          <w:color w:val="000000" w:themeColor="text1"/>
          <w:sz w:val="32"/>
          <w:szCs w:val="32"/>
        </w:rPr>
        <w:t>日</w:t>
      </w:r>
    </w:p>
    <w:sectPr w:rsidR="00B11D74">
      <w:footerReference w:type="even" r:id="rId8"/>
      <w:footerReference w:type="default" r:id="rId9"/>
      <w:pgSz w:w="11907" w:h="16840"/>
      <w:pgMar w:top="2098" w:right="1474" w:bottom="1984"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E3CC" w14:textId="77777777" w:rsidR="00C97273" w:rsidRDefault="00C97273">
      <w:pPr>
        <w:spacing w:line="240" w:lineRule="auto"/>
      </w:pPr>
      <w:r>
        <w:separator/>
      </w:r>
    </w:p>
  </w:endnote>
  <w:endnote w:type="continuationSeparator" w:id="0">
    <w:p w14:paraId="65111ADD" w14:textId="77777777" w:rsidR="00C97273" w:rsidRDefault="00C97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6639" w14:textId="77777777" w:rsidR="00B11D74" w:rsidRDefault="00000000">
    <w:pPr>
      <w:tabs>
        <w:tab w:val="center" w:pos="4153"/>
        <w:tab w:val="right" w:pos="8306"/>
      </w:tabs>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14:anchorId="085D97F9" wp14:editId="099BF377">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C385F" w14:textId="77777777" w:rsidR="00B11D74" w:rsidRDefault="00000000">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5D97F9" id="_x0000_t202" coordsize="21600,21600" o:spt="202" path="m,l,21600r21600,l21600,xe">
              <v:stroke joinstyle="miter"/>
              <v:path gradientshapeok="t" o:connecttype="rect"/>
            </v:shapetype>
            <v:shape id="文本框 8"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4C385F" w14:textId="77777777" w:rsidR="00B11D74" w:rsidRDefault="00000000">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3992" w14:textId="77777777" w:rsidR="00B11D74" w:rsidRDefault="00000000">
    <w:pPr>
      <w:tabs>
        <w:tab w:val="center" w:pos="4153"/>
        <w:tab w:val="right" w:pos="8306"/>
      </w:tabs>
    </w:pPr>
    <w:r>
      <w:rPr>
        <w:noProof/>
      </w:rPr>
      <mc:AlternateContent>
        <mc:Choice Requires="wps">
          <w:drawing>
            <wp:anchor distT="0" distB="0" distL="114300" distR="114300" simplePos="0" relativeHeight="251659264" behindDoc="0" locked="0" layoutInCell="1" allowOverlap="1" wp14:anchorId="3ED7E510" wp14:editId="7B7B5F9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E25D3" w14:textId="77777777" w:rsidR="00B11D74" w:rsidRDefault="00000000">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D7E510" id="_x0000_t202" coordsize="21600,21600" o:spt="202" path="m,l,21600r21600,l21600,xe">
              <v:stroke joinstyle="miter"/>
              <v:path gradientshapeok="t" o:connecttype="rect"/>
            </v:shapetype>
            <v:shape id="文本框 7"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70E25D3" w14:textId="77777777" w:rsidR="00B11D74" w:rsidRDefault="00000000">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mc:Fallback>
      </mc:AlternateContent>
    </w:r>
  </w:p>
  <w:p w14:paraId="70BB65FC" w14:textId="77777777" w:rsidR="00B11D74" w:rsidRDefault="00B11D74">
    <w:pPr>
      <w:tabs>
        <w:tab w:val="center" w:pos="4153"/>
        <w:tab w:val="right" w:pos="8306"/>
      </w:tabs>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6E699" w14:textId="77777777" w:rsidR="00C97273" w:rsidRDefault="00C97273">
      <w:pPr>
        <w:spacing w:line="240" w:lineRule="auto"/>
      </w:pPr>
      <w:r>
        <w:separator/>
      </w:r>
    </w:p>
  </w:footnote>
  <w:footnote w:type="continuationSeparator" w:id="0">
    <w:p w14:paraId="1E2A4C96" w14:textId="77777777" w:rsidR="00C97273" w:rsidRDefault="00C97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A5C440"/>
    <w:multiLevelType w:val="singleLevel"/>
    <w:tmpl w:val="DDA5C440"/>
    <w:lvl w:ilvl="0">
      <w:start w:val="2"/>
      <w:numFmt w:val="chineseCounting"/>
      <w:suff w:val="nothing"/>
      <w:lvlText w:val="（%1）"/>
      <w:lvlJc w:val="left"/>
      <w:rPr>
        <w:rFonts w:hint="eastAsia"/>
      </w:rPr>
    </w:lvl>
  </w:abstractNum>
  <w:num w:numId="1" w16cid:durableId="24060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243"/>
    <w:rsid w:val="00005A26"/>
    <w:rsid w:val="00274FE6"/>
    <w:rsid w:val="009326B0"/>
    <w:rsid w:val="00B11D74"/>
    <w:rsid w:val="00B80C5D"/>
    <w:rsid w:val="00C97273"/>
    <w:rsid w:val="00CB3554"/>
    <w:rsid w:val="00CF5885"/>
    <w:rsid w:val="00DA3243"/>
    <w:rsid w:val="00DF24CA"/>
    <w:rsid w:val="02303D31"/>
    <w:rsid w:val="024A6B64"/>
    <w:rsid w:val="02B61D83"/>
    <w:rsid w:val="03301070"/>
    <w:rsid w:val="03F82278"/>
    <w:rsid w:val="05DC76C0"/>
    <w:rsid w:val="0820659F"/>
    <w:rsid w:val="0AB870D7"/>
    <w:rsid w:val="0B073914"/>
    <w:rsid w:val="0BB67210"/>
    <w:rsid w:val="118C697C"/>
    <w:rsid w:val="135B130A"/>
    <w:rsid w:val="153A4CB8"/>
    <w:rsid w:val="17986E4C"/>
    <w:rsid w:val="18063F2C"/>
    <w:rsid w:val="198D3B91"/>
    <w:rsid w:val="1A2D40D5"/>
    <w:rsid w:val="1A4B04DA"/>
    <w:rsid w:val="1B147554"/>
    <w:rsid w:val="1C793F0D"/>
    <w:rsid w:val="25535CDC"/>
    <w:rsid w:val="262D6296"/>
    <w:rsid w:val="28232B38"/>
    <w:rsid w:val="29FD375B"/>
    <w:rsid w:val="2C3A49D9"/>
    <w:rsid w:val="2D094E21"/>
    <w:rsid w:val="3048746F"/>
    <w:rsid w:val="328A38FB"/>
    <w:rsid w:val="38913B93"/>
    <w:rsid w:val="3CB77B48"/>
    <w:rsid w:val="3D093051"/>
    <w:rsid w:val="428A4A90"/>
    <w:rsid w:val="45D53A97"/>
    <w:rsid w:val="49795D1C"/>
    <w:rsid w:val="52B27BB6"/>
    <w:rsid w:val="544F3263"/>
    <w:rsid w:val="58280538"/>
    <w:rsid w:val="59EA4D7A"/>
    <w:rsid w:val="5BB21252"/>
    <w:rsid w:val="608E630F"/>
    <w:rsid w:val="60B26345"/>
    <w:rsid w:val="60F50824"/>
    <w:rsid w:val="62721782"/>
    <w:rsid w:val="633614D8"/>
    <w:rsid w:val="639A78E5"/>
    <w:rsid w:val="65F35C6E"/>
    <w:rsid w:val="6746563B"/>
    <w:rsid w:val="67483002"/>
    <w:rsid w:val="67ED25B2"/>
    <w:rsid w:val="69CC0F1B"/>
    <w:rsid w:val="6B532367"/>
    <w:rsid w:val="6B78242E"/>
    <w:rsid w:val="6C97002E"/>
    <w:rsid w:val="752272E7"/>
    <w:rsid w:val="752A081C"/>
    <w:rsid w:val="77615D65"/>
    <w:rsid w:val="78B6163A"/>
    <w:rsid w:val="7CDE224C"/>
    <w:rsid w:val="7E23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70E157"/>
  <w15:docId w15:val="{990CE7F1-4890-4CC6-A9EA-83F4A314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6"/>
    <w:qFormat/>
    <w:pPr>
      <w:widowControl w:val="0"/>
      <w:spacing w:line="576" w:lineRule="exact"/>
    </w:pPr>
    <w:rPr>
      <w:rFonts w:eastAsia="方正仿宋_GBK"/>
      <w:kern w:val="2"/>
      <w:sz w:val="32"/>
      <w:szCs w:val="24"/>
    </w:rPr>
  </w:style>
  <w:style w:type="paragraph" w:styleId="1">
    <w:name w:val="heading 1"/>
    <w:basedOn w:val="a"/>
    <w:next w:val="a"/>
    <w:qFormat/>
    <w:pPr>
      <w:keepNext/>
      <w:keepLines/>
      <w:spacing w:line="600" w:lineRule="exact"/>
      <w:jc w:val="center"/>
      <w:outlineLvl w:val="0"/>
    </w:pPr>
    <w:rPr>
      <w:rFonts w:eastAsia="方正小标宋_GBK"/>
      <w:kern w:val="44"/>
      <w:sz w:val="44"/>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567"/>
    </w:pPr>
    <w:rPr>
      <w:rFonts w:ascii="Calibri" w:eastAsia="仿宋_GB2312" w:hAnsi="Calibri"/>
      <w:szCs w:val="22"/>
    </w:rPr>
  </w:style>
  <w:style w:type="paragraph" w:styleId="a4">
    <w:name w:val="footer"/>
    <w:basedOn w:val="a"/>
    <w:qFormat/>
    <w:pPr>
      <w:tabs>
        <w:tab w:val="center" w:pos="4153"/>
        <w:tab w:val="right" w:pos="8306"/>
      </w:tabs>
      <w:snapToGrid w:val="0"/>
    </w:pPr>
    <w:rPr>
      <w:rFonts w:ascii="仿宋_GB2312" w:eastAsia="仿宋_GB2312"/>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6">
    <w:name w:val="Normal (Web)"/>
    <w:basedOn w:val="a"/>
    <w:uiPriority w:val="99"/>
    <w:qFormat/>
    <w:pPr>
      <w:spacing w:before="100" w:beforeAutospacing="1" w:after="100" w:afterAutospacing="1"/>
    </w:pPr>
    <w:rPr>
      <w:kern w:val="0"/>
      <w:sz w:val="24"/>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394</Words>
  <Characters>2248</Characters>
  <Application>Microsoft Office Word</Application>
  <DocSecurity>0</DocSecurity>
  <Lines>18</Lines>
  <Paragraphs>5</Paragraphs>
  <ScaleCrop>false</ScaleCrop>
  <Company>丰都县人事局</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丰人社发〔2014〕101号---关于做好2014年社会保险稽核工作的通知</dc:title>
  <dc:subject>社保稽核</dc:subject>
  <dc:creator>办公室</dc:creator>
  <cp:lastModifiedBy>Sir Wang</cp:lastModifiedBy>
  <cp:revision>5</cp:revision>
  <cp:lastPrinted>2021-02-18T07:07:00Z</cp:lastPrinted>
  <dcterms:created xsi:type="dcterms:W3CDTF">2017-01-06T06:32:00Z</dcterms:created>
  <dcterms:modified xsi:type="dcterms:W3CDTF">2024-05-07T04:37:00Z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SaveFontToCloudKey">
    <vt:lpwstr>321637462_btnclosed</vt:lpwstr>
  </property>
  <property fmtid="{D5CDD505-2E9C-101B-9397-08002B2CF9AE}" pid="4" name="ICV">
    <vt:lpwstr>E970A27CD5624DD5A1C607207924042A</vt:lpwstr>
  </property>
</Properties>
</file>