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94" w:lineRule="exact"/>
        <w:ind w:firstLine="640" w:firstLineChars="200"/>
        <w:rPr>
          <w:rFonts w:hint="default" w:ascii="方正黑体_GBK" w:hAnsi="黑体" w:eastAsia="方正黑体_GBK"/>
          <w:sz w:val="32"/>
          <w:szCs w:val="32"/>
        </w:rPr>
      </w:pPr>
      <w:bookmarkStart w:id="0" w:name="_GoBack"/>
      <w:r>
        <w:rPr>
          <w:rFonts w:ascii="方正黑体_GBK" w:hAnsi="黑体" w:eastAsia="方正黑体_GBK"/>
          <w:sz w:val="32"/>
          <w:szCs w:val="32"/>
        </w:rPr>
        <w:t>一、单位基本情况</w:t>
      </w:r>
    </w:p>
    <w:p>
      <w:pPr>
        <w:adjustRightInd w:val="0"/>
        <w:spacing w:line="594" w:lineRule="exact"/>
        <w:ind w:firstLine="640" w:firstLineChars="200"/>
        <w:rPr>
          <w:rFonts w:hint="default" w:ascii="方正楷体_GBK" w:hAnsi="楷体" w:eastAsia="方正楷体_GBK"/>
          <w:sz w:val="32"/>
          <w:szCs w:val="32"/>
        </w:rPr>
      </w:pPr>
      <w:r>
        <w:rPr>
          <w:rFonts w:ascii="方正楷体_GBK" w:hAnsi="楷体" w:eastAsia="方正楷体_GBK"/>
          <w:sz w:val="32"/>
          <w:szCs w:val="32"/>
        </w:rPr>
        <w:t>（一）职能职责</w:t>
      </w:r>
    </w:p>
    <w:p>
      <w:pPr>
        <w:adjustRightIn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1.宣传保护消费者权益的法律、法规，开展消费教育，提高消费者依法维护其合法权益的能力；</w:t>
      </w:r>
    </w:p>
    <w:p>
      <w:pPr>
        <w:adjustRightIn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2.对商品和服务的质量、价格、售后服务和消费者的意见等进行调查、比较、分析，并公布结果，为消费者提供消费信息和咨询服务；</w:t>
      </w:r>
    </w:p>
    <w:p>
      <w:pPr>
        <w:adjustRightIn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3.受理消费者的投诉，并就投诉事项进行调查、调解；就投诉事项涉及的商品和服务质量问题，提请鉴定部门鉴定；或者提出意见转有关行政管理部门和单位处理，必要时可以公布投诉情况和处理结果；</w:t>
      </w:r>
    </w:p>
    <w:p>
      <w:pPr>
        <w:adjustRightIn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4.就保护消费者合法权益的有关问题，向有关行政管理部门反映情况，提出建议，必要时可以进行查询，有关行政管理部门应当答复；</w:t>
      </w:r>
    </w:p>
    <w:p>
      <w:pPr>
        <w:adjustRightIn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5.就损害消费者合法权益的行为，支持受害的消费者提起诉讼；</w:t>
      </w:r>
    </w:p>
    <w:p>
      <w:pPr>
        <w:adjustRightIn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6.参与有关行政管理部门对商品和服务的质量、价格、安全、卫生、计量等进行监督检查和测定；</w:t>
      </w:r>
    </w:p>
    <w:p>
      <w:pPr>
        <w:adjustRightIn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7.通过在自建的3.15消费维权网站、消委会官方微博以及其他大众传播媒介，表彰保护消费者合法权益的先进单位和个人，揭露、批评损害消费者合法权益的行为；</w:t>
      </w:r>
    </w:p>
    <w:p>
      <w:pPr>
        <w:adjustRightIn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8.对本县各消费者权益保护委员会分会进行业务指导。</w:t>
      </w:r>
    </w:p>
    <w:p>
      <w:pPr>
        <w:adjustRightInd w:val="0"/>
        <w:spacing w:line="594" w:lineRule="exact"/>
        <w:ind w:firstLine="640" w:firstLineChars="200"/>
        <w:rPr>
          <w:rFonts w:hint="default" w:ascii="方正楷体_GBK" w:hAnsi="楷体" w:eastAsia="方正楷体_GBK"/>
          <w:sz w:val="32"/>
          <w:szCs w:val="32"/>
        </w:rPr>
      </w:pPr>
      <w:r>
        <w:rPr>
          <w:rFonts w:ascii="方正楷体_GBK" w:hAnsi="楷体" w:eastAsia="方正楷体_GBK"/>
          <w:sz w:val="32"/>
          <w:szCs w:val="32"/>
        </w:rPr>
        <w:t>（二）机构设置</w:t>
      </w:r>
    </w:p>
    <w:p>
      <w:pPr>
        <w:spacing w:line="594"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丰都县消费者权益保护委员会，为丰都县市场监督管理局管理的事业单位。</w:t>
      </w:r>
    </w:p>
    <w:p>
      <w:pPr>
        <w:spacing w:line="594" w:lineRule="exact"/>
        <w:ind w:firstLine="640" w:firstLineChars="200"/>
        <w:rPr>
          <w:rFonts w:hint="default" w:ascii="方正黑体_GBK" w:hAnsi="黑体" w:eastAsia="方正黑体_GBK"/>
          <w:sz w:val="32"/>
          <w:szCs w:val="32"/>
        </w:rPr>
      </w:pPr>
      <w:r>
        <w:rPr>
          <w:rFonts w:ascii="方正黑体_GBK" w:hAnsi="黑体" w:eastAsia="方正黑体_GBK"/>
          <w:sz w:val="32"/>
          <w:szCs w:val="32"/>
        </w:rPr>
        <w:t>二、单位决算收支情况说明</w:t>
      </w:r>
    </w:p>
    <w:p>
      <w:pPr>
        <w:spacing w:line="594" w:lineRule="exact"/>
        <w:ind w:firstLine="640" w:firstLineChars="200"/>
        <w:rPr>
          <w:rFonts w:hint="default" w:ascii="方正楷体_GBK" w:hAnsi="楷体" w:eastAsia="方正楷体_GBK"/>
          <w:sz w:val="32"/>
          <w:szCs w:val="32"/>
        </w:rPr>
      </w:pPr>
      <w:r>
        <w:rPr>
          <w:rFonts w:ascii="方正楷体_GBK" w:hAnsi="楷体" w:eastAsia="方正楷体_GBK"/>
          <w:sz w:val="32"/>
          <w:szCs w:val="32"/>
        </w:rPr>
        <w:t>（一）收入支出决算总体情况说明</w:t>
      </w:r>
    </w:p>
    <w:p>
      <w:pPr>
        <w:adjustRightIn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2024年度收、支总计均为96.52万元。收、支与2023年度相比，增加35.76万元，增长58.9%，主要原因是</w:t>
      </w:r>
      <w:r>
        <w:rPr>
          <w:rFonts w:ascii="方正仿宋_GBK" w:eastAsia="方正仿宋_GBK" w:cs="仿宋"/>
          <w:sz w:val="32"/>
          <w:szCs w:val="32"/>
        </w:rPr>
        <w:t>本年度机构改革，增加2个在职人员，工资福利费增加。</w:t>
      </w:r>
    </w:p>
    <w:p>
      <w:pPr>
        <w:adjustRightInd w:val="0"/>
        <w:spacing w:line="594" w:lineRule="exact"/>
        <w:ind w:firstLine="643" w:firstLineChars="200"/>
        <w:rPr>
          <w:rFonts w:hint="default" w:ascii="方正仿宋_GBK" w:eastAsia="方正仿宋_GBK" w:cs="仿宋"/>
          <w:sz w:val="32"/>
          <w:szCs w:val="32"/>
        </w:rPr>
      </w:pPr>
      <w:r>
        <w:rPr>
          <w:rFonts w:hint="default" w:ascii="方正仿宋_GBK" w:eastAsia="方正仿宋_GBK" w:cs="仿宋"/>
          <w:b/>
          <w:sz w:val="32"/>
          <w:szCs w:val="32"/>
        </w:rPr>
        <w:t>1.收入情况。</w:t>
      </w:r>
      <w:r>
        <w:rPr>
          <w:rFonts w:hint="default" w:ascii="方正仿宋_GBK" w:eastAsia="方正仿宋_GBK" w:cs="仿宋"/>
          <w:sz w:val="32"/>
          <w:szCs w:val="32"/>
        </w:rPr>
        <w:t>2024年度收入合计96.52万元，与2023年度相比，增加35.76万元，增长58.9%，主要原因是</w:t>
      </w:r>
      <w:r>
        <w:rPr>
          <w:rFonts w:ascii="方正仿宋_GBK" w:eastAsia="方正仿宋_GBK" w:cs="仿宋"/>
          <w:sz w:val="32"/>
          <w:szCs w:val="32"/>
        </w:rPr>
        <w:t>本年度机构改革，增加2个在职人员，工资福利收入增加。</w:t>
      </w:r>
      <w:r>
        <w:rPr>
          <w:rFonts w:hint="default" w:ascii="方正仿宋_GBK" w:eastAsia="方正仿宋_GBK" w:cs="仿宋"/>
          <w:sz w:val="32"/>
          <w:szCs w:val="32"/>
        </w:rPr>
        <w:t>。其中：财政拨款收入96.52万元，占100.0%；事业收入0.00万元，占0.0%；经营收入0.00万元，占0.0%；其他收入0.00万元，占0.0%。此外，使用非财政拨款结余（含专用结余）0.00万元，年初结转和结余0.00万元。</w:t>
      </w:r>
    </w:p>
    <w:p>
      <w:pPr>
        <w:adjustRightInd w:val="0"/>
        <w:spacing w:line="594" w:lineRule="exact"/>
        <w:ind w:firstLine="643" w:firstLineChars="200"/>
        <w:rPr>
          <w:rFonts w:hint="default" w:ascii="方正仿宋_GBK" w:eastAsia="方正仿宋_GBK" w:cs="仿宋"/>
          <w:sz w:val="32"/>
          <w:szCs w:val="32"/>
        </w:rPr>
      </w:pPr>
      <w:r>
        <w:rPr>
          <w:rFonts w:hint="default" w:ascii="方正仿宋_GBK" w:eastAsia="方正仿宋_GBK" w:cs="仿宋"/>
          <w:b/>
          <w:sz w:val="32"/>
          <w:szCs w:val="32"/>
        </w:rPr>
        <w:t>2.支出情况。</w:t>
      </w:r>
      <w:r>
        <w:rPr>
          <w:rFonts w:hint="default" w:ascii="方正仿宋_GBK" w:eastAsia="方正仿宋_GBK" w:cs="仿宋"/>
          <w:sz w:val="32"/>
          <w:szCs w:val="32"/>
        </w:rPr>
        <w:t>2024年度支出合计96.52万元，与2023年度相比，增加35.76万元，增长58.9%，主要原因是</w:t>
      </w:r>
      <w:r>
        <w:rPr>
          <w:rFonts w:ascii="方正仿宋_GBK" w:eastAsia="方正仿宋_GBK" w:cs="仿宋"/>
          <w:sz w:val="32"/>
          <w:szCs w:val="32"/>
        </w:rPr>
        <w:t>本年度机构改革，增加2个在职人员，工资福利费增加。</w:t>
      </w:r>
      <w:r>
        <w:rPr>
          <w:rFonts w:hint="default" w:ascii="方正仿宋_GBK" w:eastAsia="方正仿宋_GBK" w:cs="仿宋"/>
          <w:sz w:val="32"/>
          <w:szCs w:val="32"/>
        </w:rPr>
        <w:t>其中：基本支出96.52万元，占100.0%；项目支出0.00万元，占0.0%；经营支出0.00万元，占0.0%。此外，结余分配0.00万元。</w:t>
      </w:r>
    </w:p>
    <w:p>
      <w:pPr>
        <w:adjustRightInd w:val="0"/>
        <w:spacing w:line="594" w:lineRule="exact"/>
        <w:ind w:firstLine="643" w:firstLineChars="200"/>
        <w:rPr>
          <w:rFonts w:hint="default" w:ascii="方正仿宋_GBK" w:eastAsia="方正仿宋_GBK" w:cs="仿宋"/>
          <w:sz w:val="32"/>
          <w:szCs w:val="32"/>
        </w:rPr>
      </w:pPr>
      <w:r>
        <w:rPr>
          <w:rFonts w:hint="default" w:ascii="方正仿宋_GBK" w:eastAsia="方正仿宋_GBK" w:cs="仿宋"/>
          <w:b/>
          <w:sz w:val="32"/>
          <w:szCs w:val="32"/>
        </w:rPr>
        <w:t>3.结转结余情况。</w:t>
      </w:r>
      <w:r>
        <w:rPr>
          <w:rFonts w:hint="default" w:ascii="方正仿宋_GBK" w:eastAsia="方正仿宋_GBK" w:cs="仿宋"/>
          <w:sz w:val="32"/>
          <w:szCs w:val="32"/>
        </w:rPr>
        <w:t>2024年度年末结转和结余0.00万元，与2023年</w:t>
      </w:r>
      <w:r>
        <w:rPr>
          <w:rFonts w:ascii="方正仿宋_GBK" w:eastAsia="方正仿宋_GBK" w:cs="仿宋"/>
          <w:sz w:val="32"/>
          <w:szCs w:val="32"/>
        </w:rPr>
        <w:t>度持平。</w:t>
      </w:r>
      <w:r>
        <w:rPr>
          <w:rFonts w:hint="default" w:ascii="方正仿宋_GBK" w:eastAsia="方正仿宋_GBK" w:cs="仿宋"/>
          <w:sz w:val="32"/>
          <w:szCs w:val="32"/>
        </w:rPr>
        <w:t xml:space="preserve"> </w:t>
      </w:r>
    </w:p>
    <w:p>
      <w:pPr>
        <w:adjustRightIn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（二）财政拨款收入支出决算总体情况说明</w:t>
      </w:r>
    </w:p>
    <w:p>
      <w:pPr>
        <w:adjustRightIn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2024年度财政拨款收、支总计均为96.52万元。与2023年度相比，财政拨款收、支总计各增加35.76万元，增长58.9%。主要原因是</w:t>
      </w:r>
      <w:r>
        <w:rPr>
          <w:rFonts w:ascii="方正仿宋_GBK" w:eastAsia="方正仿宋_GBK" w:cs="仿宋"/>
          <w:sz w:val="32"/>
          <w:szCs w:val="32"/>
        </w:rPr>
        <w:t>本年度机构改革，增加2个在职人员，工资福利费增加。</w:t>
      </w:r>
    </w:p>
    <w:p>
      <w:pPr>
        <w:adjustRightIn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（三）一般公共预算财政拨款收入支出决算情况说明</w:t>
      </w:r>
    </w:p>
    <w:p>
      <w:pPr>
        <w:adjustRightInd w:val="0"/>
        <w:spacing w:line="594" w:lineRule="exact"/>
        <w:ind w:firstLine="643" w:firstLineChars="200"/>
        <w:rPr>
          <w:rFonts w:hint="default" w:ascii="方正仿宋_GBK" w:eastAsia="方正仿宋_GBK" w:cs="仿宋"/>
          <w:sz w:val="32"/>
          <w:szCs w:val="32"/>
        </w:rPr>
      </w:pPr>
      <w:r>
        <w:rPr>
          <w:rFonts w:hint="default" w:ascii="方正仿宋_GBK" w:eastAsia="方正仿宋_GBK" w:cs="仿宋"/>
          <w:b/>
          <w:sz w:val="32"/>
          <w:szCs w:val="32"/>
        </w:rPr>
        <w:t>1.收入情况。</w:t>
      </w:r>
      <w:r>
        <w:rPr>
          <w:rFonts w:hint="default" w:ascii="方正仿宋_GBK" w:eastAsia="方正仿宋_GBK" w:cs="仿宋"/>
          <w:sz w:val="32"/>
          <w:szCs w:val="32"/>
        </w:rPr>
        <w:t>2024年度一般公共预算财政拨款收入96.52万元，与2023年度相比，增加35.76万元，增长58.9%。主要原因是</w:t>
      </w:r>
      <w:r>
        <w:rPr>
          <w:rFonts w:ascii="方正仿宋_GBK" w:eastAsia="方正仿宋_GBK" w:cs="仿宋"/>
          <w:sz w:val="32"/>
          <w:szCs w:val="32"/>
        </w:rPr>
        <w:t>本年度机构改革，增加2个在职人员，工资福利收入增加</w:t>
      </w:r>
      <w:r>
        <w:rPr>
          <w:rFonts w:hint="default" w:ascii="方正仿宋_GBK" w:eastAsia="方正仿宋_GBK" w:cs="仿宋"/>
          <w:sz w:val="32"/>
          <w:szCs w:val="32"/>
        </w:rPr>
        <w:t>。较年初预算数增加17.80万元，增长22.6%。主要原因是</w:t>
      </w:r>
      <w:r>
        <w:rPr>
          <w:rFonts w:ascii="方正仿宋_GBK" w:eastAsia="方正仿宋_GBK" w:cs="仿宋"/>
          <w:sz w:val="32"/>
          <w:szCs w:val="32"/>
        </w:rPr>
        <w:t>本年度增加2个在职人员，年中预算调整增加。</w:t>
      </w:r>
      <w:r>
        <w:rPr>
          <w:rFonts w:hint="default" w:ascii="方正仿宋_GBK" w:eastAsia="方正仿宋_GBK" w:cs="仿宋"/>
          <w:sz w:val="32"/>
          <w:szCs w:val="32"/>
        </w:rPr>
        <w:t>此外，年初财政拨款结转和结余0.00万元。</w:t>
      </w:r>
    </w:p>
    <w:p>
      <w:pPr>
        <w:adjustRightInd w:val="0"/>
        <w:spacing w:line="594" w:lineRule="exact"/>
        <w:ind w:firstLine="643" w:firstLineChars="200"/>
        <w:rPr>
          <w:rFonts w:hint="default" w:ascii="方正仿宋_GBK" w:eastAsia="方正仿宋_GBK" w:cs="仿宋"/>
          <w:sz w:val="32"/>
          <w:szCs w:val="32"/>
        </w:rPr>
      </w:pPr>
      <w:r>
        <w:rPr>
          <w:rFonts w:hint="default" w:ascii="方正仿宋_GBK" w:eastAsia="方正仿宋_GBK" w:cs="仿宋"/>
          <w:b/>
          <w:sz w:val="32"/>
          <w:szCs w:val="32"/>
        </w:rPr>
        <w:t>2.支出情况。</w:t>
      </w:r>
      <w:r>
        <w:rPr>
          <w:rFonts w:hint="default" w:ascii="方正仿宋_GBK" w:eastAsia="方正仿宋_GBK" w:cs="仿宋"/>
          <w:sz w:val="32"/>
          <w:szCs w:val="32"/>
        </w:rPr>
        <w:t>2024年度一般公共预算财政拨款支出96.52万元，与2023年度相比，增加35.76万元，增长58.9%。主要原因是</w:t>
      </w:r>
      <w:r>
        <w:rPr>
          <w:rFonts w:ascii="方正仿宋_GBK" w:eastAsia="方正仿宋_GBK" w:cs="仿宋"/>
          <w:sz w:val="32"/>
          <w:szCs w:val="32"/>
        </w:rPr>
        <w:t>本年度机构改革，增加2个在职人员，工资福利费增加</w:t>
      </w:r>
      <w:r>
        <w:rPr>
          <w:rFonts w:hint="default" w:ascii="方正仿宋_GBK" w:eastAsia="方正仿宋_GBK" w:cs="仿宋"/>
          <w:sz w:val="32"/>
          <w:szCs w:val="32"/>
        </w:rPr>
        <w:t>。较年初预算数增加17.80万元，增长22.6%。主要原因是</w:t>
      </w:r>
      <w:r>
        <w:rPr>
          <w:rFonts w:ascii="方正仿宋_GBK" w:eastAsia="方正仿宋_GBK" w:cs="仿宋"/>
          <w:sz w:val="32"/>
          <w:szCs w:val="32"/>
        </w:rPr>
        <w:t>本年度增加2个在职人员，年中预算调整增加</w:t>
      </w:r>
    </w:p>
    <w:p>
      <w:pPr>
        <w:adjustRightIn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一般公共预算财政拨款支出主要用途如下：</w:t>
      </w:r>
    </w:p>
    <w:p>
      <w:pPr>
        <w:adjustRightIn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w:t>
      </w:r>
      <w:r>
        <w:rPr>
          <w:rFonts w:hint="default" w:ascii="方正仿宋_GBK" w:eastAsia="方正仿宋_GBK" w:cs="仿宋"/>
          <w:sz w:val="32"/>
          <w:szCs w:val="32"/>
        </w:rPr>
        <w:t>1）一般公共服务支出73.97万元，占76.6%，较年初预算数增加10.12万元，增长15.9%，主要原因是</w:t>
      </w:r>
      <w:r>
        <w:rPr>
          <w:rFonts w:ascii="方正仿宋_GBK" w:eastAsia="方正仿宋_GBK" w:cs="仿宋"/>
          <w:sz w:val="32"/>
          <w:szCs w:val="32"/>
        </w:rPr>
        <w:t>本年度机构改革，增加2个在职人员，工资福利费增加。</w:t>
      </w:r>
    </w:p>
    <w:p>
      <w:pPr>
        <w:adjustRightIn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（2</w:t>
      </w:r>
      <w:r>
        <w:rPr>
          <w:rFonts w:hint="default" w:ascii="方正仿宋_GBK" w:eastAsia="方正仿宋_GBK" w:cs="仿宋"/>
          <w:sz w:val="32"/>
          <w:szCs w:val="32"/>
        </w:rPr>
        <w:t>）社会保障和就业支出13.83万元，占14.3%，较年</w:t>
      </w:r>
    </w:p>
    <w:p>
      <w:pPr>
        <w:adjustRightInd w:val="0"/>
        <w:spacing w:line="594" w:lineRule="exact"/>
        <w:rPr>
          <w:rFonts w:hint="default" w:ascii="方正仿宋_GBK" w:eastAsia="方正仿宋_GBK" w:cs="仿宋"/>
          <w:sz w:val="32"/>
          <w:szCs w:val="32"/>
        </w:rPr>
      </w:pPr>
      <w:r>
        <w:rPr>
          <w:rFonts w:hint="default" w:ascii="方正仿宋_GBK" w:eastAsia="方正仿宋_GBK" w:cs="仿宋"/>
          <w:sz w:val="32"/>
          <w:szCs w:val="32"/>
        </w:rPr>
        <w:t>初预算数增加6.45万元，增长87.4%，主要原因是</w:t>
      </w:r>
      <w:r>
        <w:rPr>
          <w:rFonts w:ascii="方正仿宋_GBK" w:eastAsia="方正仿宋_GBK" w:cs="仿宋"/>
          <w:sz w:val="32"/>
          <w:szCs w:val="32"/>
        </w:rPr>
        <w:t>机构改革本年度增加2个在职人员，社保费增加。</w:t>
      </w:r>
    </w:p>
    <w:p>
      <w:pPr>
        <w:adjustRightIn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（3</w:t>
      </w:r>
      <w:r>
        <w:rPr>
          <w:rFonts w:hint="default" w:ascii="方正仿宋_GBK" w:eastAsia="方正仿宋_GBK" w:cs="仿宋"/>
          <w:sz w:val="32"/>
          <w:szCs w:val="32"/>
        </w:rPr>
        <w:t>）卫生健康支出4.31万元，占4.5%，较年初预算数增加0.50万元，增长13.1%，</w:t>
      </w:r>
      <w:r>
        <w:rPr>
          <w:rFonts w:ascii="方正仿宋_GBK" w:eastAsia="方正仿宋_GBK" w:cs="仿宋"/>
          <w:sz w:val="32"/>
          <w:szCs w:val="32"/>
        </w:rPr>
        <w:t>主要原因是机构改革本年度增加2个在职人员，医保支出增加。</w:t>
      </w:r>
    </w:p>
    <w:p>
      <w:pPr>
        <w:adjustRightIn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（4</w:t>
      </w:r>
      <w:r>
        <w:rPr>
          <w:rFonts w:hint="default" w:ascii="方正仿宋_GBK" w:eastAsia="方正仿宋_GBK" w:cs="仿宋"/>
          <w:sz w:val="32"/>
          <w:szCs w:val="32"/>
        </w:rPr>
        <w:t>）住房保障支出4.41万元，占4.6%，较年初预算数增加0.72万元，增长19.5%，主要原因是</w:t>
      </w:r>
      <w:r>
        <w:rPr>
          <w:rFonts w:ascii="方正仿宋_GBK" w:eastAsia="方正仿宋_GBK" w:cs="仿宋"/>
          <w:sz w:val="32"/>
          <w:szCs w:val="32"/>
        </w:rPr>
        <w:t>机构改革本年度增加2个在职人员，公积金支出增加。</w:t>
      </w:r>
    </w:p>
    <w:p>
      <w:pPr>
        <w:adjustRightInd w:val="0"/>
        <w:spacing w:line="594" w:lineRule="exact"/>
        <w:ind w:firstLine="643" w:firstLineChars="200"/>
        <w:rPr>
          <w:rFonts w:hint="default" w:ascii="方正仿宋_GBK" w:eastAsia="方正仿宋_GBK" w:cs="仿宋"/>
          <w:sz w:val="32"/>
          <w:szCs w:val="32"/>
        </w:rPr>
      </w:pPr>
      <w:r>
        <w:rPr>
          <w:rFonts w:hint="default" w:ascii="方正仿宋_GBK" w:eastAsia="方正仿宋_GBK" w:cs="仿宋"/>
          <w:b/>
          <w:sz w:val="32"/>
          <w:szCs w:val="32"/>
        </w:rPr>
        <w:t>3.结转结余情况。</w:t>
      </w:r>
      <w:r>
        <w:rPr>
          <w:rFonts w:hint="default" w:ascii="方正仿宋_GBK" w:eastAsia="方正仿宋_GBK" w:cs="仿宋"/>
          <w:sz w:val="32"/>
          <w:szCs w:val="32"/>
        </w:rPr>
        <w:t>2024年度年末一般公共预算财政拨款结转和结余0.00万元，与2023年度</w:t>
      </w:r>
      <w:r>
        <w:rPr>
          <w:rFonts w:ascii="方正仿宋_GBK" w:eastAsia="方正仿宋_GBK" w:cs="仿宋"/>
          <w:sz w:val="32"/>
          <w:szCs w:val="32"/>
        </w:rPr>
        <w:t>持平。</w:t>
      </w:r>
    </w:p>
    <w:p>
      <w:pPr>
        <w:adjustRightIn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（四）一般公共预算财政拨款基本支出决算情况说明</w:t>
      </w:r>
    </w:p>
    <w:p>
      <w:pPr>
        <w:adjustRightIn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2024年度一般公共财政拨款基本支出96.52万元。</w:t>
      </w:r>
    </w:p>
    <w:p>
      <w:pPr>
        <w:adjustRightIn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其中：</w:t>
      </w:r>
    </w:p>
    <w:p>
      <w:pPr>
        <w:adjustRightInd w:val="0"/>
        <w:spacing w:line="594" w:lineRule="exact"/>
        <w:ind w:firstLine="640" w:firstLineChars="200"/>
        <w:rPr>
          <w:rFonts w:hint="default" w:ascii="方正仿宋_GBK" w:hAnsi="Times New Roman" w:eastAsia="方正仿宋_GBK"/>
          <w:sz w:val="32"/>
          <w:szCs w:val="32"/>
        </w:rPr>
      </w:pPr>
      <w:r>
        <w:rPr>
          <w:rFonts w:ascii="方正仿宋_GBK" w:eastAsia="方正仿宋_GBK" w:cs="仿宋"/>
          <w:sz w:val="32"/>
          <w:szCs w:val="32"/>
        </w:rPr>
        <w:t>人员经费</w:t>
      </w:r>
      <w:r>
        <w:rPr>
          <w:rFonts w:hint="default" w:ascii="方正仿宋_GBK" w:eastAsia="方正仿宋_GBK" w:cs="仿宋"/>
          <w:sz w:val="32"/>
          <w:szCs w:val="32"/>
        </w:rPr>
        <w:t>86.78万元，与2023年度相比，增加35.80万元，增长70.2%，主要原因是</w:t>
      </w:r>
      <w:r>
        <w:rPr>
          <w:rFonts w:ascii="方正仿宋_GBK" w:eastAsia="方正仿宋_GBK" w:cs="仿宋"/>
          <w:sz w:val="32"/>
          <w:szCs w:val="32"/>
        </w:rPr>
        <w:t>本年度机构改革，增加2个在职人员，工资福利费增加</w:t>
      </w:r>
      <w:r>
        <w:rPr>
          <w:rFonts w:hint="default" w:ascii="方正仿宋_GBK" w:eastAsia="方正仿宋_GBK" w:cs="仿宋"/>
          <w:sz w:val="32"/>
          <w:szCs w:val="32"/>
        </w:rPr>
        <w:t>。人员经费用途主要包括</w:t>
      </w:r>
      <w:r>
        <w:rPr>
          <w:rFonts w:ascii="方正仿宋_GBK" w:hAnsi="Times New Roman" w:eastAsia="方正仿宋_GBK"/>
          <w:sz w:val="32"/>
          <w:szCs w:val="32"/>
        </w:rPr>
        <w:t>基本工资、津贴补贴、绩效工资、机关事业单位养老保险缴费、职业年金职工基本医疗保险缴费、其他社会保障缴费、住房公积金、医疗费等。</w:t>
      </w:r>
    </w:p>
    <w:p>
      <w:pPr>
        <w:adjustRightInd w:val="0"/>
        <w:spacing w:line="594" w:lineRule="exact"/>
        <w:ind w:firstLine="640" w:firstLineChars="200"/>
        <w:rPr>
          <w:rFonts w:hint="default" w:ascii="方正仿宋_GBK" w:hAnsi="Times New Roman" w:eastAsia="方正仿宋_GBK"/>
          <w:sz w:val="32"/>
          <w:szCs w:val="32"/>
        </w:rPr>
      </w:pPr>
      <w:r>
        <w:rPr>
          <w:rFonts w:ascii="方正仿宋_GBK" w:eastAsia="方正仿宋_GBK" w:cs="仿宋"/>
          <w:sz w:val="32"/>
          <w:szCs w:val="32"/>
        </w:rPr>
        <w:t>公用经费</w:t>
      </w:r>
      <w:r>
        <w:rPr>
          <w:rFonts w:hint="default" w:ascii="方正仿宋_GBK" w:eastAsia="方正仿宋_GBK" w:cs="仿宋"/>
          <w:sz w:val="32"/>
          <w:szCs w:val="32"/>
        </w:rPr>
        <w:t>9.74万元，与2023年度相比，减少0.04万元，下降0.4%，主要原因是</w:t>
      </w:r>
      <w:r>
        <w:rPr>
          <w:rFonts w:ascii="方正仿宋_GBK" w:eastAsia="方正仿宋_GBK" w:cs="仿宋"/>
          <w:sz w:val="32"/>
          <w:szCs w:val="32"/>
        </w:rPr>
        <w:t>本年度节约办公开支，办公费减少</w:t>
      </w:r>
      <w:r>
        <w:rPr>
          <w:rFonts w:hint="default" w:ascii="方正仿宋_GBK" w:eastAsia="方正仿宋_GBK" w:cs="仿宋"/>
          <w:sz w:val="32"/>
          <w:szCs w:val="32"/>
        </w:rPr>
        <w:t>。公用经费用途主要包括</w:t>
      </w:r>
      <w:r>
        <w:rPr>
          <w:rFonts w:ascii="方正仿宋_GBK" w:hAnsi="Times New Roman" w:eastAsia="方正仿宋_GBK"/>
          <w:sz w:val="32"/>
          <w:szCs w:val="32"/>
        </w:rPr>
        <w:t>办公费、印刷费、差旅费、福利费、工会经费、其他商品服务支出等。</w:t>
      </w:r>
    </w:p>
    <w:p>
      <w:pPr>
        <w:adjustRightIn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（五）政府性基金预算收支决算情况说明</w:t>
      </w:r>
    </w:p>
    <w:p>
      <w:pPr>
        <w:adjustRightIn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本单位</w:t>
      </w:r>
      <w:r>
        <w:rPr>
          <w:rFonts w:hint="default" w:ascii="方正仿宋_GBK" w:eastAsia="方正仿宋_GBK" w:cs="仿宋"/>
          <w:sz w:val="32"/>
          <w:szCs w:val="32"/>
        </w:rPr>
        <w:t>2024年度无政府性基金预算财政拨款收支。</w:t>
      </w:r>
    </w:p>
    <w:p>
      <w:pPr>
        <w:adjustRightInd w:val="0"/>
        <w:spacing w:line="594" w:lineRule="exact"/>
        <w:ind w:firstLine="640" w:firstLineChars="200"/>
        <w:rPr>
          <w:rFonts w:hint="default" w:ascii="方正楷体_GBK" w:eastAsia="方正楷体_GBK" w:cs="仿宋"/>
          <w:sz w:val="32"/>
          <w:szCs w:val="32"/>
        </w:rPr>
      </w:pPr>
      <w:r>
        <w:rPr>
          <w:rFonts w:ascii="方正楷体_GBK" w:eastAsia="方正楷体_GBK" w:cs="仿宋"/>
          <w:sz w:val="32"/>
          <w:szCs w:val="32"/>
        </w:rPr>
        <w:t>（六）国有资本经营预算财政拨款支出决算情况说明</w:t>
      </w:r>
    </w:p>
    <w:p>
      <w:pPr>
        <w:adjustRightIn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本单位</w:t>
      </w:r>
      <w:r>
        <w:rPr>
          <w:rFonts w:hint="default" w:ascii="方正仿宋_GBK" w:eastAsia="方正仿宋_GBK" w:cs="仿宋"/>
          <w:sz w:val="32"/>
          <w:szCs w:val="32"/>
        </w:rPr>
        <w:t>2024年度无国有资本经营预算财政拨款支出。</w:t>
      </w:r>
    </w:p>
    <w:p>
      <w:pPr>
        <w:adjustRightInd w:val="0"/>
        <w:spacing w:line="594" w:lineRule="exact"/>
        <w:ind w:firstLine="640" w:firstLineChars="200"/>
        <w:rPr>
          <w:rFonts w:hint="default" w:ascii="方正楷体_GBK" w:hAnsi="黑体" w:eastAsia="方正楷体_GBK" w:cs="仿宋"/>
          <w:sz w:val="32"/>
          <w:szCs w:val="32"/>
        </w:rPr>
      </w:pPr>
      <w:r>
        <w:rPr>
          <w:rFonts w:ascii="方正楷体_GBK" w:hAnsi="黑体" w:eastAsia="方正楷体_GBK" w:cs="仿宋"/>
          <w:sz w:val="32"/>
          <w:szCs w:val="32"/>
        </w:rPr>
        <w:t>三、财政拨款“三公”经费情况说明</w:t>
      </w:r>
    </w:p>
    <w:p>
      <w:pPr>
        <w:adjustRightIn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我单位属于</w:t>
      </w:r>
      <w:r>
        <w:rPr>
          <w:rFonts w:ascii="方正仿宋_GBK" w:eastAsia="方正仿宋_GBK" w:cs="仿宋"/>
          <w:sz w:val="32"/>
          <w:szCs w:val="32"/>
        </w:rPr>
        <w:t>公益一类事业单位</w:t>
      </w:r>
      <w:r>
        <w:rPr>
          <w:rFonts w:hint="default" w:ascii="方正仿宋_GBK" w:eastAsia="方正仿宋_GBK" w:cs="仿宋"/>
          <w:sz w:val="32"/>
          <w:szCs w:val="32"/>
        </w:rPr>
        <w:t>，未使用财政资金保障“三公”经费。</w:t>
      </w:r>
    </w:p>
    <w:p>
      <w:pPr>
        <w:adjustRightInd w:val="0"/>
        <w:spacing w:line="594" w:lineRule="exact"/>
        <w:ind w:firstLine="640" w:firstLineChars="200"/>
        <w:rPr>
          <w:rFonts w:hint="default" w:ascii="方正黑体_GBK" w:hAnsi="黑体" w:eastAsia="方正黑体_GBK" w:cs="仿宋"/>
          <w:sz w:val="32"/>
          <w:szCs w:val="32"/>
        </w:rPr>
      </w:pPr>
      <w:r>
        <w:rPr>
          <w:rFonts w:ascii="方正黑体_GBK" w:hAnsi="黑体" w:eastAsia="方正黑体_GBK" w:cs="仿宋"/>
          <w:sz w:val="32"/>
          <w:szCs w:val="32"/>
        </w:rPr>
        <w:t>四、其他需要说明的事项</w:t>
      </w:r>
    </w:p>
    <w:p>
      <w:pPr>
        <w:adjustRightIn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（一）财政拨款会议费、培训费和差旅费情况说明</w:t>
      </w:r>
    </w:p>
    <w:p>
      <w:pPr>
        <w:adjustRightIn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本年度会议费、培训费支出均为</w:t>
      </w:r>
      <w:r>
        <w:rPr>
          <w:rFonts w:hint="default" w:ascii="方正仿宋_GBK" w:eastAsia="方正仿宋_GBK" w:cs="仿宋"/>
          <w:sz w:val="32"/>
          <w:szCs w:val="32"/>
        </w:rPr>
        <w:t>0.00万元，与上年决算数持平。因</w:t>
      </w:r>
      <w:r>
        <w:rPr>
          <w:rFonts w:ascii="方正仿宋_GBK" w:eastAsia="方正仿宋_GBK" w:cs="仿宋"/>
          <w:sz w:val="32"/>
          <w:szCs w:val="32"/>
        </w:rPr>
        <w:t>与行政合署办公的</w:t>
      </w:r>
      <w:r>
        <w:rPr>
          <w:rFonts w:hint="default" w:ascii="方正仿宋_GBK" w:eastAsia="方正仿宋_GBK" w:cs="仿宋"/>
          <w:sz w:val="32"/>
          <w:szCs w:val="32"/>
        </w:rPr>
        <w:t>原因，</w:t>
      </w:r>
      <w:r>
        <w:rPr>
          <w:rFonts w:ascii="方正仿宋_GBK" w:eastAsia="方正仿宋_GBK" w:cs="仿宋"/>
          <w:sz w:val="32"/>
          <w:szCs w:val="32"/>
        </w:rPr>
        <w:t>我单位</w:t>
      </w:r>
      <w:r>
        <w:rPr>
          <w:rFonts w:hint="default" w:ascii="方正仿宋_GBK" w:eastAsia="方正仿宋_GBK" w:cs="仿宋"/>
          <w:sz w:val="32"/>
          <w:szCs w:val="32"/>
        </w:rPr>
        <w:t>未使用财政资金保障会议费、培训费。</w:t>
      </w:r>
      <w:r>
        <w:rPr>
          <w:rFonts w:ascii="方正仿宋_GBK" w:eastAsia="方正仿宋_GBK" w:cs="仿宋"/>
          <w:sz w:val="32"/>
          <w:szCs w:val="32"/>
        </w:rPr>
        <w:t xml:space="preserve">    </w:t>
      </w:r>
    </w:p>
    <w:p>
      <w:pPr>
        <w:adjustRightIn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本年度差旅费支出1.39万元，与2023年度相比，减少0.49万元，下降26.1%，主要原因是</w:t>
      </w:r>
      <w:r>
        <w:rPr>
          <w:rFonts w:ascii="方正仿宋_GBK" w:eastAsia="方正仿宋_GBK" w:cs="仿宋"/>
          <w:sz w:val="32"/>
          <w:szCs w:val="32"/>
        </w:rPr>
        <w:t>本年度规范差旅费报销，差旅费支出减少。</w:t>
      </w:r>
    </w:p>
    <w:p>
      <w:pPr>
        <w:adjustRightIn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（二）机关运行经费情况说明</w:t>
      </w:r>
    </w:p>
    <w:p>
      <w:pPr>
        <w:adjustRightIn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按照部门决算列报口径，我</w:t>
      </w:r>
      <w:r>
        <w:rPr>
          <w:rFonts w:ascii="方正仿宋_GBK" w:eastAsia="方正仿宋_GBK" w:cs="仿宋"/>
          <w:sz w:val="32"/>
          <w:szCs w:val="32"/>
        </w:rPr>
        <w:t>单位</w:t>
      </w:r>
      <w:r>
        <w:rPr>
          <w:rFonts w:hint="default" w:ascii="方正仿宋_GBK" w:eastAsia="方正仿宋_GBK" w:cs="仿宋"/>
          <w:sz w:val="32"/>
          <w:szCs w:val="32"/>
        </w:rPr>
        <w:t>不在机关运行经费统计范围之内。</w:t>
      </w:r>
    </w:p>
    <w:p>
      <w:pPr>
        <w:adjustRightIn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（三）国有资产占用情况说明</w:t>
      </w:r>
    </w:p>
    <w:p>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截至</w:t>
      </w:r>
      <w:r>
        <w:rPr>
          <w:rFonts w:hint="default" w:ascii="方正仿宋_GBK" w:hAnsi="方正仿宋_GBK" w:eastAsia="方正仿宋_GBK" w:cs="方正仿宋_GBK"/>
          <w:sz w:val="32"/>
          <w:szCs w:val="32"/>
        </w:rPr>
        <w:t>2024年12月31日，本</w:t>
      </w:r>
      <w:r>
        <w:rPr>
          <w:rFonts w:ascii="方正仿宋_GBK" w:hAnsi="方正仿宋_GBK" w:eastAsia="方正仿宋_GBK" w:cs="方正仿宋_GBK"/>
          <w:sz w:val="32"/>
          <w:szCs w:val="32"/>
        </w:rPr>
        <w:t>单位</w:t>
      </w:r>
      <w:r>
        <w:rPr>
          <w:rFonts w:hint="default" w:ascii="方正仿宋_GBK" w:hAnsi="方正仿宋_GBK" w:eastAsia="方正仿宋_GBK" w:cs="方正仿宋_GBK"/>
          <w:sz w:val="32"/>
          <w:szCs w:val="32"/>
        </w:rPr>
        <w:t>共有车辆</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辆，其中，副部（省）级及以上领导用车0辆、主要负责人用车0辆、机要通信用车0辆、应急保障用车3辆、执法执勤用车15辆，特种专业技术用车5辆，离退休干部用车0辆。单价100万元（含）以上专用设备0台（套）。</w:t>
      </w:r>
    </w:p>
    <w:p>
      <w:pPr>
        <w:adjustRightIn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（四）政府采购支出情况说明</w:t>
      </w:r>
    </w:p>
    <w:p>
      <w:pPr>
        <w:adjustRightInd w:val="0"/>
        <w:spacing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hint="default" w:ascii="方正仿宋_GBK" w:eastAsia="方正仿宋_GBK" w:cs="仿宋"/>
          <w:sz w:val="32"/>
          <w:szCs w:val="32"/>
        </w:rPr>
        <w:t>2024年度我</w:t>
      </w:r>
      <w:r>
        <w:rPr>
          <w:rFonts w:ascii="方正仿宋_GBK" w:eastAsia="方正仿宋_GBK" w:cs="仿宋"/>
          <w:sz w:val="32"/>
          <w:szCs w:val="32"/>
        </w:rPr>
        <w:t>单位</w:t>
      </w:r>
      <w:r>
        <w:rPr>
          <w:rFonts w:hint="default" w:ascii="方正仿宋_GBK" w:eastAsia="方正仿宋_GBK" w:cs="仿宋"/>
          <w:sz w:val="32"/>
          <w:szCs w:val="32"/>
        </w:rPr>
        <w:t>未发生政府采购事项，无相关经费支出。</w:t>
      </w:r>
    </w:p>
    <w:p>
      <w:pPr>
        <w:spacing w:line="594" w:lineRule="exact"/>
        <w:ind w:firstLine="640" w:firstLineChars="200"/>
        <w:rPr>
          <w:rFonts w:hint="default" w:ascii="方正黑体_GBK" w:hAnsi="Times New Roman" w:eastAsia="方正黑体_GBK"/>
          <w:sz w:val="32"/>
          <w:szCs w:val="32"/>
        </w:rPr>
      </w:pPr>
      <w:r>
        <w:rPr>
          <w:rFonts w:ascii="方正黑体_GBK" w:hAnsi="Times New Roman" w:eastAsia="方正黑体_GBK"/>
          <w:sz w:val="32"/>
          <w:szCs w:val="32"/>
        </w:rPr>
        <w:t>五、2024年度预算绩效管理情况说明</w:t>
      </w:r>
    </w:p>
    <w:p>
      <w:pPr>
        <w:spacing w:line="570" w:lineRule="exact"/>
        <w:ind w:firstLine="640" w:firstLineChars="200"/>
        <w:rPr>
          <w:rFonts w:hint="default" w:ascii="方正楷体_GBK" w:hAnsi="Times New Roman" w:eastAsia="方正楷体_GBK"/>
          <w:bCs/>
          <w:sz w:val="32"/>
          <w:szCs w:val="32"/>
        </w:rPr>
      </w:pPr>
      <w:r>
        <w:rPr>
          <w:rFonts w:ascii="方正楷体_GBK" w:hAnsi="Times New Roman" w:eastAsia="方正楷体_GBK"/>
          <w:bCs/>
          <w:sz w:val="32"/>
          <w:szCs w:val="32"/>
        </w:rPr>
        <w:t>（一）单位自评情况</w:t>
      </w:r>
    </w:p>
    <w:p>
      <w:pPr>
        <w:spacing w:line="570" w:lineRule="exact"/>
        <w:ind w:firstLine="640" w:firstLineChars="200"/>
        <w:rPr>
          <w:rFonts w:hint="default" w:ascii="Times New Roman" w:hAnsi="Times New Roman" w:eastAsia="方正仿宋_GBK"/>
          <w:bCs/>
          <w:sz w:val="32"/>
          <w:szCs w:val="32"/>
        </w:rPr>
      </w:pPr>
      <w:r>
        <w:rPr>
          <w:rFonts w:ascii="Times New Roman" w:hAnsi="Times New Roman" w:eastAsia="方正仿宋_GBK"/>
          <w:bCs/>
          <w:sz w:val="32"/>
          <w:szCs w:val="32"/>
        </w:rPr>
        <w:t>我单位无项目支出，未开展绩效自评。</w:t>
      </w:r>
    </w:p>
    <w:p>
      <w:pPr>
        <w:spacing w:line="570" w:lineRule="exact"/>
        <w:ind w:firstLine="640" w:firstLineChars="200"/>
        <w:rPr>
          <w:rFonts w:hint="default" w:ascii="方正楷体_GBK" w:hAnsi="Times New Roman" w:eastAsia="方正楷体_GBK"/>
          <w:bCs/>
          <w:sz w:val="32"/>
          <w:szCs w:val="32"/>
        </w:rPr>
      </w:pPr>
      <w:r>
        <w:rPr>
          <w:rFonts w:ascii="方正楷体_GBK" w:hAnsi="Times New Roman" w:eastAsia="方正楷体_GBK"/>
          <w:bCs/>
          <w:sz w:val="32"/>
          <w:szCs w:val="32"/>
        </w:rPr>
        <w:t>（二）单位绩效评价情况</w:t>
      </w:r>
    </w:p>
    <w:p>
      <w:pPr>
        <w:spacing w:line="570" w:lineRule="exact"/>
        <w:ind w:firstLine="640" w:firstLineChars="200"/>
        <w:rPr>
          <w:rFonts w:hint="default" w:ascii="Times New Roman" w:hAnsi="Times New Roman" w:eastAsia="方正仿宋_GBK"/>
          <w:bCs/>
          <w:sz w:val="32"/>
          <w:szCs w:val="32"/>
        </w:rPr>
      </w:pPr>
      <w:r>
        <w:rPr>
          <w:rFonts w:ascii="Times New Roman" w:hAnsi="Times New Roman" w:eastAsia="方正仿宋_GBK"/>
          <w:bCs/>
          <w:sz w:val="32"/>
          <w:szCs w:val="32"/>
        </w:rPr>
        <w:t>我单位未组织开展绩效评价</w:t>
      </w:r>
    </w:p>
    <w:p>
      <w:pPr>
        <w:spacing w:line="570" w:lineRule="exact"/>
        <w:ind w:firstLine="640" w:firstLineChars="200"/>
        <w:rPr>
          <w:rFonts w:hint="default" w:ascii="方正楷体_GBK" w:hAnsi="Times New Roman" w:eastAsia="方正楷体_GBK"/>
          <w:bCs/>
          <w:sz w:val="32"/>
          <w:szCs w:val="32"/>
        </w:rPr>
      </w:pPr>
      <w:r>
        <w:rPr>
          <w:rFonts w:ascii="方正楷体_GBK" w:hAnsi="Times New Roman" w:eastAsia="方正楷体_GBK"/>
          <w:bCs/>
          <w:sz w:val="32"/>
          <w:szCs w:val="32"/>
        </w:rPr>
        <w:t>（三）财政绩效评价情况</w:t>
      </w:r>
    </w:p>
    <w:p>
      <w:pPr>
        <w:spacing w:line="570" w:lineRule="exact"/>
        <w:ind w:firstLine="640" w:firstLineChars="200"/>
        <w:rPr>
          <w:rFonts w:hint="default" w:ascii="Times New Roman" w:hAnsi="Times New Roman" w:eastAsia="方正仿宋_GBK"/>
          <w:bCs/>
          <w:sz w:val="32"/>
          <w:szCs w:val="32"/>
        </w:rPr>
      </w:pPr>
      <w:r>
        <w:rPr>
          <w:rFonts w:ascii="Times New Roman" w:hAnsi="Times New Roman" w:eastAsia="方正仿宋_GBK"/>
          <w:bCs/>
          <w:sz w:val="32"/>
          <w:szCs w:val="32"/>
        </w:rPr>
        <w:t>县财政局未委托第三方对我单位开展绩效评价。</w:t>
      </w:r>
    </w:p>
    <w:p>
      <w:pPr>
        <w:adjustRightInd w:val="0"/>
        <w:snapToGrid w:val="0"/>
        <w:spacing w:line="594"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六、专有名词解释</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（二）事业收入：指事业单位开展专业业务活动及其辅助活动取得的现金流入；事业单位收到的财政专户实际核拨的教育收费等资金在此反映。</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（三）经营收入：指事业单位在专业业务活动及其辅助活动之外开展非独立核算经营活动取得的现金流入。</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（五）使用非财政拨款结余：指单位在当年的“财政拨款收入”、“事业收入”、“经营收入”、“其他收入”等不足以安排当年支出的情况下，使用以前年度积累的非财政拨款结余弥补本年度收支缺口的资金。</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（六）年初结转和结余：指单位上年结转本年使用的基本支出结转、项目支出结转和结余、经营结余。</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（七）结余分配：指单位按照国家有关规定，缴纳所得税、提取专用基金、转入非财政拨款结余等当年结余的分配情况。</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（八）年末结转和结余：指单位结转下年的基本支出结转、项目支出结转和结余、经营结余。</w:t>
      </w:r>
    </w:p>
    <w:p>
      <w:pPr>
        <w:adjustRightInd w:val="0"/>
        <w:snapToGrid w:val="0"/>
        <w:spacing w:line="594" w:lineRule="exact"/>
        <w:ind w:firstLine="480" w:firstLineChars="150"/>
        <w:rPr>
          <w:rFonts w:hint="default" w:ascii="Times New Roman" w:hAnsi="Times New Roman" w:eastAsia="方正仿宋_GBK"/>
          <w:sz w:val="32"/>
          <w:szCs w:val="32"/>
        </w:rPr>
      </w:pPr>
      <w:r>
        <w:rPr>
          <w:rFonts w:ascii="Times New Roman" w:hAnsi="Times New Roman" w:eastAsia="方正仿宋_GBK"/>
          <w:sz w:val="32"/>
          <w:szCs w:val="32"/>
        </w:rPr>
        <w:t xml:space="preserve">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（十）项目支出：指在基本支出之外为完成特定行政任务和事业发展目标所发生的支出。</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（十一）经营支出：指事业单位在专业业务活动及其辅助活动之外开展非独立核算经营活动发生的支出。</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（十四）工资福利支出（支出经济分类科目类级）：反映单位开支的在职职工和编制外长期聘用人员的各类劳动报酬，以及为上述人员缴纳的各项社会保险费等。</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（十五）商品和服务支出（支出经济分类科目类级）：反映单位购买商品和服务的支出（不包括用于购置固定资产的支出、战略性和应急储备支出）。</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（十六）对个人和家庭的补助（支出经济分类科目类级）：反映用于对个人和家庭的补助支出。</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adjustRightInd w:val="0"/>
        <w:snapToGrid w:val="0"/>
        <w:spacing w:line="594"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七、决算公开联系方式及信息反馈渠道</w:t>
      </w:r>
    </w:p>
    <w:p>
      <w:pPr>
        <w:adjustRightInd w:val="0"/>
        <w:snapToGrid w:val="0"/>
        <w:spacing w:line="594" w:lineRule="exact"/>
        <w:ind w:firstLine="640" w:firstLineChars="200"/>
        <w:rPr>
          <w:rFonts w:hint="default" w:ascii="方正仿宋_GBK" w:hAnsi="Times New Roman" w:eastAsia="方正仿宋_GBK"/>
          <w:sz w:val="32"/>
          <w:szCs w:val="32"/>
        </w:rPr>
      </w:pPr>
      <w:r>
        <w:rPr>
          <w:rFonts w:ascii="方正仿宋_GBK" w:hAnsi="Times New Roman" w:eastAsia="方正仿宋_GBK"/>
          <w:sz w:val="32"/>
          <w:szCs w:val="32"/>
        </w:rPr>
        <w:t>本单位决算公开信息反馈和联系方式：</w:t>
      </w:r>
    </w:p>
    <w:p>
      <w:pPr>
        <w:adjustRightInd w:val="0"/>
        <w:snapToGrid w:val="0"/>
        <w:spacing w:line="594" w:lineRule="exact"/>
        <w:ind w:firstLine="640" w:firstLineChars="200"/>
        <w:rPr>
          <w:rFonts w:hint="default" w:ascii="方正仿宋_GBK" w:hAnsi="Times New Roman" w:eastAsia="方正仿宋_GBK"/>
          <w:sz w:val="32"/>
          <w:szCs w:val="32"/>
        </w:rPr>
      </w:pPr>
      <w:r>
        <w:rPr>
          <w:rFonts w:ascii="方正仿宋_GBK" w:hAnsi="Times New Roman" w:eastAsia="方正仿宋_GBK"/>
          <w:sz w:val="32"/>
          <w:szCs w:val="32"/>
        </w:rPr>
        <w:t>秦朝波        023-70708551</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tblInd w:w="0" w:type="dxa"/>
        <w:tblLayout w:type="autofit"/>
        <w:tblCellMar>
          <w:top w:w="0" w:type="dxa"/>
          <w:left w:w="108" w:type="dxa"/>
          <w:bottom w:w="0" w:type="dxa"/>
          <w:right w:w="108" w:type="dxa"/>
        </w:tblCellMar>
      </w:tblPr>
      <w:tblGrid>
        <w:gridCol w:w="94"/>
        <w:gridCol w:w="5217"/>
        <w:gridCol w:w="1012"/>
        <w:gridCol w:w="4893"/>
        <w:gridCol w:w="1798"/>
        <w:gridCol w:w="6193"/>
      </w:tblGrid>
      <w:tr>
        <w:tblPrEx>
          <w:tblCellMar>
            <w:top w:w="0" w:type="dxa"/>
            <w:left w:w="108" w:type="dxa"/>
            <w:bottom w:w="0" w:type="dxa"/>
            <w:right w:w="108" w:type="dxa"/>
          </w:tblCellMar>
        </w:tblPrEx>
        <w:trPr>
          <w:gridBefore w:val="1"/>
          <w:gridAfter w:val="1"/>
          <w:wBefore w:w="94" w:type="dxa"/>
          <w:wAfter w:w="6193" w:type="dxa"/>
          <w:trHeight w:val="540" w:hRule="atLeast"/>
        </w:trPr>
        <w:tc>
          <w:tcPr>
            <w:tcW w:w="12920" w:type="dxa"/>
            <w:gridSpan w:val="4"/>
            <w:tcBorders>
              <w:top w:val="nil"/>
              <w:left w:val="nil"/>
              <w:bottom w:val="nil"/>
              <w:right w:val="nil"/>
            </w:tcBorders>
            <w:shd w:val="clear" w:color="auto" w:fill="auto"/>
            <w:noWrap/>
            <w:vAlign w:val="bottom"/>
          </w:tcPr>
          <w:p>
            <w:pPr>
              <w:jc w:val="center"/>
              <w:rPr>
                <w:rFonts w:hint="default" w:cs="宋体"/>
                <w:b/>
                <w:bCs/>
                <w:color w:val="000000"/>
                <w:sz w:val="44"/>
                <w:szCs w:val="44"/>
              </w:rPr>
            </w:pPr>
            <w:r>
              <w:rPr>
                <w:b/>
                <w:bCs/>
                <w:color w:val="000000"/>
                <w:sz w:val="44"/>
                <w:szCs w:val="44"/>
              </w:rPr>
              <w:t>收入支出决算总表</w:t>
            </w:r>
          </w:p>
        </w:tc>
      </w:tr>
      <w:tr>
        <w:tblPrEx>
          <w:tblCellMar>
            <w:top w:w="0" w:type="dxa"/>
            <w:left w:w="108" w:type="dxa"/>
            <w:bottom w:w="0" w:type="dxa"/>
            <w:right w:w="108" w:type="dxa"/>
          </w:tblCellMar>
        </w:tblPrEx>
        <w:trPr>
          <w:gridBefore w:val="1"/>
          <w:gridAfter w:val="1"/>
          <w:wBefore w:w="94" w:type="dxa"/>
          <w:wAfter w:w="6193" w:type="dxa"/>
          <w:trHeight w:val="285" w:hRule="atLeast"/>
        </w:trPr>
        <w:tc>
          <w:tcPr>
            <w:tcW w:w="5217"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012" w:type="dxa"/>
            <w:tcBorders>
              <w:top w:val="nil"/>
              <w:left w:val="nil"/>
              <w:bottom w:val="nil"/>
              <w:right w:val="nil"/>
            </w:tcBorders>
            <w:shd w:val="clear" w:color="auto" w:fill="auto"/>
            <w:noWrap/>
            <w:vAlign w:val="bottom"/>
          </w:tcPr>
          <w:p>
            <w:pPr>
              <w:jc w:val="right"/>
              <w:rPr>
                <w:rFonts w:hint="default" w:ascii="Arial" w:hAnsi="Arial" w:cs="Arial"/>
                <w:color w:val="000000"/>
                <w:sz w:val="20"/>
                <w:szCs w:val="20"/>
              </w:rPr>
            </w:pPr>
          </w:p>
        </w:tc>
        <w:tc>
          <w:tcPr>
            <w:tcW w:w="489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98" w:type="dxa"/>
            <w:tcBorders>
              <w:top w:val="nil"/>
              <w:left w:val="nil"/>
              <w:bottom w:val="nil"/>
              <w:right w:val="nil"/>
            </w:tcBorders>
            <w:shd w:val="clear" w:color="auto" w:fill="auto"/>
            <w:noWrap/>
            <w:vAlign w:val="bottom"/>
          </w:tcPr>
          <w:p>
            <w:pPr>
              <w:jc w:val="right"/>
              <w:rPr>
                <w:rFonts w:hint="default" w:cs="宋体"/>
                <w:color w:val="000000"/>
              </w:rPr>
            </w:pPr>
            <w:r>
              <w:rPr>
                <w:color w:val="000000"/>
              </w:rPr>
              <w:t>公开01表</w:t>
            </w:r>
          </w:p>
        </w:tc>
      </w:tr>
      <w:tr>
        <w:tblPrEx>
          <w:tblCellMar>
            <w:top w:w="0" w:type="dxa"/>
            <w:left w:w="108" w:type="dxa"/>
            <w:bottom w:w="0" w:type="dxa"/>
            <w:right w:w="108" w:type="dxa"/>
          </w:tblCellMar>
        </w:tblPrEx>
        <w:trPr>
          <w:gridBefore w:val="1"/>
          <w:gridAfter w:val="1"/>
          <w:wBefore w:w="94" w:type="dxa"/>
          <w:wAfter w:w="6193" w:type="dxa"/>
          <w:trHeight w:val="285" w:hRule="atLeast"/>
        </w:trPr>
        <w:tc>
          <w:tcPr>
            <w:tcW w:w="6229" w:type="dxa"/>
            <w:gridSpan w:val="2"/>
            <w:tcBorders>
              <w:top w:val="nil"/>
              <w:left w:val="nil"/>
              <w:bottom w:val="nil"/>
              <w:right w:val="nil"/>
            </w:tcBorders>
            <w:shd w:val="clear" w:color="auto" w:fill="auto"/>
            <w:noWrap/>
            <w:vAlign w:val="bottom"/>
          </w:tcPr>
          <w:p>
            <w:pPr>
              <w:rPr>
                <w:rFonts w:hint="default" w:cs="宋体"/>
                <w:color w:val="000000"/>
              </w:rPr>
            </w:pPr>
            <w:r>
              <w:rPr>
                <w:color w:val="000000"/>
              </w:rPr>
              <w:t>单位：重庆市丰都县消费者权益保护委员会</w:t>
            </w:r>
          </w:p>
        </w:tc>
        <w:tc>
          <w:tcPr>
            <w:tcW w:w="489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98" w:type="dxa"/>
            <w:tcBorders>
              <w:top w:val="nil"/>
              <w:left w:val="nil"/>
              <w:bottom w:val="nil"/>
              <w:right w:val="nil"/>
            </w:tcBorders>
            <w:shd w:val="clear" w:color="auto" w:fill="auto"/>
            <w:noWrap/>
            <w:vAlign w:val="bottom"/>
          </w:tcPr>
          <w:p>
            <w:pPr>
              <w:jc w:val="right"/>
              <w:rPr>
                <w:rFonts w:hint="default" w:cs="宋体"/>
                <w:color w:val="000000"/>
              </w:rPr>
            </w:pPr>
            <w:r>
              <w:rPr>
                <w:color w:val="000000"/>
              </w:rPr>
              <w:t>单位：万元</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6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b/>
                <w:bCs/>
                <w:color w:val="000000"/>
                <w:sz w:val="22"/>
                <w:szCs w:val="22"/>
              </w:rPr>
              <w:t>收入</w:t>
            </w:r>
          </w:p>
        </w:tc>
        <w:tc>
          <w:tcPr>
            <w:tcW w:w="6691"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b/>
                <w:bCs/>
                <w:color w:val="000000"/>
                <w:sz w:val="22"/>
                <w:szCs w:val="22"/>
              </w:rPr>
              <w:t>支出</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b/>
                <w:bCs/>
                <w:color w:val="000000"/>
                <w:sz w:val="22"/>
                <w:szCs w:val="22"/>
              </w:rPr>
              <w:t>项目</w:t>
            </w:r>
          </w:p>
        </w:tc>
        <w:tc>
          <w:tcPr>
            <w:tcW w:w="1012" w:type="dxa"/>
            <w:tcBorders>
              <w:top w:val="nil"/>
              <w:left w:val="nil"/>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b/>
                <w:bCs/>
                <w:color w:val="000000"/>
                <w:sz w:val="22"/>
                <w:szCs w:val="22"/>
              </w:rPr>
              <w:t>决算数</w:t>
            </w:r>
          </w:p>
        </w:tc>
        <w:tc>
          <w:tcPr>
            <w:tcW w:w="4893" w:type="dxa"/>
            <w:tcBorders>
              <w:top w:val="nil"/>
              <w:left w:val="nil"/>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b/>
                <w:bCs/>
                <w:color w:val="000000"/>
                <w:sz w:val="22"/>
                <w:szCs w:val="22"/>
              </w:rPr>
              <w:t>功能分类科目</w:t>
            </w:r>
          </w:p>
        </w:tc>
        <w:tc>
          <w:tcPr>
            <w:tcW w:w="1798" w:type="dxa"/>
            <w:tcBorders>
              <w:top w:val="nil"/>
              <w:left w:val="nil"/>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b/>
                <w:bCs/>
                <w:color w:val="000000"/>
                <w:sz w:val="22"/>
                <w:szCs w:val="22"/>
              </w:rPr>
              <w:t>决算数</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一、一般公共预算财政拨款收入</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96.52</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一、一般公共服务支出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73.97</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二、政府性基金预算财政拨款收入</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二、外交支出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三、国有资本经营预算财政拨款收入</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三、国防支出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四、上级补助收入</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四、公共安全支出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五、事业收入</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五、教育支出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六、经营收入</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六、科学技术支出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七、附属单位上缴收入</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七、文化旅游体育与传媒支出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八、其他收入</w:t>
            </w:r>
          </w:p>
        </w:tc>
        <w:tc>
          <w:tcPr>
            <w:tcW w:w="1012" w:type="dxa"/>
            <w:tcBorders>
              <w:top w:val="nil"/>
              <w:left w:val="nil"/>
              <w:bottom w:val="nil"/>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八、社会保障和就业支出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13.83</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　</w:t>
            </w:r>
          </w:p>
        </w:tc>
        <w:tc>
          <w:tcPr>
            <w:tcW w:w="1012" w:type="dxa"/>
            <w:tcBorders>
              <w:top w:val="single" w:color="auto" w:sz="4" w:space="0"/>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　</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九、卫生健康支出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4.31</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　</w:t>
            </w:r>
          </w:p>
        </w:tc>
        <w:tc>
          <w:tcPr>
            <w:tcW w:w="101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　</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十、节能环保支出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　</w:t>
            </w:r>
          </w:p>
        </w:tc>
        <w:tc>
          <w:tcPr>
            <w:tcW w:w="101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　</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十一、城乡社区支出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　</w:t>
            </w:r>
          </w:p>
        </w:tc>
        <w:tc>
          <w:tcPr>
            <w:tcW w:w="101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　</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十二、农林水支出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　</w:t>
            </w:r>
          </w:p>
        </w:tc>
        <w:tc>
          <w:tcPr>
            <w:tcW w:w="101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color w:val="000000"/>
                <w:sz w:val="22"/>
                <w:szCs w:val="22"/>
              </w:rPr>
              <w:t>　</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十三、交通运输支出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　</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　</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十四、资源勘探工业信息等支出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　</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　</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十五、商业服务业等支出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　</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　</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十六、金融支出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　</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　</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十七、援助其他地区支出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　</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　</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十八、自然资源海洋气象等支出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　</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　</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十九、住房保障支出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4.41</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　</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　</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二十、粮油物资储备支出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　</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　</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二十一、国有资本经营预算支出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　</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　</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二十二、灾害防治及应急管理支出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　</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　</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二十三、其他支出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b/>
                <w:bCs/>
                <w:color w:val="000000"/>
                <w:sz w:val="22"/>
                <w:szCs w:val="22"/>
              </w:rPr>
              <w:t>　</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　</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二十四、债务还本支出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　</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　</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二十五、债务付息支出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　</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　</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二十六、抗疫特别国债安排的支出</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b/>
                <w:bCs/>
                <w:color w:val="000000"/>
                <w:sz w:val="22"/>
                <w:szCs w:val="22"/>
              </w:rPr>
              <w:t>本年收入合计</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96.52</w:t>
            </w:r>
          </w:p>
        </w:tc>
        <w:tc>
          <w:tcPr>
            <w:tcW w:w="4893" w:type="dxa"/>
            <w:tcBorders>
              <w:top w:val="nil"/>
              <w:left w:val="nil"/>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b/>
                <w:bCs/>
                <w:color w:val="000000"/>
                <w:sz w:val="22"/>
                <w:szCs w:val="22"/>
              </w:rPr>
              <w:t>本年支出合计</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96.52</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使用非财政拨款结余和专用结余</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结余分配</w:t>
            </w:r>
          </w:p>
        </w:tc>
        <w:tc>
          <w:tcPr>
            <w:tcW w:w="1798"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年初结转和结余</w:t>
            </w:r>
          </w:p>
        </w:tc>
        <w:tc>
          <w:tcPr>
            <w:tcW w:w="1012"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c>
          <w:tcPr>
            <w:tcW w:w="4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b/>
                <w:bCs/>
                <w:color w:val="000000"/>
                <w:sz w:val="22"/>
                <w:szCs w:val="22"/>
              </w:rPr>
              <w:t>年末结转和结余</w:t>
            </w:r>
          </w:p>
        </w:tc>
        <w:tc>
          <w:tcPr>
            <w:tcW w:w="1798" w:type="dxa"/>
            <w:tcBorders>
              <w:top w:val="nil"/>
              <w:left w:val="nil"/>
              <w:bottom w:val="nil"/>
              <w:right w:val="single" w:color="000000" w:sz="4" w:space="0"/>
            </w:tcBorders>
            <w:shd w:val="clear" w:color="auto" w:fill="auto"/>
            <w:noWrap/>
            <w:vAlign w:val="center"/>
          </w:tcPr>
          <w:p>
            <w:pPr>
              <w:jc w:val="right"/>
              <w:rPr>
                <w:rFonts w:hint="default" w:cs="宋体"/>
                <w:color w:val="000000"/>
                <w:sz w:val="22"/>
                <w:szCs w:val="22"/>
              </w:rPr>
            </w:pPr>
            <w:r>
              <w:rPr>
                <w:color w:val="000000"/>
                <w:sz w:val="22"/>
                <w:szCs w:val="22"/>
              </w:rPr>
              <w:t>0.00</w:t>
            </w:r>
          </w:p>
        </w:tc>
      </w:tr>
      <w:tr>
        <w:tblPrEx>
          <w:tblCellMar>
            <w:top w:w="0" w:type="dxa"/>
            <w:left w:w="108" w:type="dxa"/>
            <w:bottom w:w="0" w:type="dxa"/>
            <w:right w:w="108" w:type="dxa"/>
          </w:tblCellMar>
        </w:tblPrEx>
        <w:trPr>
          <w:gridBefore w:val="1"/>
          <w:gridAfter w:val="1"/>
          <w:wBefore w:w="94" w:type="dxa"/>
          <w:wAfter w:w="6193" w:type="dxa"/>
          <w:trHeight w:val="308" w:hRule="atLeast"/>
        </w:trPr>
        <w:tc>
          <w:tcPr>
            <w:tcW w:w="5217"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b/>
                <w:bCs/>
                <w:color w:val="000000"/>
                <w:sz w:val="22"/>
                <w:szCs w:val="22"/>
              </w:rPr>
              <w:t>总计</w:t>
            </w:r>
          </w:p>
        </w:tc>
        <w:tc>
          <w:tcPr>
            <w:tcW w:w="101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color w:val="000000"/>
                <w:sz w:val="22"/>
                <w:szCs w:val="22"/>
              </w:rPr>
              <w:t>96.52</w:t>
            </w:r>
          </w:p>
        </w:tc>
        <w:tc>
          <w:tcPr>
            <w:tcW w:w="4893" w:type="dxa"/>
            <w:tcBorders>
              <w:top w:val="nil"/>
              <w:left w:val="nil"/>
              <w:bottom w:val="single" w:color="000000" w:sz="4" w:space="0"/>
              <w:right w:val="nil"/>
            </w:tcBorders>
            <w:shd w:val="clear" w:color="auto" w:fill="auto"/>
            <w:noWrap/>
            <w:vAlign w:val="center"/>
          </w:tcPr>
          <w:p>
            <w:pPr>
              <w:jc w:val="center"/>
              <w:rPr>
                <w:rFonts w:hint="default" w:cs="宋体"/>
                <w:b/>
                <w:bCs/>
                <w:color w:val="000000"/>
                <w:sz w:val="22"/>
                <w:szCs w:val="22"/>
              </w:rPr>
            </w:pPr>
            <w:r>
              <w:rPr>
                <w:b/>
                <w:bCs/>
                <w:color w:val="000000"/>
                <w:sz w:val="22"/>
                <w:szCs w:val="22"/>
              </w:rPr>
              <w:t>总计</w:t>
            </w:r>
          </w:p>
        </w:tc>
        <w:tc>
          <w:tcPr>
            <w:tcW w:w="179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color w:val="000000"/>
                <w:sz w:val="20"/>
                <w:szCs w:val="20"/>
              </w:rPr>
              <w:t>96.52</w:t>
            </w:r>
          </w:p>
        </w:tc>
      </w:tr>
      <w:tr>
        <w:tblPrEx>
          <w:tblCellMar>
            <w:top w:w="0" w:type="dxa"/>
            <w:left w:w="108" w:type="dxa"/>
            <w:bottom w:w="0" w:type="dxa"/>
            <w:right w:w="108" w:type="dxa"/>
          </w:tblCellMar>
        </w:tblPrEx>
        <w:trPr>
          <w:gridBefore w:val="1"/>
          <w:gridAfter w:val="1"/>
          <w:wBefore w:w="94" w:type="dxa"/>
          <w:wAfter w:w="6193" w:type="dxa"/>
          <w:trHeight w:val="762" w:hRule="atLeast"/>
        </w:trPr>
        <w:tc>
          <w:tcPr>
            <w:tcW w:w="12920" w:type="dxa"/>
            <w:gridSpan w:val="4"/>
            <w:tcBorders>
              <w:top w:val="nil"/>
              <w:left w:val="nil"/>
              <w:bottom w:val="nil"/>
              <w:right w:val="nil"/>
            </w:tcBorders>
            <w:shd w:val="clear" w:color="auto" w:fill="auto"/>
            <w:vAlign w:val="center"/>
          </w:tcPr>
          <w:p>
            <w:pPr>
              <w:rPr>
                <w:rFonts w:hint="default" w:cs="宋体"/>
                <w:color w:val="000000"/>
                <w:sz w:val="18"/>
                <w:szCs w:val="18"/>
              </w:rPr>
            </w:pPr>
            <w:r>
              <w:rPr>
                <w:color w:val="000000"/>
                <w:sz w:val="18"/>
                <w:szCs w:val="18"/>
              </w:rPr>
              <w:t>备注：1.本表反映单位本年度的总收支和年末结转结余情况。</w:t>
            </w:r>
            <w:r>
              <w:rPr>
                <w:color w:val="000000"/>
                <w:sz w:val="18"/>
                <w:szCs w:val="18"/>
              </w:rPr>
              <w:br w:type="textWrapping"/>
            </w:r>
            <w:r>
              <w:rPr>
                <w:color w:val="000000"/>
                <w:sz w:val="18"/>
                <w:szCs w:val="18"/>
              </w:rPr>
              <w:t xml:space="preserve">      2.本套报表金额单位转换时可能存在尾数误差。</w:t>
            </w:r>
          </w:p>
        </w:tc>
      </w:tr>
      <w:tr>
        <w:tblPrEx>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p>
        </w:tc>
      </w:tr>
    </w:tbl>
    <w:p>
      <w:pPr>
        <w:pStyle w:val="9"/>
        <w:autoSpaceDE w:val="0"/>
        <w:ind w:firstLine="0" w:firstLineChars="0"/>
        <w:rPr>
          <w:rFonts w:cs="宋体"/>
          <w:sz w:val="21"/>
          <w:szCs w:val="21"/>
        </w:rPr>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pPr>
    </w:p>
    <w:tbl>
      <w:tblPr>
        <w:tblStyle w:val="6"/>
        <w:tblW w:w="22443" w:type="dxa"/>
        <w:tblInd w:w="93" w:type="dxa"/>
        <w:tblLayout w:type="fixed"/>
        <w:tblCellMar>
          <w:top w:w="0" w:type="dxa"/>
          <w:left w:w="108" w:type="dxa"/>
          <w:bottom w:w="0" w:type="dxa"/>
          <w:right w:w="108" w:type="dxa"/>
        </w:tblCellMar>
      </w:tblPr>
      <w:tblGrid>
        <w:gridCol w:w="599"/>
        <w:gridCol w:w="598"/>
        <w:gridCol w:w="598"/>
        <w:gridCol w:w="5438"/>
        <w:gridCol w:w="1888"/>
        <w:gridCol w:w="1888"/>
        <w:gridCol w:w="1803"/>
        <w:gridCol w:w="1803"/>
        <w:gridCol w:w="1803"/>
        <w:gridCol w:w="1803"/>
        <w:gridCol w:w="1803"/>
        <w:gridCol w:w="2397"/>
        <w:gridCol w:w="22"/>
      </w:tblGrid>
      <w:tr>
        <w:tblPrEx>
          <w:tblCellMar>
            <w:top w:w="0" w:type="dxa"/>
            <w:left w:w="108" w:type="dxa"/>
            <w:bottom w:w="0" w:type="dxa"/>
            <w:right w:w="108" w:type="dxa"/>
          </w:tblCellMar>
        </w:tblPrEx>
        <w:trPr>
          <w:trHeight w:val="390" w:hRule="atLeast"/>
        </w:trPr>
        <w:tc>
          <w:tcPr>
            <w:tcW w:w="22443" w:type="dxa"/>
            <w:gridSpan w:val="13"/>
            <w:tcBorders>
              <w:top w:val="nil"/>
              <w:left w:val="nil"/>
              <w:bottom w:val="nil"/>
              <w:right w:val="nil"/>
            </w:tcBorders>
            <w:shd w:val="clear" w:color="auto" w:fill="auto"/>
            <w:vAlign w:val="bottom"/>
          </w:tcPr>
          <w:p>
            <w:pPr>
              <w:jc w:val="center"/>
              <w:textAlignment w:val="bottom"/>
              <w:rPr>
                <w:rFonts w:hint="default" w:cs="宋体"/>
                <w:b/>
                <w:bCs/>
                <w:color w:val="000000"/>
                <w:sz w:val="30"/>
                <w:szCs w:val="30"/>
              </w:rPr>
            </w:pPr>
            <w:r>
              <w:rPr>
                <w:rFonts w:cs="宋体"/>
                <w:b/>
                <w:bCs/>
                <w:color w:val="000000"/>
                <w:sz w:val="30"/>
                <w:szCs w:val="30"/>
              </w:rPr>
              <w:t>收入决算表</w:t>
            </w:r>
          </w:p>
        </w:tc>
      </w:tr>
      <w:tr>
        <w:tblPrEx>
          <w:tblCellMar>
            <w:top w:w="0" w:type="dxa"/>
            <w:left w:w="108" w:type="dxa"/>
            <w:bottom w:w="0" w:type="dxa"/>
            <w:right w:w="108" w:type="dxa"/>
          </w:tblCellMar>
        </w:tblPrEx>
        <w:trPr>
          <w:gridAfter w:val="1"/>
          <w:wAfter w:w="22" w:type="dxa"/>
          <w:trHeight w:val="285" w:hRule="atLeast"/>
        </w:trPr>
        <w:tc>
          <w:tcPr>
            <w:tcW w:w="59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9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9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43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88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88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80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80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80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80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80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397"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公开02表</w:t>
            </w:r>
          </w:p>
        </w:tc>
      </w:tr>
      <w:tr>
        <w:tblPrEx>
          <w:tblCellMar>
            <w:top w:w="0" w:type="dxa"/>
            <w:left w:w="108" w:type="dxa"/>
            <w:bottom w:w="0" w:type="dxa"/>
            <w:right w:w="108" w:type="dxa"/>
          </w:tblCellMar>
        </w:tblPrEx>
        <w:trPr>
          <w:gridAfter w:val="1"/>
          <w:wAfter w:w="22" w:type="dxa"/>
          <w:trHeight w:val="285" w:hRule="atLeast"/>
        </w:trPr>
        <w:tc>
          <w:tcPr>
            <w:tcW w:w="7233" w:type="dxa"/>
            <w:gridSpan w:val="4"/>
            <w:tcBorders>
              <w:top w:val="nil"/>
              <w:left w:val="nil"/>
              <w:bottom w:val="nil"/>
              <w:right w:val="nil"/>
            </w:tcBorders>
            <w:shd w:val="clear" w:color="auto" w:fill="auto"/>
            <w:noWrap/>
            <w:vAlign w:val="bottom"/>
          </w:tcPr>
          <w:p>
            <w:pPr>
              <w:rPr>
                <w:rFonts w:hint="default" w:cs="宋体"/>
                <w:color w:val="000000"/>
              </w:rPr>
            </w:pPr>
            <w:r>
              <w:rPr>
                <w:rFonts w:cs="宋体"/>
                <w:color w:val="000000"/>
              </w:rPr>
              <w:t>单位：重庆市丰都县消费者权益保护委员会</w:t>
            </w:r>
          </w:p>
        </w:tc>
        <w:tc>
          <w:tcPr>
            <w:tcW w:w="1888"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1888"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1803"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1803"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1803"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1803"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1803"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2397"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单位：万元</w:t>
            </w:r>
          </w:p>
        </w:tc>
      </w:tr>
      <w:tr>
        <w:tblPrEx>
          <w:tblCellMar>
            <w:top w:w="0" w:type="dxa"/>
            <w:left w:w="108" w:type="dxa"/>
            <w:bottom w:w="0" w:type="dxa"/>
            <w:right w:w="108" w:type="dxa"/>
          </w:tblCellMar>
        </w:tblPrEx>
        <w:trPr>
          <w:gridAfter w:val="1"/>
          <w:wAfter w:w="22" w:type="dxa"/>
          <w:trHeight w:val="405" w:hRule="atLeast"/>
        </w:trPr>
        <w:tc>
          <w:tcPr>
            <w:tcW w:w="7233" w:type="dxa"/>
            <w:gridSpan w:val="4"/>
            <w:tcBorders>
              <w:top w:val="single" w:color="auto" w:sz="4" w:space="0"/>
              <w:left w:val="single" w:color="auto" w:sz="4" w:space="0"/>
              <w:bottom w:val="single" w:color="auto" w:sz="4" w:space="0"/>
              <w:right w:val="nil"/>
            </w:tcBorders>
            <w:shd w:val="clear" w:color="auto" w:fill="auto"/>
            <w:noWrap/>
            <w:vAlign w:val="bottom"/>
          </w:tcPr>
          <w:p>
            <w:pPr>
              <w:jc w:val="center"/>
              <w:rPr>
                <w:rFonts w:hint="default" w:cs="宋体"/>
                <w:b/>
                <w:bCs/>
                <w:color w:val="000000"/>
                <w:sz w:val="22"/>
                <w:szCs w:val="22"/>
              </w:rPr>
            </w:pPr>
            <w:r>
              <w:rPr>
                <w:rFonts w:cs="宋体"/>
                <w:b/>
                <w:bCs/>
                <w:color w:val="000000"/>
                <w:sz w:val="22"/>
                <w:szCs w:val="22"/>
              </w:rPr>
              <w:t>项目</w:t>
            </w:r>
          </w:p>
        </w:tc>
        <w:tc>
          <w:tcPr>
            <w:tcW w:w="18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本年收入合计</w:t>
            </w:r>
          </w:p>
        </w:tc>
        <w:tc>
          <w:tcPr>
            <w:tcW w:w="18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财政拨款收入</w:t>
            </w:r>
          </w:p>
        </w:tc>
        <w:tc>
          <w:tcPr>
            <w:tcW w:w="1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上级补助收入</w:t>
            </w:r>
          </w:p>
        </w:tc>
        <w:tc>
          <w:tcPr>
            <w:tcW w:w="3606" w:type="dxa"/>
            <w:gridSpan w:val="2"/>
            <w:tcBorders>
              <w:top w:val="single" w:color="auto" w:sz="4" w:space="0"/>
              <w:left w:val="nil"/>
              <w:bottom w:val="single" w:color="auto" w:sz="4" w:space="0"/>
              <w:right w:val="single" w:color="auto" w:sz="4" w:space="0"/>
            </w:tcBorders>
            <w:shd w:val="clear" w:color="auto" w:fill="auto"/>
            <w:noWrap/>
            <w:vAlign w:val="bottom"/>
          </w:tcPr>
          <w:p>
            <w:pPr>
              <w:jc w:val="center"/>
              <w:rPr>
                <w:rFonts w:hint="default" w:cs="宋体"/>
                <w:b/>
                <w:bCs/>
                <w:color w:val="000000"/>
                <w:sz w:val="22"/>
                <w:szCs w:val="22"/>
              </w:rPr>
            </w:pPr>
            <w:r>
              <w:rPr>
                <w:rFonts w:cs="宋体"/>
                <w:b/>
                <w:bCs/>
                <w:color w:val="000000"/>
                <w:sz w:val="22"/>
                <w:szCs w:val="22"/>
              </w:rPr>
              <w:t>事业收入</w:t>
            </w:r>
          </w:p>
        </w:tc>
        <w:tc>
          <w:tcPr>
            <w:tcW w:w="1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经营收入</w:t>
            </w:r>
          </w:p>
        </w:tc>
        <w:tc>
          <w:tcPr>
            <w:tcW w:w="1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附属单位上缴收入</w:t>
            </w:r>
          </w:p>
        </w:tc>
        <w:tc>
          <w:tcPr>
            <w:tcW w:w="23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其他收入</w:t>
            </w:r>
          </w:p>
        </w:tc>
      </w:tr>
      <w:tr>
        <w:tblPrEx>
          <w:tblCellMar>
            <w:top w:w="0" w:type="dxa"/>
            <w:left w:w="108" w:type="dxa"/>
            <w:bottom w:w="0" w:type="dxa"/>
            <w:right w:w="108" w:type="dxa"/>
          </w:tblCellMar>
        </w:tblPrEx>
        <w:trPr>
          <w:gridAfter w:val="1"/>
          <w:wAfter w:w="22" w:type="dxa"/>
          <w:trHeight w:val="312" w:hRule="atLeast"/>
        </w:trPr>
        <w:tc>
          <w:tcPr>
            <w:tcW w:w="1795"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功能分类科目编码</w:t>
            </w:r>
          </w:p>
        </w:tc>
        <w:tc>
          <w:tcPr>
            <w:tcW w:w="5438" w:type="dxa"/>
            <w:vMerge w:val="restart"/>
            <w:tcBorders>
              <w:top w:val="nil"/>
              <w:left w:val="nil"/>
              <w:bottom w:val="single" w:color="000000" w:sz="4" w:space="0"/>
              <w:right w:val="nil"/>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项目（按“项”级功能分类科目）</w:t>
            </w:r>
          </w:p>
        </w:tc>
        <w:tc>
          <w:tcPr>
            <w:tcW w:w="18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0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小计</w:t>
            </w:r>
          </w:p>
        </w:tc>
        <w:tc>
          <w:tcPr>
            <w:tcW w:w="180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其中：教育收费</w:t>
            </w: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39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gridAfter w:val="1"/>
          <w:wAfter w:w="22" w:type="dxa"/>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5438" w:type="dxa"/>
            <w:vMerge w:val="continue"/>
            <w:tcBorders>
              <w:top w:val="nil"/>
              <w:left w:val="nil"/>
              <w:bottom w:val="single" w:color="000000" w:sz="4" w:space="0"/>
              <w:right w:val="nil"/>
            </w:tcBorders>
            <w:vAlign w:val="center"/>
          </w:tcPr>
          <w:p>
            <w:pPr>
              <w:rPr>
                <w:rFonts w:hint="default" w:cs="宋体"/>
                <w:b/>
                <w:bCs/>
                <w:color w:val="000000"/>
                <w:sz w:val="22"/>
                <w:szCs w:val="22"/>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03" w:type="dxa"/>
            <w:vMerge w:val="continue"/>
            <w:tcBorders>
              <w:top w:val="nil"/>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03" w:type="dxa"/>
            <w:vMerge w:val="continue"/>
            <w:tcBorders>
              <w:top w:val="nil"/>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39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gridAfter w:val="1"/>
          <w:wAfter w:w="22" w:type="dxa"/>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5438" w:type="dxa"/>
            <w:vMerge w:val="continue"/>
            <w:tcBorders>
              <w:top w:val="nil"/>
              <w:left w:val="nil"/>
              <w:bottom w:val="single" w:color="000000" w:sz="4" w:space="0"/>
              <w:right w:val="nil"/>
            </w:tcBorders>
            <w:vAlign w:val="center"/>
          </w:tcPr>
          <w:p>
            <w:pPr>
              <w:rPr>
                <w:rFonts w:hint="default" w:cs="宋体"/>
                <w:b/>
                <w:bCs/>
                <w:color w:val="000000"/>
                <w:sz w:val="22"/>
                <w:szCs w:val="22"/>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03" w:type="dxa"/>
            <w:vMerge w:val="continue"/>
            <w:tcBorders>
              <w:top w:val="nil"/>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03" w:type="dxa"/>
            <w:vMerge w:val="continue"/>
            <w:tcBorders>
              <w:top w:val="nil"/>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39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gridAfter w:val="1"/>
          <w:wAfter w:w="22" w:type="dxa"/>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5438" w:type="dxa"/>
            <w:vMerge w:val="continue"/>
            <w:tcBorders>
              <w:top w:val="nil"/>
              <w:left w:val="nil"/>
              <w:bottom w:val="single" w:color="000000" w:sz="4" w:space="0"/>
              <w:right w:val="nil"/>
            </w:tcBorders>
            <w:vAlign w:val="center"/>
          </w:tcPr>
          <w:p>
            <w:pPr>
              <w:rPr>
                <w:rFonts w:hint="default" w:cs="宋体"/>
                <w:b/>
                <w:bCs/>
                <w:color w:val="000000"/>
                <w:sz w:val="22"/>
                <w:szCs w:val="22"/>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03" w:type="dxa"/>
            <w:vMerge w:val="continue"/>
            <w:tcBorders>
              <w:top w:val="nil"/>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03" w:type="dxa"/>
            <w:vMerge w:val="continue"/>
            <w:tcBorders>
              <w:top w:val="nil"/>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39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gridAfter w:val="1"/>
          <w:wAfter w:w="22" w:type="dxa"/>
          <w:trHeight w:val="308" w:hRule="atLeast"/>
        </w:trPr>
        <w:tc>
          <w:tcPr>
            <w:tcW w:w="72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合计</w:t>
            </w:r>
          </w:p>
        </w:tc>
        <w:tc>
          <w:tcPr>
            <w:tcW w:w="1888"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96.52</w:t>
            </w:r>
          </w:p>
        </w:tc>
        <w:tc>
          <w:tcPr>
            <w:tcW w:w="1888"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96.52</w:t>
            </w:r>
          </w:p>
        </w:tc>
        <w:tc>
          <w:tcPr>
            <w:tcW w:w="180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80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80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80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80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gridAfter w:val="1"/>
          <w:wAfter w:w="22" w:type="dxa"/>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201</w:t>
            </w:r>
          </w:p>
        </w:tc>
        <w:tc>
          <w:tcPr>
            <w:tcW w:w="543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一般公共服务支出</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73.97</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73.97</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97"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gridAfter w:val="1"/>
          <w:wAfter w:w="22" w:type="dxa"/>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20138</w:t>
            </w:r>
          </w:p>
        </w:tc>
        <w:tc>
          <w:tcPr>
            <w:tcW w:w="543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市场监督管理事务</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73.97</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73.97</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97"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gridAfter w:val="1"/>
          <w:wAfter w:w="22" w:type="dxa"/>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2013850</w:t>
            </w:r>
          </w:p>
        </w:tc>
        <w:tc>
          <w:tcPr>
            <w:tcW w:w="543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事业运行</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73.97</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73.97</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9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gridAfter w:val="1"/>
          <w:wAfter w:w="22" w:type="dxa"/>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208</w:t>
            </w:r>
          </w:p>
        </w:tc>
        <w:tc>
          <w:tcPr>
            <w:tcW w:w="543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社会保障和就业支出</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13.83</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13.83</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97"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gridAfter w:val="1"/>
          <w:wAfter w:w="22" w:type="dxa"/>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20805</w:t>
            </w:r>
          </w:p>
        </w:tc>
        <w:tc>
          <w:tcPr>
            <w:tcW w:w="543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行政事业单位养老支出</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13.83</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13.83</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97"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gridAfter w:val="1"/>
          <w:wAfter w:w="22" w:type="dxa"/>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2080505</w:t>
            </w:r>
          </w:p>
        </w:tc>
        <w:tc>
          <w:tcPr>
            <w:tcW w:w="543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机关事业单位基本养老保险缴费支出</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9.22</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9.22</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9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gridAfter w:val="1"/>
          <w:wAfter w:w="22" w:type="dxa"/>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2080506</w:t>
            </w:r>
          </w:p>
        </w:tc>
        <w:tc>
          <w:tcPr>
            <w:tcW w:w="543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机关事业单位职业年金缴费支出</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4.61</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4.61</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9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gridAfter w:val="1"/>
          <w:wAfter w:w="22" w:type="dxa"/>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210</w:t>
            </w:r>
          </w:p>
        </w:tc>
        <w:tc>
          <w:tcPr>
            <w:tcW w:w="543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卫生健康支出</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4.31</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4.31</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97"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gridAfter w:val="1"/>
          <w:wAfter w:w="22" w:type="dxa"/>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21011</w:t>
            </w:r>
          </w:p>
        </w:tc>
        <w:tc>
          <w:tcPr>
            <w:tcW w:w="543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行政事业单位医疗</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4.31</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4.31</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97"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gridAfter w:val="1"/>
          <w:wAfter w:w="22" w:type="dxa"/>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2101102</w:t>
            </w:r>
          </w:p>
        </w:tc>
        <w:tc>
          <w:tcPr>
            <w:tcW w:w="543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事业单位医疗</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3.12</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3.12</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9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gridAfter w:val="1"/>
          <w:wAfter w:w="22" w:type="dxa"/>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2101199</w:t>
            </w:r>
          </w:p>
        </w:tc>
        <w:tc>
          <w:tcPr>
            <w:tcW w:w="543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其他行政事业单位医疗支出</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1.19</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1.19</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9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gridAfter w:val="1"/>
          <w:wAfter w:w="22" w:type="dxa"/>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221</w:t>
            </w:r>
          </w:p>
        </w:tc>
        <w:tc>
          <w:tcPr>
            <w:tcW w:w="543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住房保障支出</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4.41</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4.41</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97"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gridAfter w:val="1"/>
          <w:wAfter w:w="22" w:type="dxa"/>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22102</w:t>
            </w:r>
          </w:p>
        </w:tc>
        <w:tc>
          <w:tcPr>
            <w:tcW w:w="543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住房改革支出</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4.41</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4.41</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97"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gridAfter w:val="1"/>
          <w:wAfter w:w="22" w:type="dxa"/>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2210201</w:t>
            </w:r>
          </w:p>
        </w:tc>
        <w:tc>
          <w:tcPr>
            <w:tcW w:w="543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住房公积金</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4.41</w:t>
            </w:r>
          </w:p>
        </w:tc>
        <w:tc>
          <w:tcPr>
            <w:tcW w:w="188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4.41</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0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9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gridAfter w:val="1"/>
          <w:wAfter w:w="22" w:type="dxa"/>
          <w:trHeight w:val="960" w:hRule="atLeast"/>
        </w:trPr>
        <w:tc>
          <w:tcPr>
            <w:tcW w:w="22421" w:type="dxa"/>
            <w:gridSpan w:val="12"/>
            <w:tcBorders>
              <w:top w:val="nil"/>
              <w:left w:val="nil"/>
              <w:bottom w:val="nil"/>
              <w:right w:val="nil"/>
            </w:tcBorders>
            <w:shd w:val="clear" w:color="auto" w:fill="auto"/>
            <w:vAlign w:val="center"/>
          </w:tcPr>
          <w:p>
            <w:pPr>
              <w:rPr>
                <w:rFonts w:hint="default" w:cs="宋体"/>
                <w:color w:val="000000"/>
                <w:sz w:val="18"/>
                <w:szCs w:val="18"/>
              </w:rPr>
            </w:pPr>
            <w:r>
              <w:rPr>
                <w:rFonts w:cs="宋体"/>
                <w:color w:val="000000"/>
                <w:sz w:val="18"/>
                <w:szCs w:val="18"/>
              </w:rPr>
              <w:t>备注：1.本表反映单位本年度取得的各项收入情况。</w:t>
            </w:r>
            <w:r>
              <w:rPr>
                <w:rFonts w:cs="宋体"/>
                <w:color w:val="000000"/>
                <w:sz w:val="18"/>
                <w:szCs w:val="18"/>
              </w:rPr>
              <w:br w:type="textWrapping"/>
            </w:r>
            <w:r>
              <w:rPr>
                <w:rFonts w:cs="宋体"/>
                <w:color w:val="000000"/>
                <w:sz w:val="18"/>
                <w:szCs w:val="18"/>
              </w:rPr>
              <w:t xml:space="preserve">      2.本套报表金额单位转换时可能存在尾数误差。</w:t>
            </w:r>
          </w:p>
        </w:tc>
      </w:tr>
      <w:tr>
        <w:tblPrEx>
          <w:tblCellMar>
            <w:top w:w="0" w:type="dxa"/>
            <w:left w:w="108" w:type="dxa"/>
            <w:bottom w:w="0" w:type="dxa"/>
            <w:right w:w="108" w:type="dxa"/>
          </w:tblCellMar>
        </w:tblPrEx>
        <w:trPr>
          <w:trHeight w:val="390" w:hRule="atLeast"/>
        </w:trPr>
        <w:tc>
          <w:tcPr>
            <w:tcW w:w="22443" w:type="dxa"/>
            <w:gridSpan w:val="13"/>
            <w:tcBorders>
              <w:top w:val="nil"/>
              <w:left w:val="nil"/>
              <w:bottom w:val="nil"/>
              <w:right w:val="nil"/>
            </w:tcBorders>
            <w:shd w:val="clear" w:color="auto" w:fill="auto"/>
            <w:vAlign w:val="bottom"/>
          </w:tcPr>
          <w:p>
            <w:pPr>
              <w:rPr>
                <w:rFonts w:hint="default"/>
              </w:rPr>
            </w:pPr>
          </w:p>
          <w:tbl>
            <w:tblPr>
              <w:tblStyle w:val="6"/>
              <w:tblW w:w="18641" w:type="dxa"/>
              <w:tblInd w:w="0" w:type="dxa"/>
              <w:tblLayout w:type="fixed"/>
              <w:tblCellMar>
                <w:top w:w="0" w:type="dxa"/>
                <w:left w:w="108" w:type="dxa"/>
                <w:bottom w:w="0" w:type="dxa"/>
                <w:right w:w="108" w:type="dxa"/>
              </w:tblCellMar>
            </w:tblPr>
            <w:tblGrid>
              <w:gridCol w:w="599"/>
              <w:gridCol w:w="598"/>
              <w:gridCol w:w="598"/>
              <w:gridCol w:w="5388"/>
              <w:gridCol w:w="1870"/>
              <w:gridCol w:w="1870"/>
              <w:gridCol w:w="1786"/>
              <w:gridCol w:w="1786"/>
              <w:gridCol w:w="1786"/>
              <w:gridCol w:w="2360"/>
            </w:tblGrid>
            <w:tr>
              <w:tblPrEx>
                <w:tblCellMar>
                  <w:top w:w="0" w:type="dxa"/>
                  <w:left w:w="108" w:type="dxa"/>
                  <w:bottom w:w="0" w:type="dxa"/>
                  <w:right w:w="108" w:type="dxa"/>
                </w:tblCellMar>
              </w:tblPrEx>
              <w:trPr>
                <w:trHeight w:val="540" w:hRule="atLeast"/>
              </w:trPr>
              <w:tc>
                <w:tcPr>
                  <w:tcW w:w="18641" w:type="dxa"/>
                  <w:gridSpan w:val="10"/>
                  <w:tcBorders>
                    <w:top w:val="nil"/>
                    <w:left w:val="nil"/>
                    <w:bottom w:val="nil"/>
                    <w:right w:val="nil"/>
                  </w:tcBorders>
                  <w:shd w:val="clear" w:color="auto" w:fill="auto"/>
                  <w:noWrap/>
                  <w:vAlign w:val="bottom"/>
                </w:tcPr>
                <w:p>
                  <w:pPr>
                    <w:jc w:val="center"/>
                    <w:rPr>
                      <w:rFonts w:hint="default" w:cs="宋体"/>
                      <w:b/>
                      <w:bCs/>
                      <w:color w:val="000000"/>
                      <w:sz w:val="44"/>
                      <w:szCs w:val="44"/>
                    </w:rPr>
                  </w:pPr>
                </w:p>
                <w:p>
                  <w:pPr>
                    <w:jc w:val="center"/>
                    <w:rPr>
                      <w:rFonts w:hint="default" w:cs="宋体"/>
                      <w:b/>
                      <w:bCs/>
                      <w:color w:val="000000"/>
                      <w:sz w:val="44"/>
                      <w:szCs w:val="44"/>
                    </w:rPr>
                  </w:pPr>
                </w:p>
                <w:p>
                  <w:pPr>
                    <w:jc w:val="center"/>
                    <w:rPr>
                      <w:rFonts w:hint="default" w:cs="宋体"/>
                      <w:b/>
                      <w:bCs/>
                      <w:color w:val="000000"/>
                      <w:sz w:val="44"/>
                      <w:szCs w:val="44"/>
                    </w:rPr>
                  </w:pPr>
                </w:p>
                <w:p>
                  <w:pPr>
                    <w:jc w:val="center"/>
                    <w:rPr>
                      <w:rFonts w:hint="default" w:cs="宋体"/>
                      <w:b/>
                      <w:bCs/>
                      <w:color w:val="000000"/>
                      <w:sz w:val="44"/>
                      <w:szCs w:val="44"/>
                    </w:rPr>
                  </w:pPr>
                </w:p>
                <w:p>
                  <w:pPr>
                    <w:jc w:val="center"/>
                    <w:rPr>
                      <w:rFonts w:hint="default" w:cs="宋体"/>
                      <w:b/>
                      <w:bCs/>
                      <w:color w:val="000000"/>
                      <w:sz w:val="44"/>
                      <w:szCs w:val="44"/>
                    </w:rPr>
                  </w:pPr>
                </w:p>
                <w:p>
                  <w:pPr>
                    <w:jc w:val="center"/>
                    <w:rPr>
                      <w:rFonts w:hint="default" w:cs="宋体"/>
                      <w:b/>
                      <w:bCs/>
                      <w:color w:val="000000"/>
                      <w:sz w:val="44"/>
                      <w:szCs w:val="44"/>
                    </w:rPr>
                  </w:pPr>
                </w:p>
                <w:p>
                  <w:pPr>
                    <w:jc w:val="center"/>
                    <w:rPr>
                      <w:rFonts w:hint="default" w:cs="宋体"/>
                      <w:b/>
                      <w:bCs/>
                      <w:color w:val="000000"/>
                      <w:sz w:val="44"/>
                      <w:szCs w:val="44"/>
                    </w:rPr>
                  </w:pPr>
                </w:p>
                <w:p>
                  <w:pPr>
                    <w:jc w:val="center"/>
                    <w:rPr>
                      <w:rFonts w:hint="default" w:cs="宋体"/>
                      <w:b/>
                      <w:bCs/>
                      <w:color w:val="000000"/>
                      <w:sz w:val="44"/>
                      <w:szCs w:val="44"/>
                    </w:rPr>
                  </w:pPr>
                </w:p>
                <w:p>
                  <w:pPr>
                    <w:jc w:val="center"/>
                    <w:rPr>
                      <w:rFonts w:hint="default" w:cs="宋体"/>
                      <w:b/>
                      <w:bCs/>
                      <w:color w:val="000000"/>
                      <w:sz w:val="44"/>
                      <w:szCs w:val="44"/>
                    </w:rPr>
                  </w:pPr>
                </w:p>
                <w:p>
                  <w:pPr>
                    <w:jc w:val="center"/>
                    <w:rPr>
                      <w:rFonts w:hint="default" w:cs="宋体"/>
                      <w:b/>
                      <w:bCs/>
                      <w:color w:val="000000"/>
                      <w:sz w:val="44"/>
                      <w:szCs w:val="44"/>
                    </w:rPr>
                  </w:pPr>
                </w:p>
                <w:p>
                  <w:pPr>
                    <w:jc w:val="center"/>
                    <w:rPr>
                      <w:rFonts w:hint="default" w:cs="宋体"/>
                      <w:b/>
                      <w:bCs/>
                      <w:color w:val="000000"/>
                      <w:sz w:val="44"/>
                      <w:szCs w:val="44"/>
                    </w:rPr>
                  </w:pPr>
                  <w:r>
                    <w:rPr>
                      <w:rFonts w:cs="宋体"/>
                      <w:b/>
                      <w:bCs/>
                      <w:color w:val="000000"/>
                      <w:sz w:val="44"/>
                      <w:szCs w:val="44"/>
                    </w:rPr>
                    <w:t>支出决算表</w:t>
                  </w:r>
                </w:p>
              </w:tc>
            </w:tr>
            <w:tr>
              <w:tblPrEx>
                <w:tblCellMar>
                  <w:top w:w="0" w:type="dxa"/>
                  <w:left w:w="108" w:type="dxa"/>
                  <w:bottom w:w="0" w:type="dxa"/>
                  <w:right w:w="108" w:type="dxa"/>
                </w:tblCellMar>
              </w:tblPrEx>
              <w:trPr>
                <w:trHeight w:val="285" w:hRule="atLeast"/>
              </w:trPr>
              <w:tc>
                <w:tcPr>
                  <w:tcW w:w="59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9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9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38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87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87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86"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86"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86"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360"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公开03表</w:t>
                  </w:r>
                </w:p>
              </w:tc>
            </w:tr>
            <w:tr>
              <w:tblPrEx>
                <w:tblCellMar>
                  <w:top w:w="0" w:type="dxa"/>
                  <w:left w:w="108" w:type="dxa"/>
                  <w:bottom w:w="0" w:type="dxa"/>
                  <w:right w:w="108" w:type="dxa"/>
                </w:tblCellMar>
              </w:tblPrEx>
              <w:trPr>
                <w:trHeight w:val="285" w:hRule="atLeast"/>
              </w:trPr>
              <w:tc>
                <w:tcPr>
                  <w:tcW w:w="7183" w:type="dxa"/>
                  <w:gridSpan w:val="4"/>
                  <w:tcBorders>
                    <w:top w:val="nil"/>
                    <w:left w:val="nil"/>
                    <w:bottom w:val="nil"/>
                    <w:right w:val="nil"/>
                  </w:tcBorders>
                  <w:shd w:val="clear" w:color="auto" w:fill="auto"/>
                  <w:noWrap/>
                  <w:vAlign w:val="bottom"/>
                </w:tcPr>
                <w:p>
                  <w:pPr>
                    <w:rPr>
                      <w:rFonts w:hint="default" w:cs="宋体"/>
                      <w:color w:val="000000"/>
                    </w:rPr>
                  </w:pPr>
                  <w:r>
                    <w:rPr>
                      <w:rFonts w:cs="宋体"/>
                      <w:color w:val="000000"/>
                    </w:rPr>
                    <w:t>单位：重庆市丰都县消费者权益保护委员会</w:t>
                  </w:r>
                </w:p>
              </w:tc>
              <w:tc>
                <w:tcPr>
                  <w:tcW w:w="1870"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1870"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1786"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1786"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1786"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2360"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单位：万元</w:t>
                  </w:r>
                </w:p>
              </w:tc>
            </w:tr>
            <w:tr>
              <w:tblPrEx>
                <w:tblCellMar>
                  <w:top w:w="0" w:type="dxa"/>
                  <w:left w:w="108" w:type="dxa"/>
                  <w:bottom w:w="0" w:type="dxa"/>
                  <w:right w:w="108" w:type="dxa"/>
                </w:tblCellMar>
              </w:tblPrEx>
              <w:trPr>
                <w:trHeight w:val="285" w:hRule="atLeast"/>
              </w:trPr>
              <w:tc>
                <w:tcPr>
                  <w:tcW w:w="7183"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hint="default" w:cs="宋体"/>
                      <w:b/>
                      <w:bCs/>
                      <w:color w:val="000000"/>
                      <w:sz w:val="22"/>
                      <w:szCs w:val="22"/>
                    </w:rPr>
                  </w:pPr>
                  <w:r>
                    <w:rPr>
                      <w:rFonts w:cs="宋体"/>
                      <w:b/>
                      <w:bCs/>
                      <w:color w:val="000000"/>
                      <w:sz w:val="22"/>
                      <w:szCs w:val="22"/>
                    </w:rPr>
                    <w:t>项目</w:t>
                  </w:r>
                </w:p>
              </w:tc>
              <w:tc>
                <w:tcPr>
                  <w:tcW w:w="1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本年支出合计</w:t>
                  </w:r>
                </w:p>
              </w:tc>
              <w:tc>
                <w:tcPr>
                  <w:tcW w:w="1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基本支出</w:t>
                  </w:r>
                </w:p>
              </w:tc>
              <w:tc>
                <w:tcPr>
                  <w:tcW w:w="17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项目支出</w:t>
                  </w:r>
                </w:p>
              </w:tc>
              <w:tc>
                <w:tcPr>
                  <w:tcW w:w="17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上缴上级支出</w:t>
                  </w:r>
                </w:p>
              </w:tc>
              <w:tc>
                <w:tcPr>
                  <w:tcW w:w="17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经营支出</w:t>
                  </w:r>
                </w:p>
              </w:tc>
              <w:tc>
                <w:tcPr>
                  <w:tcW w:w="2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对附属单位补助支出</w:t>
                  </w:r>
                </w:p>
              </w:tc>
            </w:tr>
            <w:tr>
              <w:tblPrEx>
                <w:tblCellMar>
                  <w:top w:w="0" w:type="dxa"/>
                  <w:left w:w="108" w:type="dxa"/>
                  <w:bottom w:w="0" w:type="dxa"/>
                  <w:right w:w="108" w:type="dxa"/>
                </w:tblCellMar>
              </w:tblPrEx>
              <w:trPr>
                <w:trHeight w:val="312" w:hRule="atLeast"/>
              </w:trPr>
              <w:tc>
                <w:tcPr>
                  <w:tcW w:w="1795"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功能分类科目编码</w:t>
                  </w:r>
                </w:p>
              </w:tc>
              <w:tc>
                <w:tcPr>
                  <w:tcW w:w="5388" w:type="dxa"/>
                  <w:vMerge w:val="restart"/>
                  <w:tcBorders>
                    <w:top w:val="nil"/>
                    <w:left w:val="nil"/>
                    <w:bottom w:val="single" w:color="000000" w:sz="4" w:space="0"/>
                    <w:right w:val="nil"/>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项目（按“项”级功能分类科目）</w:t>
                  </w:r>
                </w:p>
              </w:tc>
              <w:tc>
                <w:tcPr>
                  <w:tcW w:w="187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7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36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5388" w:type="dxa"/>
                  <w:vMerge w:val="continue"/>
                  <w:tcBorders>
                    <w:top w:val="nil"/>
                    <w:left w:val="nil"/>
                    <w:bottom w:val="single" w:color="000000" w:sz="4" w:space="0"/>
                    <w:right w:val="nil"/>
                  </w:tcBorders>
                  <w:vAlign w:val="center"/>
                </w:tcPr>
                <w:p>
                  <w:pPr>
                    <w:rPr>
                      <w:rFonts w:hint="default" w:cs="宋体"/>
                      <w:b/>
                      <w:bCs/>
                      <w:color w:val="000000"/>
                      <w:sz w:val="22"/>
                      <w:szCs w:val="22"/>
                    </w:rPr>
                  </w:pPr>
                </w:p>
              </w:tc>
              <w:tc>
                <w:tcPr>
                  <w:tcW w:w="187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7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36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5388" w:type="dxa"/>
                  <w:vMerge w:val="continue"/>
                  <w:tcBorders>
                    <w:top w:val="nil"/>
                    <w:left w:val="nil"/>
                    <w:bottom w:val="single" w:color="000000" w:sz="4" w:space="0"/>
                    <w:right w:val="nil"/>
                  </w:tcBorders>
                  <w:vAlign w:val="center"/>
                </w:tcPr>
                <w:p>
                  <w:pPr>
                    <w:rPr>
                      <w:rFonts w:hint="default" w:cs="宋体"/>
                      <w:b/>
                      <w:bCs/>
                      <w:color w:val="000000"/>
                      <w:sz w:val="22"/>
                      <w:szCs w:val="22"/>
                    </w:rPr>
                  </w:pPr>
                </w:p>
              </w:tc>
              <w:tc>
                <w:tcPr>
                  <w:tcW w:w="187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7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36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5388" w:type="dxa"/>
                  <w:vMerge w:val="continue"/>
                  <w:tcBorders>
                    <w:top w:val="nil"/>
                    <w:left w:val="nil"/>
                    <w:bottom w:val="single" w:color="000000" w:sz="4" w:space="0"/>
                    <w:right w:val="nil"/>
                  </w:tcBorders>
                  <w:vAlign w:val="center"/>
                </w:tcPr>
                <w:p>
                  <w:pPr>
                    <w:rPr>
                      <w:rFonts w:hint="default" w:cs="宋体"/>
                      <w:b/>
                      <w:bCs/>
                      <w:color w:val="000000"/>
                      <w:sz w:val="22"/>
                      <w:szCs w:val="22"/>
                    </w:rPr>
                  </w:pPr>
                </w:p>
              </w:tc>
              <w:tc>
                <w:tcPr>
                  <w:tcW w:w="187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7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36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285" w:hRule="atLeast"/>
              </w:trPr>
              <w:tc>
                <w:tcPr>
                  <w:tcW w:w="71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合计</w:t>
                  </w:r>
                </w:p>
              </w:tc>
              <w:tc>
                <w:tcPr>
                  <w:tcW w:w="1870"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96.52</w:t>
                  </w:r>
                </w:p>
              </w:tc>
              <w:tc>
                <w:tcPr>
                  <w:tcW w:w="1870"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96.52</w:t>
                  </w:r>
                </w:p>
              </w:tc>
              <w:tc>
                <w:tcPr>
                  <w:tcW w:w="1786"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786"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786"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2360"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201</w:t>
                  </w:r>
                </w:p>
              </w:tc>
              <w:tc>
                <w:tcPr>
                  <w:tcW w:w="538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一般公共服务支出</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73.97</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73.97</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6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20138</w:t>
                  </w:r>
                </w:p>
              </w:tc>
              <w:tc>
                <w:tcPr>
                  <w:tcW w:w="538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市场监督管理事务</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73.97</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73.97</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6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2013850</w:t>
                  </w:r>
                </w:p>
              </w:tc>
              <w:tc>
                <w:tcPr>
                  <w:tcW w:w="538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事业运行</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73.97</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73.97</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6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208</w:t>
                  </w:r>
                </w:p>
              </w:tc>
              <w:tc>
                <w:tcPr>
                  <w:tcW w:w="538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社会保障和就业支出</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13.83</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13.83</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6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20805</w:t>
                  </w:r>
                </w:p>
              </w:tc>
              <w:tc>
                <w:tcPr>
                  <w:tcW w:w="538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行政事业单位养老支出</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13.83</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13.83</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6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2080505</w:t>
                  </w:r>
                </w:p>
              </w:tc>
              <w:tc>
                <w:tcPr>
                  <w:tcW w:w="538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机关事业单位基本养老保险缴费支出</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9.22</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9.22</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6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2080506</w:t>
                  </w:r>
                </w:p>
              </w:tc>
              <w:tc>
                <w:tcPr>
                  <w:tcW w:w="538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机关事业单位职业年金缴费支出</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4.61</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4.61</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6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210</w:t>
                  </w:r>
                </w:p>
              </w:tc>
              <w:tc>
                <w:tcPr>
                  <w:tcW w:w="538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卫生健康支出</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4.31</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4.31</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6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21011</w:t>
                  </w:r>
                </w:p>
              </w:tc>
              <w:tc>
                <w:tcPr>
                  <w:tcW w:w="538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行政事业单位医疗</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4.31</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4.31</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6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2101102</w:t>
                  </w:r>
                </w:p>
              </w:tc>
              <w:tc>
                <w:tcPr>
                  <w:tcW w:w="538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事业单位医疗</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3.12</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3.12</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6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2101199</w:t>
                  </w:r>
                </w:p>
              </w:tc>
              <w:tc>
                <w:tcPr>
                  <w:tcW w:w="538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其他行政事业单位医疗支出</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1.19</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1.19</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6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221</w:t>
                  </w:r>
                </w:p>
              </w:tc>
              <w:tc>
                <w:tcPr>
                  <w:tcW w:w="538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住房保障支出</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4.41</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4.41</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6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22102</w:t>
                  </w:r>
                </w:p>
              </w:tc>
              <w:tc>
                <w:tcPr>
                  <w:tcW w:w="538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住房改革支出</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4.41</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4.41</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6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2210201</w:t>
                  </w:r>
                </w:p>
              </w:tc>
              <w:tc>
                <w:tcPr>
                  <w:tcW w:w="538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住房公积金</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4.41</w:t>
                  </w:r>
                </w:p>
              </w:tc>
              <w:tc>
                <w:tcPr>
                  <w:tcW w:w="18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4.41</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8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6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859" w:hRule="atLeast"/>
              </w:trPr>
              <w:tc>
                <w:tcPr>
                  <w:tcW w:w="18641" w:type="dxa"/>
                  <w:gridSpan w:val="10"/>
                  <w:tcBorders>
                    <w:top w:val="nil"/>
                    <w:left w:val="nil"/>
                    <w:bottom w:val="nil"/>
                    <w:right w:val="nil"/>
                  </w:tcBorders>
                  <w:shd w:val="clear" w:color="auto" w:fill="auto"/>
                  <w:vAlign w:val="center"/>
                </w:tcPr>
                <w:p>
                  <w:pPr>
                    <w:rPr>
                      <w:rFonts w:hint="default" w:cs="宋体"/>
                      <w:color w:val="000000"/>
                      <w:sz w:val="18"/>
                      <w:szCs w:val="18"/>
                    </w:rPr>
                  </w:pPr>
                  <w:r>
                    <w:rPr>
                      <w:rFonts w:cs="宋体"/>
                      <w:color w:val="000000"/>
                      <w:sz w:val="18"/>
                      <w:szCs w:val="18"/>
                    </w:rPr>
                    <w:t>备注：1.本表反映单位本年度各项支出情况。</w:t>
                  </w:r>
                  <w:r>
                    <w:rPr>
                      <w:rFonts w:cs="宋体"/>
                      <w:color w:val="000000"/>
                      <w:sz w:val="18"/>
                      <w:szCs w:val="18"/>
                    </w:rPr>
                    <w:br w:type="textWrapping"/>
                  </w:r>
                  <w:r>
                    <w:rPr>
                      <w:rFonts w:cs="宋体"/>
                      <w:color w:val="000000"/>
                      <w:sz w:val="18"/>
                      <w:szCs w:val="18"/>
                    </w:rPr>
                    <w:t xml:space="preserve">      2.本套报表金额单位转换时可能存在尾数误差。</w:t>
                  </w:r>
                </w:p>
              </w:tc>
            </w:tr>
            <w:tr>
              <w:tblPrEx>
                <w:tblCellMar>
                  <w:top w:w="0" w:type="dxa"/>
                  <w:left w:w="108" w:type="dxa"/>
                  <w:bottom w:w="0" w:type="dxa"/>
                  <w:right w:w="108" w:type="dxa"/>
                </w:tblCellMar>
              </w:tblPrEx>
              <w:trPr>
                <w:trHeight w:val="270" w:hRule="atLeast"/>
              </w:trPr>
              <w:tc>
                <w:tcPr>
                  <w:tcW w:w="599" w:type="dxa"/>
                  <w:tcBorders>
                    <w:top w:val="nil"/>
                    <w:left w:val="nil"/>
                    <w:bottom w:val="nil"/>
                    <w:right w:val="nil"/>
                  </w:tcBorders>
                  <w:shd w:val="clear" w:color="auto" w:fill="auto"/>
                  <w:noWrap/>
                  <w:vAlign w:val="center"/>
                </w:tcPr>
                <w:p>
                  <w:pPr>
                    <w:rPr>
                      <w:rFonts w:hint="default" w:cs="宋体"/>
                      <w:color w:val="000000"/>
                      <w:sz w:val="22"/>
                      <w:szCs w:val="22"/>
                    </w:rPr>
                  </w:pPr>
                </w:p>
              </w:tc>
              <w:tc>
                <w:tcPr>
                  <w:tcW w:w="59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59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538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870"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870" w:type="dxa"/>
                  <w:tcBorders>
                    <w:top w:val="nil"/>
                    <w:left w:val="nil"/>
                    <w:bottom w:val="nil"/>
                    <w:right w:val="nil"/>
                  </w:tcBorders>
                  <w:shd w:val="clear" w:color="auto" w:fill="auto"/>
                  <w:noWrap/>
                  <w:vAlign w:val="bottom"/>
                </w:tcPr>
                <w:p>
                  <w:pPr>
                    <w:jc w:val="center"/>
                    <w:rPr>
                      <w:rFonts w:hint="default" w:cs="宋体"/>
                      <w:color w:val="000000"/>
                      <w:sz w:val="20"/>
                      <w:szCs w:val="20"/>
                    </w:rPr>
                  </w:pPr>
                </w:p>
              </w:tc>
              <w:tc>
                <w:tcPr>
                  <w:tcW w:w="1786"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786"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786" w:type="dxa"/>
                  <w:tcBorders>
                    <w:top w:val="nil"/>
                    <w:left w:val="nil"/>
                    <w:bottom w:val="nil"/>
                    <w:right w:val="nil"/>
                  </w:tcBorders>
                  <w:shd w:val="clear" w:color="auto" w:fill="auto"/>
                  <w:noWrap/>
                  <w:vAlign w:val="center"/>
                </w:tcPr>
                <w:p>
                  <w:pPr>
                    <w:rPr>
                      <w:rFonts w:hint="default" w:cs="宋体"/>
                      <w:color w:val="000000"/>
                      <w:sz w:val="22"/>
                      <w:szCs w:val="22"/>
                    </w:rPr>
                  </w:pPr>
                </w:p>
              </w:tc>
              <w:tc>
                <w:tcPr>
                  <w:tcW w:w="2360" w:type="dxa"/>
                  <w:tcBorders>
                    <w:top w:val="nil"/>
                    <w:left w:val="nil"/>
                    <w:bottom w:val="nil"/>
                    <w:right w:val="nil"/>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270" w:hRule="atLeast"/>
              </w:trPr>
              <w:tc>
                <w:tcPr>
                  <w:tcW w:w="599" w:type="dxa"/>
                  <w:tcBorders>
                    <w:top w:val="nil"/>
                    <w:left w:val="nil"/>
                    <w:bottom w:val="nil"/>
                    <w:right w:val="nil"/>
                  </w:tcBorders>
                  <w:shd w:val="clear" w:color="auto" w:fill="auto"/>
                  <w:noWrap/>
                  <w:vAlign w:val="center"/>
                </w:tcPr>
                <w:p>
                  <w:pPr>
                    <w:rPr>
                      <w:rFonts w:hint="default" w:cs="宋体"/>
                      <w:color w:val="000000"/>
                      <w:sz w:val="22"/>
                      <w:szCs w:val="22"/>
                    </w:rPr>
                  </w:pPr>
                </w:p>
              </w:tc>
              <w:tc>
                <w:tcPr>
                  <w:tcW w:w="59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59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538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870"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870"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786"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786"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786" w:type="dxa"/>
                  <w:tcBorders>
                    <w:top w:val="nil"/>
                    <w:left w:val="nil"/>
                    <w:bottom w:val="nil"/>
                    <w:right w:val="nil"/>
                  </w:tcBorders>
                  <w:shd w:val="clear" w:color="auto" w:fill="auto"/>
                  <w:noWrap/>
                  <w:vAlign w:val="center"/>
                </w:tcPr>
                <w:p>
                  <w:pPr>
                    <w:rPr>
                      <w:rFonts w:hint="default" w:cs="宋体"/>
                      <w:color w:val="000000"/>
                      <w:sz w:val="22"/>
                      <w:szCs w:val="22"/>
                    </w:rPr>
                  </w:pPr>
                </w:p>
              </w:tc>
              <w:tc>
                <w:tcPr>
                  <w:tcW w:w="2360" w:type="dxa"/>
                  <w:tcBorders>
                    <w:top w:val="nil"/>
                    <w:left w:val="nil"/>
                    <w:bottom w:val="nil"/>
                    <w:right w:val="nil"/>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270" w:hRule="atLeast"/>
              </w:trPr>
              <w:tc>
                <w:tcPr>
                  <w:tcW w:w="599" w:type="dxa"/>
                  <w:tcBorders>
                    <w:top w:val="nil"/>
                    <w:left w:val="nil"/>
                    <w:bottom w:val="nil"/>
                    <w:right w:val="nil"/>
                  </w:tcBorders>
                  <w:shd w:val="clear" w:color="auto" w:fill="auto"/>
                  <w:noWrap/>
                  <w:vAlign w:val="center"/>
                </w:tcPr>
                <w:p>
                  <w:pPr>
                    <w:rPr>
                      <w:rFonts w:hint="default" w:cs="宋体"/>
                      <w:color w:val="000000"/>
                      <w:sz w:val="22"/>
                      <w:szCs w:val="22"/>
                    </w:rPr>
                  </w:pPr>
                </w:p>
              </w:tc>
              <w:tc>
                <w:tcPr>
                  <w:tcW w:w="59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59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538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870"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870"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786"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786"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786" w:type="dxa"/>
                  <w:tcBorders>
                    <w:top w:val="nil"/>
                    <w:left w:val="nil"/>
                    <w:bottom w:val="nil"/>
                    <w:right w:val="nil"/>
                  </w:tcBorders>
                  <w:shd w:val="clear" w:color="auto" w:fill="auto"/>
                  <w:noWrap/>
                  <w:vAlign w:val="center"/>
                </w:tcPr>
                <w:p>
                  <w:pPr>
                    <w:rPr>
                      <w:rFonts w:hint="default" w:cs="宋体"/>
                      <w:color w:val="000000"/>
                      <w:sz w:val="22"/>
                      <w:szCs w:val="22"/>
                    </w:rPr>
                  </w:pPr>
                </w:p>
              </w:tc>
              <w:tc>
                <w:tcPr>
                  <w:tcW w:w="2360" w:type="dxa"/>
                  <w:tcBorders>
                    <w:top w:val="nil"/>
                    <w:left w:val="nil"/>
                    <w:bottom w:val="nil"/>
                    <w:right w:val="nil"/>
                  </w:tcBorders>
                  <w:shd w:val="clear" w:color="auto" w:fill="auto"/>
                  <w:noWrap/>
                  <w:vAlign w:val="center"/>
                </w:tcPr>
                <w:p>
                  <w:pPr>
                    <w:rPr>
                      <w:rFonts w:hint="default" w:cs="宋体"/>
                      <w:color w:val="000000"/>
                      <w:sz w:val="22"/>
                      <w:szCs w:val="22"/>
                    </w:rPr>
                  </w:pPr>
                </w:p>
              </w:tc>
            </w:tr>
          </w:tbl>
          <w:p>
            <w:pPr>
              <w:jc w:val="center"/>
              <w:textAlignment w:val="bottom"/>
              <w:rPr>
                <w:rFonts w:hint="default" w:cs="宋体"/>
                <w:b/>
                <w:bCs/>
                <w:color w:val="000000"/>
                <w:sz w:val="30"/>
                <w:szCs w:val="30"/>
              </w:rPr>
            </w:pPr>
          </w:p>
          <w:p>
            <w:pPr>
              <w:jc w:val="center"/>
              <w:textAlignment w:val="bottom"/>
              <w:rPr>
                <w:rFonts w:hint="default" w:cs="宋体"/>
                <w:color w:val="000000"/>
                <w:sz w:val="30"/>
                <w:szCs w:val="30"/>
              </w:rPr>
            </w:pPr>
          </w:p>
        </w:tc>
      </w:tr>
    </w:tbl>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tbl>
      <w:tblPr>
        <w:tblStyle w:val="6"/>
        <w:tblW w:w="17440" w:type="dxa"/>
        <w:tblInd w:w="94" w:type="dxa"/>
        <w:tblLayout w:type="autofit"/>
        <w:tblCellMar>
          <w:top w:w="0" w:type="dxa"/>
          <w:left w:w="108" w:type="dxa"/>
          <w:bottom w:w="0" w:type="dxa"/>
          <w:right w:w="108" w:type="dxa"/>
        </w:tblCellMar>
      </w:tblPr>
      <w:tblGrid>
        <w:gridCol w:w="397"/>
        <w:gridCol w:w="316"/>
        <w:gridCol w:w="273"/>
        <w:gridCol w:w="3752"/>
        <w:gridCol w:w="1735"/>
        <w:gridCol w:w="337"/>
        <w:gridCol w:w="2873"/>
        <w:gridCol w:w="1597"/>
        <w:gridCol w:w="778"/>
        <w:gridCol w:w="313"/>
        <w:gridCol w:w="1422"/>
        <w:gridCol w:w="1661"/>
        <w:gridCol w:w="116"/>
        <w:gridCol w:w="2057"/>
      </w:tblGrid>
      <w:tr>
        <w:tblPrEx>
          <w:tblCellMar>
            <w:top w:w="0" w:type="dxa"/>
            <w:left w:w="108" w:type="dxa"/>
            <w:bottom w:w="0" w:type="dxa"/>
            <w:right w:w="108" w:type="dxa"/>
          </w:tblCellMar>
        </w:tblPrEx>
        <w:trPr>
          <w:trHeight w:val="540" w:hRule="atLeast"/>
        </w:trPr>
        <w:tc>
          <w:tcPr>
            <w:tcW w:w="17440" w:type="dxa"/>
            <w:gridSpan w:val="14"/>
            <w:tcBorders>
              <w:top w:val="nil"/>
              <w:left w:val="nil"/>
              <w:bottom w:val="nil"/>
              <w:right w:val="nil"/>
            </w:tcBorders>
            <w:shd w:val="clear" w:color="auto" w:fill="auto"/>
            <w:noWrap/>
            <w:vAlign w:val="bottom"/>
          </w:tcPr>
          <w:p>
            <w:pPr>
              <w:jc w:val="center"/>
              <w:rPr>
                <w:rFonts w:hint="default" w:cs="宋体"/>
                <w:b/>
                <w:bCs/>
                <w:color w:val="000000"/>
                <w:sz w:val="44"/>
                <w:szCs w:val="44"/>
              </w:rPr>
            </w:pPr>
            <w:r>
              <w:rPr>
                <w:rFonts w:cs="宋体"/>
                <w:b/>
                <w:bCs/>
                <w:color w:val="000000"/>
                <w:sz w:val="44"/>
                <w:szCs w:val="44"/>
              </w:rPr>
              <w:t>财政拨款收入支出决算总表</w:t>
            </w:r>
          </w:p>
        </w:tc>
      </w:tr>
      <w:tr>
        <w:tblPrEx>
          <w:tblCellMar>
            <w:top w:w="0" w:type="dxa"/>
            <w:left w:w="108" w:type="dxa"/>
            <w:bottom w:w="0" w:type="dxa"/>
            <w:right w:w="108" w:type="dxa"/>
          </w:tblCellMar>
        </w:tblPrEx>
        <w:trPr>
          <w:trHeight w:val="285" w:hRule="atLeast"/>
        </w:trPr>
        <w:tc>
          <w:tcPr>
            <w:tcW w:w="4551" w:type="dxa"/>
            <w:gridSpan w:val="4"/>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35"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807" w:type="dxa"/>
            <w:gridSpan w:val="3"/>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77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35" w:type="dxa"/>
            <w:gridSpan w:val="2"/>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66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173" w:type="dxa"/>
            <w:gridSpan w:val="2"/>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公开04表</w:t>
            </w:r>
          </w:p>
        </w:tc>
      </w:tr>
      <w:tr>
        <w:tblPrEx>
          <w:tblCellMar>
            <w:top w:w="0" w:type="dxa"/>
            <w:left w:w="108" w:type="dxa"/>
            <w:bottom w:w="0" w:type="dxa"/>
            <w:right w:w="108" w:type="dxa"/>
          </w:tblCellMar>
        </w:tblPrEx>
        <w:trPr>
          <w:trHeight w:val="285" w:hRule="atLeast"/>
        </w:trPr>
        <w:tc>
          <w:tcPr>
            <w:tcW w:w="6286" w:type="dxa"/>
            <w:gridSpan w:val="5"/>
            <w:tcBorders>
              <w:top w:val="nil"/>
              <w:left w:val="nil"/>
              <w:bottom w:val="nil"/>
              <w:right w:val="nil"/>
            </w:tcBorders>
            <w:shd w:val="clear" w:color="auto" w:fill="auto"/>
            <w:noWrap/>
            <w:vAlign w:val="bottom"/>
          </w:tcPr>
          <w:p>
            <w:pPr>
              <w:rPr>
                <w:rFonts w:hint="default" w:cs="宋体"/>
                <w:color w:val="000000"/>
              </w:rPr>
            </w:pPr>
            <w:r>
              <w:rPr>
                <w:rFonts w:cs="宋体"/>
                <w:color w:val="000000"/>
              </w:rPr>
              <w:t>单位：重庆市丰都县消费者权益保护委员会</w:t>
            </w:r>
          </w:p>
        </w:tc>
        <w:tc>
          <w:tcPr>
            <w:tcW w:w="4807" w:type="dxa"/>
            <w:gridSpan w:val="3"/>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77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35" w:type="dxa"/>
            <w:gridSpan w:val="2"/>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66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173" w:type="dxa"/>
            <w:gridSpan w:val="2"/>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单位：万元</w:t>
            </w:r>
          </w:p>
        </w:tc>
      </w:tr>
      <w:tr>
        <w:tblPrEx>
          <w:tblCellMar>
            <w:top w:w="0" w:type="dxa"/>
            <w:left w:w="108" w:type="dxa"/>
            <w:bottom w:w="0" w:type="dxa"/>
            <w:right w:w="108" w:type="dxa"/>
          </w:tblCellMar>
        </w:tblPrEx>
        <w:trPr>
          <w:trHeight w:val="308" w:hRule="atLeast"/>
        </w:trPr>
        <w:tc>
          <w:tcPr>
            <w:tcW w:w="628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收     入</w:t>
            </w:r>
          </w:p>
        </w:tc>
        <w:tc>
          <w:tcPr>
            <w:tcW w:w="11154" w:type="dxa"/>
            <w:gridSpan w:val="9"/>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支     出</w:t>
            </w:r>
          </w:p>
        </w:tc>
      </w:tr>
      <w:tr>
        <w:tblPrEx>
          <w:tblCellMar>
            <w:top w:w="0" w:type="dxa"/>
            <w:left w:w="108" w:type="dxa"/>
            <w:bottom w:w="0" w:type="dxa"/>
            <w:right w:w="108" w:type="dxa"/>
          </w:tblCellMar>
        </w:tblPrEx>
        <w:trPr>
          <w:trHeight w:val="293" w:hRule="atLeast"/>
        </w:trPr>
        <w:tc>
          <w:tcPr>
            <w:tcW w:w="4551" w:type="dxa"/>
            <w:gridSpan w:val="4"/>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项目</w:t>
            </w:r>
          </w:p>
        </w:tc>
        <w:tc>
          <w:tcPr>
            <w:tcW w:w="173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决算数</w:t>
            </w:r>
          </w:p>
        </w:tc>
        <w:tc>
          <w:tcPr>
            <w:tcW w:w="4807" w:type="dxa"/>
            <w:gridSpan w:val="3"/>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功能分类科目</w:t>
            </w:r>
          </w:p>
        </w:tc>
        <w:tc>
          <w:tcPr>
            <w:tcW w:w="6347" w:type="dxa"/>
            <w:gridSpan w:val="6"/>
            <w:tcBorders>
              <w:top w:val="nil"/>
              <w:left w:val="nil"/>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决算数</w:t>
            </w:r>
          </w:p>
        </w:tc>
      </w:tr>
      <w:tr>
        <w:tblPrEx>
          <w:tblCellMar>
            <w:top w:w="0" w:type="dxa"/>
            <w:left w:w="108" w:type="dxa"/>
            <w:bottom w:w="0" w:type="dxa"/>
            <w:right w:w="108" w:type="dxa"/>
          </w:tblCellMar>
        </w:tblPrEx>
        <w:trPr>
          <w:trHeight w:val="615" w:hRule="atLeast"/>
        </w:trPr>
        <w:tc>
          <w:tcPr>
            <w:tcW w:w="4551" w:type="dxa"/>
            <w:gridSpan w:val="4"/>
            <w:vMerge w:val="continue"/>
            <w:tcBorders>
              <w:top w:val="nil"/>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35" w:type="dxa"/>
            <w:vMerge w:val="continue"/>
            <w:tcBorders>
              <w:top w:val="nil"/>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4807" w:type="dxa"/>
            <w:gridSpan w:val="3"/>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778"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小计</w:t>
            </w:r>
          </w:p>
        </w:tc>
        <w:tc>
          <w:tcPr>
            <w:tcW w:w="1735" w:type="dxa"/>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一般公共预算财政拨款</w:t>
            </w:r>
          </w:p>
        </w:tc>
        <w:tc>
          <w:tcPr>
            <w:tcW w:w="1661" w:type="dxa"/>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政府性基金预算财政拨款</w:t>
            </w:r>
          </w:p>
        </w:tc>
        <w:tc>
          <w:tcPr>
            <w:tcW w:w="2173" w:type="dxa"/>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国有资本经营预算财政拨款</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一、一般公共预算财政拨款</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96.52</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一、一般公共服务支出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73.97</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73.97</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二、政府性基金预算财政拨款</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二、外交支出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三、国有资本经营预算财政拨款</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三、国防支出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四、公共安全支出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五、教育支出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六、科学技术支出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七、文化旅游体育与传媒支出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八、社会保障和就业支出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13.83</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13.83</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九、卫生健康支出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4.31</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4.31</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十、节能环保支出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十一、城乡社区支出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十二、农林水支出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十三、交通运输支出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十四、资源勘探工业信息等支出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十五、商业服务业等支出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十六、金融支出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十七、援助其他地区支出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十八、自然资源海洋气象等支出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十九、住房保障支出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4.41</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4.41</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二十、粮油物资储备支出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二十一、国有资本经营预算支出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二十二、灾害防治及应急管理支出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二十三、其他支出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bottom"/>
          </w:tcPr>
          <w:p>
            <w:pPr>
              <w:rPr>
                <w:rFonts w:hint="default" w:ascii="Arial" w:hAnsi="Arial" w:cs="Arial"/>
                <w:b/>
                <w:bCs/>
                <w:color w:val="000000"/>
                <w:sz w:val="20"/>
                <w:szCs w:val="20"/>
              </w:rPr>
            </w:pPr>
            <w:r>
              <w:rPr>
                <w:rFonts w:ascii="Arial" w:hAnsi="Arial" w:cs="Arial"/>
                <w:b/>
                <w:bCs/>
                <w:color w:val="000000"/>
                <w:sz w:val="20"/>
                <w:szCs w:val="20"/>
              </w:rPr>
              <w:t>　</w:t>
            </w:r>
          </w:p>
        </w:tc>
        <w:tc>
          <w:tcPr>
            <w:tcW w:w="1735"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二十四、债务还本支出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bottom"/>
          </w:tcPr>
          <w:p>
            <w:pPr>
              <w:rPr>
                <w:rFonts w:hint="default" w:ascii="Arial" w:hAnsi="Arial" w:cs="Arial"/>
                <w:b/>
                <w:bCs/>
                <w:color w:val="000000"/>
                <w:sz w:val="20"/>
                <w:szCs w:val="20"/>
              </w:rPr>
            </w:pPr>
            <w:r>
              <w:rPr>
                <w:rFonts w:ascii="Arial" w:hAnsi="Arial" w:cs="Arial"/>
                <w:b/>
                <w:bCs/>
                <w:color w:val="000000"/>
                <w:sz w:val="20"/>
                <w:szCs w:val="20"/>
              </w:rPr>
              <w:t>　</w:t>
            </w:r>
          </w:p>
        </w:tc>
        <w:tc>
          <w:tcPr>
            <w:tcW w:w="1735"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二十五、债务付息支出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bottom"/>
          </w:tcPr>
          <w:p>
            <w:pPr>
              <w:rPr>
                <w:rFonts w:hint="default" w:ascii="Arial" w:hAnsi="Arial" w:cs="Arial"/>
                <w:b/>
                <w:bCs/>
                <w:color w:val="000000"/>
                <w:sz w:val="20"/>
                <w:szCs w:val="20"/>
              </w:rPr>
            </w:pPr>
            <w:r>
              <w:rPr>
                <w:rFonts w:ascii="Arial" w:hAnsi="Arial" w:cs="Arial"/>
                <w:b/>
                <w:bCs/>
                <w:color w:val="000000"/>
                <w:sz w:val="20"/>
                <w:szCs w:val="20"/>
              </w:rPr>
              <w:t>　</w:t>
            </w:r>
          </w:p>
        </w:tc>
        <w:tc>
          <w:tcPr>
            <w:tcW w:w="1735"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二十六、抗疫特别国债安排的支出</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本年收入合计</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96.52</w:t>
            </w:r>
          </w:p>
        </w:tc>
        <w:tc>
          <w:tcPr>
            <w:tcW w:w="4807"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本年支出合计</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96.52</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96.52</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年初财政拨款结转和结余</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4807" w:type="dxa"/>
            <w:gridSpan w:val="3"/>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年末财政拨款结转和结余</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一般公共预算财政拨款</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4807" w:type="dxa"/>
            <w:gridSpan w:val="3"/>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778"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1735" w:type="dxa"/>
            <w:gridSpan w:val="2"/>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1661"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2173" w:type="dxa"/>
            <w:gridSpan w:val="2"/>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政府性基金预算财政拨款</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4807"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　</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国有资本经营预算财政拨款</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4807"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　</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308" w:hRule="atLeast"/>
        </w:trPr>
        <w:tc>
          <w:tcPr>
            <w:tcW w:w="4551" w:type="dxa"/>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总计</w:t>
            </w:r>
          </w:p>
        </w:tc>
        <w:tc>
          <w:tcPr>
            <w:tcW w:w="173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96.52</w:t>
            </w:r>
          </w:p>
        </w:tc>
        <w:tc>
          <w:tcPr>
            <w:tcW w:w="4807"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总计</w:t>
            </w:r>
          </w:p>
        </w:tc>
        <w:tc>
          <w:tcPr>
            <w:tcW w:w="77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96.52</w:t>
            </w:r>
          </w:p>
        </w:tc>
        <w:tc>
          <w:tcPr>
            <w:tcW w:w="17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96.52</w:t>
            </w:r>
          </w:p>
        </w:tc>
        <w:tc>
          <w:tcPr>
            <w:tcW w:w="166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0.00</w:t>
            </w:r>
          </w:p>
        </w:tc>
        <w:tc>
          <w:tcPr>
            <w:tcW w:w="217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840" w:hRule="atLeast"/>
        </w:trPr>
        <w:tc>
          <w:tcPr>
            <w:tcW w:w="17440" w:type="dxa"/>
            <w:gridSpan w:val="14"/>
            <w:tcBorders>
              <w:top w:val="nil"/>
              <w:left w:val="nil"/>
              <w:bottom w:val="nil"/>
              <w:right w:val="nil"/>
            </w:tcBorders>
            <w:shd w:val="clear" w:color="auto" w:fill="auto"/>
            <w:vAlign w:val="center"/>
          </w:tcPr>
          <w:p>
            <w:pPr>
              <w:rPr>
                <w:rFonts w:hint="default" w:cs="宋体"/>
                <w:color w:val="000000"/>
                <w:sz w:val="18"/>
                <w:szCs w:val="18"/>
              </w:rPr>
            </w:pPr>
            <w:r>
              <w:rPr>
                <w:rFonts w:cs="宋体"/>
                <w:color w:val="000000"/>
                <w:sz w:val="18"/>
                <w:szCs w:val="18"/>
              </w:rPr>
              <w:t>备注：1.本表反映单位本年度一般公共预算财政拨款、政府性基金预算财政拨款及国有资本经营预算财政拨款的总收支和年末结转结余情况。</w:t>
            </w:r>
            <w:r>
              <w:rPr>
                <w:rFonts w:cs="宋体"/>
                <w:color w:val="000000"/>
                <w:sz w:val="18"/>
                <w:szCs w:val="18"/>
              </w:rPr>
              <w:br w:type="textWrapping"/>
            </w:r>
            <w:r>
              <w:rPr>
                <w:rFonts w:cs="宋体"/>
                <w:color w:val="000000"/>
                <w:sz w:val="18"/>
                <w:szCs w:val="18"/>
              </w:rPr>
              <w:t xml:space="preserve">      2.本套报表金额单位转换时可能存在尾数误差。</w:t>
            </w:r>
          </w:p>
        </w:tc>
      </w:tr>
      <w:tr>
        <w:tblPrEx>
          <w:tblCellMar>
            <w:top w:w="0" w:type="dxa"/>
            <w:left w:w="108" w:type="dxa"/>
            <w:bottom w:w="0" w:type="dxa"/>
            <w:right w:w="108" w:type="dxa"/>
          </w:tblCellMar>
        </w:tblPrEx>
        <w:trPr>
          <w:trHeight w:val="308" w:hRule="atLeast"/>
        </w:trPr>
        <w:tc>
          <w:tcPr>
            <w:tcW w:w="15267" w:type="dxa"/>
            <w:gridSpan w:val="12"/>
            <w:tcBorders>
              <w:top w:val="nil"/>
              <w:left w:val="nil"/>
              <w:bottom w:val="nil"/>
              <w:right w:val="nil"/>
            </w:tcBorders>
            <w:shd w:val="clear" w:color="auto" w:fill="auto"/>
            <w:noWrap/>
            <w:vAlign w:val="center"/>
          </w:tcPr>
          <w:p>
            <w:pPr>
              <w:rPr>
                <w:rFonts w:hint="default" w:ascii="Arial" w:hAnsi="Arial" w:cs="Arial"/>
                <w:color w:val="000000"/>
                <w:sz w:val="22"/>
                <w:szCs w:val="22"/>
              </w:rPr>
            </w:pPr>
          </w:p>
        </w:tc>
        <w:tc>
          <w:tcPr>
            <w:tcW w:w="2173" w:type="dxa"/>
            <w:gridSpan w:val="2"/>
            <w:tcBorders>
              <w:top w:val="nil"/>
              <w:left w:val="nil"/>
              <w:bottom w:val="nil"/>
              <w:right w:val="nil"/>
            </w:tcBorders>
            <w:shd w:val="clear" w:color="auto" w:fill="auto"/>
            <w:noWrap/>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308" w:hRule="atLeast"/>
        </w:trPr>
        <w:tc>
          <w:tcPr>
            <w:tcW w:w="4551" w:type="dxa"/>
            <w:gridSpan w:val="4"/>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35"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807" w:type="dxa"/>
            <w:gridSpan w:val="3"/>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77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35" w:type="dxa"/>
            <w:gridSpan w:val="2"/>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66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173" w:type="dxa"/>
            <w:gridSpan w:val="2"/>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4551" w:type="dxa"/>
            <w:gridSpan w:val="4"/>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35"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p>
            <w:pPr>
              <w:rPr>
                <w:rFonts w:hint="default" w:ascii="Arial" w:hAnsi="Arial" w:cs="Arial"/>
                <w:color w:val="000000"/>
                <w:sz w:val="20"/>
                <w:szCs w:val="20"/>
              </w:rPr>
            </w:pPr>
          </w:p>
          <w:p>
            <w:pPr>
              <w:rPr>
                <w:rFonts w:hint="default" w:ascii="Arial" w:hAnsi="Arial" w:cs="Arial"/>
                <w:color w:val="000000"/>
                <w:sz w:val="20"/>
                <w:szCs w:val="20"/>
              </w:rPr>
            </w:pPr>
          </w:p>
        </w:tc>
        <w:tc>
          <w:tcPr>
            <w:tcW w:w="4807" w:type="dxa"/>
            <w:gridSpan w:val="3"/>
            <w:tcBorders>
              <w:top w:val="nil"/>
              <w:left w:val="nil"/>
              <w:bottom w:val="nil"/>
              <w:right w:val="nil"/>
            </w:tcBorders>
            <w:shd w:val="clear" w:color="auto" w:fill="auto"/>
            <w:noWrap/>
            <w:vAlign w:val="bottom"/>
          </w:tcPr>
          <w:p>
            <w:pPr>
              <w:jc w:val="center"/>
              <w:rPr>
                <w:rFonts w:hint="default" w:cs="宋体"/>
                <w:color w:val="000000"/>
                <w:sz w:val="20"/>
                <w:szCs w:val="20"/>
              </w:rPr>
            </w:pPr>
          </w:p>
        </w:tc>
        <w:tc>
          <w:tcPr>
            <w:tcW w:w="77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35" w:type="dxa"/>
            <w:gridSpan w:val="2"/>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66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173" w:type="dxa"/>
            <w:gridSpan w:val="2"/>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r>
        <w:tblPrEx>
          <w:tblCellMar>
            <w:top w:w="0" w:type="dxa"/>
            <w:left w:w="108" w:type="dxa"/>
            <w:bottom w:w="0" w:type="dxa"/>
            <w:right w:w="108" w:type="dxa"/>
          </w:tblCellMar>
        </w:tblPrEx>
        <w:trPr>
          <w:gridAfter w:val="1"/>
          <w:wAfter w:w="2057" w:type="dxa"/>
          <w:trHeight w:val="540" w:hRule="atLeast"/>
        </w:trPr>
        <w:tc>
          <w:tcPr>
            <w:tcW w:w="15383" w:type="dxa"/>
            <w:gridSpan w:val="13"/>
            <w:tcBorders>
              <w:top w:val="nil"/>
              <w:left w:val="nil"/>
              <w:bottom w:val="nil"/>
              <w:right w:val="nil"/>
            </w:tcBorders>
            <w:shd w:val="clear" w:color="auto" w:fill="auto"/>
            <w:noWrap/>
            <w:vAlign w:val="bottom"/>
          </w:tcPr>
          <w:p>
            <w:pPr>
              <w:jc w:val="center"/>
              <w:rPr>
                <w:rFonts w:hint="default" w:cs="宋体"/>
                <w:b/>
                <w:bCs/>
                <w:color w:val="000000"/>
                <w:sz w:val="44"/>
                <w:szCs w:val="44"/>
              </w:rPr>
            </w:pPr>
            <w:r>
              <w:rPr>
                <w:rFonts w:cs="宋体"/>
                <w:b/>
                <w:bCs/>
                <w:color w:val="000000"/>
                <w:sz w:val="44"/>
                <w:szCs w:val="44"/>
              </w:rPr>
              <w:t>一般公共预算财政拨款支出决算表</w:t>
            </w:r>
          </w:p>
        </w:tc>
      </w:tr>
      <w:tr>
        <w:tblPrEx>
          <w:tblCellMar>
            <w:top w:w="0" w:type="dxa"/>
            <w:left w:w="108" w:type="dxa"/>
            <w:bottom w:w="0" w:type="dxa"/>
            <w:right w:w="108" w:type="dxa"/>
          </w:tblCellMar>
        </w:tblPrEx>
        <w:trPr>
          <w:gridAfter w:val="1"/>
          <w:wAfter w:w="2057" w:type="dxa"/>
          <w:trHeight w:val="285" w:hRule="atLeast"/>
        </w:trPr>
        <w:tc>
          <w:tcPr>
            <w:tcW w:w="32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5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17"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824" w:type="dxa"/>
            <w:gridSpan w:val="3"/>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87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688" w:type="dxa"/>
            <w:gridSpan w:val="3"/>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3199" w:type="dxa"/>
            <w:gridSpan w:val="3"/>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公开05表</w:t>
            </w:r>
          </w:p>
        </w:tc>
      </w:tr>
      <w:tr>
        <w:tblPrEx>
          <w:tblCellMar>
            <w:top w:w="0" w:type="dxa"/>
            <w:left w:w="108" w:type="dxa"/>
            <w:bottom w:w="0" w:type="dxa"/>
            <w:right w:w="108" w:type="dxa"/>
          </w:tblCellMar>
        </w:tblPrEx>
        <w:trPr>
          <w:gridAfter w:val="1"/>
          <w:wAfter w:w="2057" w:type="dxa"/>
          <w:trHeight w:val="285" w:hRule="atLeast"/>
        </w:trPr>
        <w:tc>
          <w:tcPr>
            <w:tcW w:w="6623" w:type="dxa"/>
            <w:gridSpan w:val="6"/>
            <w:tcBorders>
              <w:top w:val="nil"/>
              <w:left w:val="nil"/>
              <w:bottom w:val="nil"/>
              <w:right w:val="nil"/>
            </w:tcBorders>
            <w:shd w:val="clear" w:color="auto" w:fill="auto"/>
            <w:noWrap/>
            <w:vAlign w:val="bottom"/>
          </w:tcPr>
          <w:p>
            <w:pPr>
              <w:rPr>
                <w:rFonts w:hint="default" w:cs="宋体"/>
                <w:color w:val="000000"/>
              </w:rPr>
            </w:pPr>
            <w:r>
              <w:rPr>
                <w:rFonts w:cs="宋体"/>
                <w:color w:val="000000"/>
              </w:rPr>
              <w:t>单位：重庆市丰都县消费者权益保护委员会</w:t>
            </w:r>
          </w:p>
        </w:tc>
        <w:tc>
          <w:tcPr>
            <w:tcW w:w="2873"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2688" w:type="dxa"/>
            <w:gridSpan w:val="3"/>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3199" w:type="dxa"/>
            <w:gridSpan w:val="3"/>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单位：万元</w:t>
            </w:r>
          </w:p>
        </w:tc>
      </w:tr>
      <w:tr>
        <w:tblPrEx>
          <w:tblCellMar>
            <w:top w:w="0" w:type="dxa"/>
            <w:left w:w="108" w:type="dxa"/>
            <w:bottom w:w="0" w:type="dxa"/>
            <w:right w:w="108" w:type="dxa"/>
          </w:tblCellMar>
        </w:tblPrEx>
        <w:trPr>
          <w:gridAfter w:val="1"/>
          <w:wAfter w:w="2057" w:type="dxa"/>
          <w:trHeight w:val="308" w:hRule="atLeast"/>
        </w:trPr>
        <w:tc>
          <w:tcPr>
            <w:tcW w:w="66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项目</w:t>
            </w:r>
          </w:p>
        </w:tc>
        <w:tc>
          <w:tcPr>
            <w:tcW w:w="8760" w:type="dxa"/>
            <w:gridSpan w:val="7"/>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本年支出</w:t>
            </w:r>
          </w:p>
        </w:tc>
      </w:tr>
      <w:tr>
        <w:tblPrEx>
          <w:tblCellMar>
            <w:top w:w="0" w:type="dxa"/>
            <w:left w:w="108" w:type="dxa"/>
            <w:bottom w:w="0" w:type="dxa"/>
            <w:right w:w="108" w:type="dxa"/>
          </w:tblCellMar>
        </w:tblPrEx>
        <w:trPr>
          <w:gridAfter w:val="1"/>
          <w:wAfter w:w="2057" w:type="dxa"/>
          <w:trHeight w:val="312" w:hRule="atLeast"/>
        </w:trPr>
        <w:tc>
          <w:tcPr>
            <w:tcW w:w="799"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功能分类科目编码</w:t>
            </w:r>
          </w:p>
        </w:tc>
        <w:tc>
          <w:tcPr>
            <w:tcW w:w="5824" w:type="dxa"/>
            <w:gridSpan w:val="3"/>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项目（按“项”级功能分类科目）</w:t>
            </w:r>
          </w:p>
        </w:tc>
        <w:tc>
          <w:tcPr>
            <w:tcW w:w="2873"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合计</w:t>
            </w:r>
          </w:p>
        </w:tc>
        <w:tc>
          <w:tcPr>
            <w:tcW w:w="2688" w:type="dxa"/>
            <w:gridSpan w:val="3"/>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基本支出</w:t>
            </w:r>
          </w:p>
        </w:tc>
        <w:tc>
          <w:tcPr>
            <w:tcW w:w="3199" w:type="dxa"/>
            <w:gridSpan w:val="3"/>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项目支出</w:t>
            </w:r>
          </w:p>
        </w:tc>
      </w:tr>
      <w:tr>
        <w:tblPrEx>
          <w:tblCellMar>
            <w:top w:w="0" w:type="dxa"/>
            <w:left w:w="108" w:type="dxa"/>
            <w:bottom w:w="0" w:type="dxa"/>
            <w:right w:w="108" w:type="dxa"/>
          </w:tblCellMar>
        </w:tblPrEx>
        <w:trPr>
          <w:gridAfter w:val="1"/>
          <w:wAfter w:w="2057" w:type="dxa"/>
          <w:trHeight w:val="312" w:hRule="atLeast"/>
        </w:trPr>
        <w:tc>
          <w:tcPr>
            <w:tcW w:w="799"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5824" w:type="dxa"/>
            <w:gridSpan w:val="3"/>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873"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688" w:type="dxa"/>
            <w:gridSpan w:val="3"/>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3199" w:type="dxa"/>
            <w:gridSpan w:val="3"/>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gridAfter w:val="1"/>
          <w:wAfter w:w="2057" w:type="dxa"/>
          <w:trHeight w:val="615" w:hRule="atLeast"/>
        </w:trPr>
        <w:tc>
          <w:tcPr>
            <w:tcW w:w="799"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5824" w:type="dxa"/>
            <w:gridSpan w:val="3"/>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873"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688" w:type="dxa"/>
            <w:gridSpan w:val="3"/>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3199" w:type="dxa"/>
            <w:gridSpan w:val="3"/>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gridAfter w:val="1"/>
          <w:wAfter w:w="2057" w:type="dxa"/>
          <w:trHeight w:val="308" w:hRule="atLeast"/>
        </w:trPr>
        <w:tc>
          <w:tcPr>
            <w:tcW w:w="6623" w:type="dxa"/>
            <w:gridSpan w:val="6"/>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合计</w:t>
            </w:r>
          </w:p>
        </w:tc>
        <w:tc>
          <w:tcPr>
            <w:tcW w:w="287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96.52</w:t>
            </w:r>
          </w:p>
        </w:tc>
        <w:tc>
          <w:tcPr>
            <w:tcW w:w="2688"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96.52</w:t>
            </w:r>
          </w:p>
        </w:tc>
        <w:tc>
          <w:tcPr>
            <w:tcW w:w="3199"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gridAfter w:val="1"/>
          <w:wAfter w:w="2057" w:type="dxa"/>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201</w:t>
            </w:r>
          </w:p>
        </w:tc>
        <w:tc>
          <w:tcPr>
            <w:tcW w:w="5824" w:type="dxa"/>
            <w:gridSpan w:val="3"/>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一般公共服务支出</w:t>
            </w:r>
          </w:p>
        </w:tc>
        <w:tc>
          <w:tcPr>
            <w:tcW w:w="287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73.97</w:t>
            </w:r>
          </w:p>
        </w:tc>
        <w:tc>
          <w:tcPr>
            <w:tcW w:w="2688"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73.97</w:t>
            </w:r>
          </w:p>
        </w:tc>
        <w:tc>
          <w:tcPr>
            <w:tcW w:w="3199"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gridAfter w:val="1"/>
          <w:wAfter w:w="2057" w:type="dxa"/>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20138</w:t>
            </w:r>
          </w:p>
        </w:tc>
        <w:tc>
          <w:tcPr>
            <w:tcW w:w="5824" w:type="dxa"/>
            <w:gridSpan w:val="3"/>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市场监督管理事务</w:t>
            </w:r>
          </w:p>
        </w:tc>
        <w:tc>
          <w:tcPr>
            <w:tcW w:w="287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73.97</w:t>
            </w:r>
          </w:p>
        </w:tc>
        <w:tc>
          <w:tcPr>
            <w:tcW w:w="2688"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73.97</w:t>
            </w:r>
          </w:p>
        </w:tc>
        <w:tc>
          <w:tcPr>
            <w:tcW w:w="3199"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gridAfter w:val="1"/>
          <w:wAfter w:w="2057" w:type="dxa"/>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2013850</w:t>
            </w:r>
          </w:p>
        </w:tc>
        <w:tc>
          <w:tcPr>
            <w:tcW w:w="5824" w:type="dxa"/>
            <w:gridSpan w:val="3"/>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事业运行</w:t>
            </w:r>
          </w:p>
        </w:tc>
        <w:tc>
          <w:tcPr>
            <w:tcW w:w="287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73.97</w:t>
            </w:r>
          </w:p>
        </w:tc>
        <w:tc>
          <w:tcPr>
            <w:tcW w:w="2688"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73.97</w:t>
            </w:r>
          </w:p>
        </w:tc>
        <w:tc>
          <w:tcPr>
            <w:tcW w:w="3199"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gridAfter w:val="1"/>
          <w:wAfter w:w="2057" w:type="dxa"/>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208</w:t>
            </w:r>
          </w:p>
        </w:tc>
        <w:tc>
          <w:tcPr>
            <w:tcW w:w="5824" w:type="dxa"/>
            <w:gridSpan w:val="3"/>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社会保障和就业支出</w:t>
            </w:r>
          </w:p>
        </w:tc>
        <w:tc>
          <w:tcPr>
            <w:tcW w:w="287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13.83</w:t>
            </w:r>
          </w:p>
        </w:tc>
        <w:tc>
          <w:tcPr>
            <w:tcW w:w="2688"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13.83</w:t>
            </w:r>
          </w:p>
        </w:tc>
        <w:tc>
          <w:tcPr>
            <w:tcW w:w="3199"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gridAfter w:val="1"/>
          <w:wAfter w:w="2057" w:type="dxa"/>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20805</w:t>
            </w:r>
          </w:p>
        </w:tc>
        <w:tc>
          <w:tcPr>
            <w:tcW w:w="5824" w:type="dxa"/>
            <w:gridSpan w:val="3"/>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行政事业单位养老支出</w:t>
            </w:r>
          </w:p>
        </w:tc>
        <w:tc>
          <w:tcPr>
            <w:tcW w:w="287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13.83</w:t>
            </w:r>
          </w:p>
        </w:tc>
        <w:tc>
          <w:tcPr>
            <w:tcW w:w="2688"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13.83</w:t>
            </w:r>
          </w:p>
        </w:tc>
        <w:tc>
          <w:tcPr>
            <w:tcW w:w="3199"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gridAfter w:val="1"/>
          <w:wAfter w:w="2057" w:type="dxa"/>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2080505</w:t>
            </w:r>
          </w:p>
        </w:tc>
        <w:tc>
          <w:tcPr>
            <w:tcW w:w="5824" w:type="dxa"/>
            <w:gridSpan w:val="3"/>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机关事业单位基本养老保险缴费支出</w:t>
            </w:r>
          </w:p>
        </w:tc>
        <w:tc>
          <w:tcPr>
            <w:tcW w:w="287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9.22</w:t>
            </w:r>
          </w:p>
        </w:tc>
        <w:tc>
          <w:tcPr>
            <w:tcW w:w="2688"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9.22</w:t>
            </w:r>
          </w:p>
        </w:tc>
        <w:tc>
          <w:tcPr>
            <w:tcW w:w="3199"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gridAfter w:val="1"/>
          <w:wAfter w:w="2057" w:type="dxa"/>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2080506</w:t>
            </w:r>
          </w:p>
        </w:tc>
        <w:tc>
          <w:tcPr>
            <w:tcW w:w="5824" w:type="dxa"/>
            <w:gridSpan w:val="3"/>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机关事业单位职业年金缴费支出</w:t>
            </w:r>
          </w:p>
        </w:tc>
        <w:tc>
          <w:tcPr>
            <w:tcW w:w="287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4.61</w:t>
            </w:r>
          </w:p>
        </w:tc>
        <w:tc>
          <w:tcPr>
            <w:tcW w:w="2688"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4.61</w:t>
            </w:r>
          </w:p>
        </w:tc>
        <w:tc>
          <w:tcPr>
            <w:tcW w:w="3199"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gridAfter w:val="1"/>
          <w:wAfter w:w="2057" w:type="dxa"/>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210</w:t>
            </w:r>
          </w:p>
        </w:tc>
        <w:tc>
          <w:tcPr>
            <w:tcW w:w="5824" w:type="dxa"/>
            <w:gridSpan w:val="3"/>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卫生健康支出</w:t>
            </w:r>
          </w:p>
        </w:tc>
        <w:tc>
          <w:tcPr>
            <w:tcW w:w="287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4.31</w:t>
            </w:r>
          </w:p>
        </w:tc>
        <w:tc>
          <w:tcPr>
            <w:tcW w:w="2688"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4.31</w:t>
            </w:r>
          </w:p>
        </w:tc>
        <w:tc>
          <w:tcPr>
            <w:tcW w:w="3199"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gridAfter w:val="1"/>
          <w:wAfter w:w="2057" w:type="dxa"/>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21011</w:t>
            </w:r>
          </w:p>
        </w:tc>
        <w:tc>
          <w:tcPr>
            <w:tcW w:w="5824" w:type="dxa"/>
            <w:gridSpan w:val="3"/>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行政事业单位医疗</w:t>
            </w:r>
          </w:p>
        </w:tc>
        <w:tc>
          <w:tcPr>
            <w:tcW w:w="287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4.31</w:t>
            </w:r>
          </w:p>
        </w:tc>
        <w:tc>
          <w:tcPr>
            <w:tcW w:w="2688"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4.31</w:t>
            </w:r>
          </w:p>
        </w:tc>
        <w:tc>
          <w:tcPr>
            <w:tcW w:w="3199"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gridAfter w:val="1"/>
          <w:wAfter w:w="2057" w:type="dxa"/>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2101102</w:t>
            </w:r>
          </w:p>
        </w:tc>
        <w:tc>
          <w:tcPr>
            <w:tcW w:w="5824" w:type="dxa"/>
            <w:gridSpan w:val="3"/>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事业单位医疗</w:t>
            </w:r>
          </w:p>
        </w:tc>
        <w:tc>
          <w:tcPr>
            <w:tcW w:w="287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3.12</w:t>
            </w:r>
          </w:p>
        </w:tc>
        <w:tc>
          <w:tcPr>
            <w:tcW w:w="2688"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3.12</w:t>
            </w:r>
          </w:p>
        </w:tc>
        <w:tc>
          <w:tcPr>
            <w:tcW w:w="3199"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gridAfter w:val="1"/>
          <w:wAfter w:w="2057" w:type="dxa"/>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2101199</w:t>
            </w:r>
          </w:p>
        </w:tc>
        <w:tc>
          <w:tcPr>
            <w:tcW w:w="5824" w:type="dxa"/>
            <w:gridSpan w:val="3"/>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其他行政事业单位医疗支出</w:t>
            </w:r>
          </w:p>
        </w:tc>
        <w:tc>
          <w:tcPr>
            <w:tcW w:w="287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1.19</w:t>
            </w:r>
          </w:p>
        </w:tc>
        <w:tc>
          <w:tcPr>
            <w:tcW w:w="2688"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1.19</w:t>
            </w:r>
          </w:p>
        </w:tc>
        <w:tc>
          <w:tcPr>
            <w:tcW w:w="3199"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gridAfter w:val="1"/>
          <w:wAfter w:w="2057" w:type="dxa"/>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221</w:t>
            </w:r>
          </w:p>
        </w:tc>
        <w:tc>
          <w:tcPr>
            <w:tcW w:w="5824" w:type="dxa"/>
            <w:gridSpan w:val="3"/>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住房保障支出</w:t>
            </w:r>
          </w:p>
        </w:tc>
        <w:tc>
          <w:tcPr>
            <w:tcW w:w="287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4.41</w:t>
            </w:r>
          </w:p>
        </w:tc>
        <w:tc>
          <w:tcPr>
            <w:tcW w:w="2688"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4.41</w:t>
            </w:r>
          </w:p>
        </w:tc>
        <w:tc>
          <w:tcPr>
            <w:tcW w:w="3199"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gridAfter w:val="1"/>
          <w:wAfter w:w="2057" w:type="dxa"/>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22102</w:t>
            </w:r>
          </w:p>
        </w:tc>
        <w:tc>
          <w:tcPr>
            <w:tcW w:w="5824" w:type="dxa"/>
            <w:gridSpan w:val="3"/>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住房改革支出</w:t>
            </w:r>
          </w:p>
        </w:tc>
        <w:tc>
          <w:tcPr>
            <w:tcW w:w="287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4.41</w:t>
            </w:r>
          </w:p>
        </w:tc>
        <w:tc>
          <w:tcPr>
            <w:tcW w:w="2688"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4.41</w:t>
            </w:r>
          </w:p>
        </w:tc>
        <w:tc>
          <w:tcPr>
            <w:tcW w:w="3199"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gridAfter w:val="1"/>
          <w:wAfter w:w="2057" w:type="dxa"/>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2210201</w:t>
            </w:r>
          </w:p>
        </w:tc>
        <w:tc>
          <w:tcPr>
            <w:tcW w:w="5824" w:type="dxa"/>
            <w:gridSpan w:val="3"/>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住房公积金</w:t>
            </w:r>
          </w:p>
        </w:tc>
        <w:tc>
          <w:tcPr>
            <w:tcW w:w="287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4.41</w:t>
            </w:r>
          </w:p>
        </w:tc>
        <w:tc>
          <w:tcPr>
            <w:tcW w:w="2688"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4.41</w:t>
            </w:r>
          </w:p>
        </w:tc>
        <w:tc>
          <w:tcPr>
            <w:tcW w:w="3199" w:type="dxa"/>
            <w:gridSpan w:val="3"/>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gridAfter w:val="1"/>
          <w:wAfter w:w="2057" w:type="dxa"/>
          <w:trHeight w:val="840" w:hRule="atLeast"/>
        </w:trPr>
        <w:tc>
          <w:tcPr>
            <w:tcW w:w="15383" w:type="dxa"/>
            <w:gridSpan w:val="13"/>
            <w:tcBorders>
              <w:top w:val="nil"/>
              <w:left w:val="nil"/>
              <w:bottom w:val="nil"/>
              <w:right w:val="nil"/>
            </w:tcBorders>
            <w:shd w:val="clear" w:color="auto" w:fill="auto"/>
            <w:vAlign w:val="center"/>
          </w:tcPr>
          <w:p>
            <w:pPr>
              <w:rPr>
                <w:rFonts w:hint="default" w:cs="宋体"/>
                <w:color w:val="000000"/>
                <w:sz w:val="18"/>
                <w:szCs w:val="18"/>
              </w:rPr>
            </w:pPr>
            <w:r>
              <w:rPr>
                <w:rFonts w:cs="宋体"/>
                <w:color w:val="000000"/>
                <w:sz w:val="18"/>
                <w:szCs w:val="18"/>
              </w:rPr>
              <w:t>备注：1.本表反映单位本年度一般公共预算财政拨款支出情况。</w:t>
            </w:r>
            <w:r>
              <w:rPr>
                <w:rFonts w:cs="宋体"/>
                <w:color w:val="000000"/>
                <w:sz w:val="18"/>
                <w:szCs w:val="18"/>
              </w:rPr>
              <w:br w:type="textWrapping"/>
            </w:r>
            <w:r>
              <w:rPr>
                <w:rFonts w:cs="宋体"/>
                <w:color w:val="000000"/>
                <w:sz w:val="18"/>
                <w:szCs w:val="18"/>
              </w:rPr>
              <w:t xml:space="preserve">      2.本套报表金额单位转换时可能存在尾数误差。</w:t>
            </w:r>
          </w:p>
        </w:tc>
      </w:tr>
      <w:tr>
        <w:tblPrEx>
          <w:tblCellMar>
            <w:top w:w="0" w:type="dxa"/>
            <w:left w:w="108" w:type="dxa"/>
            <w:bottom w:w="0" w:type="dxa"/>
            <w:right w:w="108" w:type="dxa"/>
          </w:tblCellMar>
        </w:tblPrEx>
        <w:trPr>
          <w:gridAfter w:val="1"/>
          <w:wAfter w:w="2057" w:type="dxa"/>
          <w:trHeight w:val="255" w:hRule="atLeast"/>
        </w:trPr>
        <w:tc>
          <w:tcPr>
            <w:tcW w:w="32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5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17"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824" w:type="dxa"/>
            <w:gridSpan w:val="3"/>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87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688" w:type="dxa"/>
            <w:gridSpan w:val="3"/>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3199" w:type="dxa"/>
            <w:gridSpan w:val="3"/>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r>
        <w:tblPrEx>
          <w:tblCellMar>
            <w:top w:w="0" w:type="dxa"/>
            <w:left w:w="108" w:type="dxa"/>
            <w:bottom w:w="0" w:type="dxa"/>
            <w:right w:w="108" w:type="dxa"/>
          </w:tblCellMar>
        </w:tblPrEx>
        <w:trPr>
          <w:gridAfter w:val="1"/>
          <w:wAfter w:w="2057" w:type="dxa"/>
          <w:trHeight w:val="255" w:hRule="atLeast"/>
        </w:trPr>
        <w:tc>
          <w:tcPr>
            <w:tcW w:w="32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5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17"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824" w:type="dxa"/>
            <w:gridSpan w:val="3"/>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87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688" w:type="dxa"/>
            <w:gridSpan w:val="3"/>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3199" w:type="dxa"/>
            <w:gridSpan w:val="3"/>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bl>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tbl>
      <w:tblPr>
        <w:tblStyle w:val="6"/>
        <w:tblW w:w="21560" w:type="dxa"/>
        <w:tblInd w:w="94" w:type="dxa"/>
        <w:tblLayout w:type="autofit"/>
        <w:tblCellMar>
          <w:top w:w="0" w:type="dxa"/>
          <w:left w:w="108" w:type="dxa"/>
          <w:bottom w:w="0" w:type="dxa"/>
          <w:right w:w="108" w:type="dxa"/>
        </w:tblCellMar>
      </w:tblPr>
      <w:tblGrid>
        <w:gridCol w:w="1360"/>
        <w:gridCol w:w="3560"/>
        <w:gridCol w:w="2240"/>
        <w:gridCol w:w="1320"/>
        <w:gridCol w:w="2780"/>
        <w:gridCol w:w="2240"/>
        <w:gridCol w:w="1300"/>
        <w:gridCol w:w="4520"/>
        <w:gridCol w:w="2240"/>
      </w:tblGrid>
      <w:tr>
        <w:tblPrEx>
          <w:tblCellMar>
            <w:top w:w="0" w:type="dxa"/>
            <w:left w:w="108" w:type="dxa"/>
            <w:bottom w:w="0" w:type="dxa"/>
            <w:right w:w="108" w:type="dxa"/>
          </w:tblCellMar>
        </w:tblPrEx>
        <w:trPr>
          <w:trHeight w:val="540" w:hRule="atLeast"/>
        </w:trPr>
        <w:tc>
          <w:tcPr>
            <w:tcW w:w="21560" w:type="dxa"/>
            <w:gridSpan w:val="9"/>
            <w:tcBorders>
              <w:top w:val="nil"/>
              <w:left w:val="nil"/>
              <w:bottom w:val="nil"/>
              <w:right w:val="nil"/>
            </w:tcBorders>
            <w:shd w:val="clear" w:color="auto" w:fill="auto"/>
            <w:noWrap/>
            <w:vAlign w:val="bottom"/>
          </w:tcPr>
          <w:p>
            <w:pPr>
              <w:jc w:val="center"/>
              <w:rPr>
                <w:rFonts w:hint="default" w:cs="宋体"/>
                <w:b/>
                <w:bCs/>
                <w:color w:val="000000"/>
                <w:sz w:val="44"/>
                <w:szCs w:val="44"/>
              </w:rPr>
            </w:pPr>
            <w:r>
              <w:rPr>
                <w:rFonts w:cs="宋体"/>
                <w:b/>
                <w:bCs/>
                <w:color w:val="000000"/>
                <w:sz w:val="44"/>
                <w:szCs w:val="44"/>
              </w:rPr>
              <w:t>一般公共预算财政拨款基本支出决算表</w:t>
            </w:r>
          </w:p>
        </w:tc>
      </w:tr>
      <w:tr>
        <w:tblPrEx>
          <w:tblCellMar>
            <w:top w:w="0" w:type="dxa"/>
            <w:left w:w="108" w:type="dxa"/>
            <w:bottom w:w="0" w:type="dxa"/>
            <w:right w:w="108" w:type="dxa"/>
          </w:tblCellMar>
        </w:tblPrEx>
        <w:trPr>
          <w:trHeight w:val="285" w:hRule="atLeast"/>
        </w:trPr>
        <w:tc>
          <w:tcPr>
            <w:tcW w:w="136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356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32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78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30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52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公开06表</w:t>
            </w:r>
          </w:p>
        </w:tc>
      </w:tr>
      <w:tr>
        <w:tblPrEx>
          <w:tblCellMar>
            <w:top w:w="0" w:type="dxa"/>
            <w:left w:w="108" w:type="dxa"/>
            <w:bottom w:w="0" w:type="dxa"/>
            <w:right w:w="108" w:type="dxa"/>
          </w:tblCellMar>
        </w:tblPrEx>
        <w:trPr>
          <w:trHeight w:val="285" w:hRule="atLeast"/>
        </w:trPr>
        <w:tc>
          <w:tcPr>
            <w:tcW w:w="4920" w:type="dxa"/>
            <w:gridSpan w:val="2"/>
            <w:tcBorders>
              <w:top w:val="nil"/>
              <w:left w:val="nil"/>
              <w:bottom w:val="nil"/>
              <w:right w:val="nil"/>
            </w:tcBorders>
            <w:shd w:val="clear" w:color="auto" w:fill="auto"/>
            <w:noWrap/>
            <w:vAlign w:val="bottom"/>
          </w:tcPr>
          <w:p>
            <w:pPr>
              <w:rPr>
                <w:rFonts w:hint="default" w:cs="宋体"/>
                <w:color w:val="000000"/>
              </w:rPr>
            </w:pPr>
            <w:r>
              <w:rPr>
                <w:rFonts w:cs="宋体"/>
                <w:color w:val="000000"/>
              </w:rPr>
              <w:t>单位：重庆市丰都县消费者权益保护委员会</w:t>
            </w: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32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78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30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52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单位：万元</w:t>
            </w:r>
          </w:p>
        </w:tc>
      </w:tr>
      <w:tr>
        <w:tblPrEx>
          <w:tblCellMar>
            <w:top w:w="0" w:type="dxa"/>
            <w:left w:w="108" w:type="dxa"/>
            <w:bottom w:w="0" w:type="dxa"/>
            <w:right w:w="108" w:type="dxa"/>
          </w:tblCellMar>
        </w:tblPrEx>
        <w:trPr>
          <w:trHeight w:val="308" w:hRule="atLeast"/>
        </w:trPr>
        <w:tc>
          <w:tcPr>
            <w:tcW w:w="7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人员经费</w:t>
            </w:r>
          </w:p>
        </w:tc>
        <w:tc>
          <w:tcPr>
            <w:tcW w:w="14400" w:type="dxa"/>
            <w:gridSpan w:val="6"/>
            <w:tcBorders>
              <w:top w:val="single" w:color="000000" w:sz="4" w:space="0"/>
              <w:left w:val="nil"/>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公用经费</w:t>
            </w:r>
          </w:p>
        </w:tc>
      </w:tr>
      <w:tr>
        <w:tblPrEx>
          <w:tblCellMar>
            <w:top w:w="0" w:type="dxa"/>
            <w:left w:w="108" w:type="dxa"/>
            <w:bottom w:w="0" w:type="dxa"/>
            <w:right w:w="108" w:type="dxa"/>
          </w:tblCellMar>
        </w:tblPrEx>
        <w:trPr>
          <w:trHeight w:val="312" w:hRule="atLeast"/>
        </w:trPr>
        <w:tc>
          <w:tcPr>
            <w:tcW w:w="1360"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经济分类科目编码</w:t>
            </w:r>
          </w:p>
        </w:tc>
        <w:tc>
          <w:tcPr>
            <w:tcW w:w="3560"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经济分类科目（按“款”级经济分类科目）</w:t>
            </w:r>
          </w:p>
        </w:tc>
        <w:tc>
          <w:tcPr>
            <w:tcW w:w="2240"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金额</w:t>
            </w:r>
          </w:p>
        </w:tc>
        <w:tc>
          <w:tcPr>
            <w:tcW w:w="1320"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经济分类科目编码</w:t>
            </w:r>
          </w:p>
        </w:tc>
        <w:tc>
          <w:tcPr>
            <w:tcW w:w="2780"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经济分类科目（按“款”级经济分类科目）</w:t>
            </w:r>
          </w:p>
        </w:tc>
        <w:tc>
          <w:tcPr>
            <w:tcW w:w="2240"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金额</w:t>
            </w:r>
          </w:p>
        </w:tc>
        <w:tc>
          <w:tcPr>
            <w:tcW w:w="1300"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经济分类科目编码</w:t>
            </w:r>
          </w:p>
        </w:tc>
        <w:tc>
          <w:tcPr>
            <w:tcW w:w="4520"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经济分类科目（按“款”级经济分类科目）</w:t>
            </w:r>
          </w:p>
        </w:tc>
        <w:tc>
          <w:tcPr>
            <w:tcW w:w="2240"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金额</w:t>
            </w:r>
          </w:p>
        </w:tc>
      </w:tr>
      <w:tr>
        <w:tblPrEx>
          <w:tblCellMar>
            <w:top w:w="0" w:type="dxa"/>
            <w:left w:w="108" w:type="dxa"/>
            <w:bottom w:w="0" w:type="dxa"/>
            <w:right w:w="108" w:type="dxa"/>
          </w:tblCellMar>
        </w:tblPrEx>
        <w:trPr>
          <w:trHeight w:val="312" w:hRule="atLeast"/>
        </w:trPr>
        <w:tc>
          <w:tcPr>
            <w:tcW w:w="1360" w:type="dxa"/>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3560"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240"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1320" w:type="dxa"/>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2780"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240"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1300" w:type="dxa"/>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4520"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240"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08" w:hRule="atLeast"/>
        </w:trPr>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301</w:t>
            </w:r>
          </w:p>
        </w:tc>
        <w:tc>
          <w:tcPr>
            <w:tcW w:w="3560" w:type="dxa"/>
            <w:tcBorders>
              <w:top w:val="single" w:color="auto" w:sz="4" w:space="0"/>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工资福利支出</w:t>
            </w:r>
          </w:p>
        </w:tc>
        <w:tc>
          <w:tcPr>
            <w:tcW w:w="2240"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86.78</w:t>
            </w:r>
          </w:p>
        </w:tc>
        <w:tc>
          <w:tcPr>
            <w:tcW w:w="1320" w:type="dxa"/>
            <w:tcBorders>
              <w:top w:val="single" w:color="auto" w:sz="4" w:space="0"/>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302</w:t>
            </w:r>
          </w:p>
        </w:tc>
        <w:tc>
          <w:tcPr>
            <w:tcW w:w="2780" w:type="dxa"/>
            <w:tcBorders>
              <w:top w:val="single" w:color="auto" w:sz="4" w:space="0"/>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商品和服务支出</w:t>
            </w:r>
          </w:p>
        </w:tc>
        <w:tc>
          <w:tcPr>
            <w:tcW w:w="2240"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9.74</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310</w:t>
            </w:r>
          </w:p>
        </w:tc>
        <w:tc>
          <w:tcPr>
            <w:tcW w:w="4520" w:type="dxa"/>
            <w:tcBorders>
              <w:top w:val="single" w:color="auto" w:sz="4" w:space="0"/>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资本性支出</w:t>
            </w:r>
          </w:p>
        </w:tc>
        <w:tc>
          <w:tcPr>
            <w:tcW w:w="2240"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30101</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基本工资</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21.78</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30201</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办公费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1.17</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31001</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房屋建筑物购建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30102</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津贴补贴</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0.77</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30202</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印刷费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2.97</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31002</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办公设备购置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30103</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奖金</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30203</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咨询费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31003</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专用设备购置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30106</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伙食补助费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30204</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手续费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31005</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基础设施建设</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30107</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绩效工资</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41.67</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30205</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水费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31006</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大型修缮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30108</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机关事业单位基本养老保险缴费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9.22</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30206</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电费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31007</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信息网络及软件购置更新</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30109</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职业年金缴费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4.61</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30207</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邮电费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31008</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物资储备</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30110</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职工基本医疗保险缴费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3.12</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30208</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取暖费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31009</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土地补偿</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30111</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公务员医疗补助缴费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30209</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物业管理费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31010</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安置补助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30112</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其他社会保障缴费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0.55</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30211</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差旅费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1.39</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31011</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地上附着物和青苗补偿</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30113</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住房公积金</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4.41</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30212</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因公出国（境）费用</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31012</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拆迁补偿</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30114</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医疗费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0.64</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30213</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维修（护）费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31013</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公务用车购置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30199</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其他工资福利支出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30214</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租赁费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0.08</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31019</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其他交通工具购置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303</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对个人和家庭的补助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30215</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会议费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31021</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文物和陈列品购置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30301</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离休费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30216</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培训费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31022</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无形资产购置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30302</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退休费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30217</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公务接待费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31099</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其他资本性支出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30303</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退职（役）费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30218</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专用材料费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312</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对企业补助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30304</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抚恤金</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30224</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被装购置费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31201</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资本金注入</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30305</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生活补助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30225</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专用燃料费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31203</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政府投资基金股权投资</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30306</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救济费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30226</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劳务费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31204</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费用补贴</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30307</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医疗费补助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30227</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委托业务费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31205</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利息补贴</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30308</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助学金</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30228</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工会经费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1.52</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31206</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其他资本性补助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30309</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奖励金</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30229</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福利费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31299</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其他对企业补助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30310</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个人农业生产补贴</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30231</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公务用车运行维护费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399</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其他支出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30311</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代缴社会保险费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30239</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其他交通费用</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39907</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国家赔偿费用支出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30399</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其他对个人和家庭的补助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30240</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税金及附加费用</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39908</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对民间非营利组织和群众性自治组织补贴</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30299</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其他商品和服务支出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2.61</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39909</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经常性赠与</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307</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债务利息及费用支出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39910</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资本性赠与</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30701</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国内债务付息</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39999</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30702</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国外债务付息</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30703</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国内债务发行费用</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30704</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国外债务发行费用</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308" w:hRule="atLeast"/>
        </w:trPr>
        <w:tc>
          <w:tcPr>
            <w:tcW w:w="4920" w:type="dxa"/>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人员经费合计</w:t>
            </w:r>
          </w:p>
        </w:tc>
        <w:tc>
          <w:tcPr>
            <w:tcW w:w="2240" w:type="dxa"/>
            <w:tcBorders>
              <w:top w:val="nil"/>
              <w:left w:val="single" w:color="auto" w:sz="4" w:space="0"/>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86.78</w:t>
            </w:r>
          </w:p>
        </w:tc>
        <w:tc>
          <w:tcPr>
            <w:tcW w:w="12160" w:type="dxa"/>
            <w:gridSpan w:val="5"/>
            <w:tcBorders>
              <w:top w:val="nil"/>
              <w:left w:val="nil"/>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公用经费合计</w:t>
            </w:r>
          </w:p>
        </w:tc>
        <w:tc>
          <w:tcPr>
            <w:tcW w:w="2240"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9.74</w:t>
            </w:r>
          </w:p>
        </w:tc>
      </w:tr>
      <w:tr>
        <w:tblPrEx>
          <w:tblCellMar>
            <w:top w:w="0" w:type="dxa"/>
            <w:left w:w="108" w:type="dxa"/>
            <w:bottom w:w="0" w:type="dxa"/>
            <w:right w:w="108" w:type="dxa"/>
          </w:tblCellMar>
        </w:tblPrEx>
        <w:trPr>
          <w:trHeight w:val="582" w:hRule="atLeast"/>
        </w:trPr>
        <w:tc>
          <w:tcPr>
            <w:tcW w:w="21560" w:type="dxa"/>
            <w:gridSpan w:val="9"/>
            <w:tcBorders>
              <w:top w:val="nil"/>
              <w:left w:val="nil"/>
              <w:bottom w:val="nil"/>
              <w:right w:val="nil"/>
            </w:tcBorders>
            <w:shd w:val="clear" w:color="auto" w:fill="auto"/>
            <w:vAlign w:val="center"/>
          </w:tcPr>
          <w:p>
            <w:pPr>
              <w:rPr>
                <w:rFonts w:hint="default" w:cs="宋体"/>
                <w:color w:val="000000"/>
                <w:sz w:val="18"/>
                <w:szCs w:val="18"/>
              </w:rPr>
            </w:pPr>
            <w:r>
              <w:rPr>
                <w:rFonts w:cs="宋体"/>
                <w:color w:val="000000"/>
                <w:sz w:val="18"/>
                <w:szCs w:val="18"/>
              </w:rPr>
              <w:t>备注：1.本表反映单位本年度一般公共预算财政拨款基本支出明细情况。</w:t>
            </w:r>
            <w:r>
              <w:rPr>
                <w:rFonts w:cs="宋体"/>
                <w:color w:val="000000"/>
                <w:sz w:val="18"/>
                <w:szCs w:val="18"/>
              </w:rPr>
              <w:br w:type="textWrapping"/>
            </w:r>
            <w:r>
              <w:rPr>
                <w:rFonts w:cs="宋体"/>
                <w:color w:val="000000"/>
                <w:sz w:val="18"/>
                <w:szCs w:val="18"/>
              </w:rPr>
              <w:t xml:space="preserve">      2.本套报表金额单位转换时可能存在尾数误差。</w:t>
            </w:r>
          </w:p>
        </w:tc>
      </w:tr>
      <w:tr>
        <w:tblPrEx>
          <w:tblCellMar>
            <w:top w:w="0" w:type="dxa"/>
            <w:left w:w="108" w:type="dxa"/>
            <w:bottom w:w="0" w:type="dxa"/>
            <w:right w:w="108" w:type="dxa"/>
          </w:tblCellMar>
        </w:tblPrEx>
        <w:trPr>
          <w:trHeight w:val="308" w:hRule="atLeast"/>
        </w:trPr>
        <w:tc>
          <w:tcPr>
            <w:tcW w:w="21560" w:type="dxa"/>
            <w:gridSpan w:val="9"/>
            <w:tcBorders>
              <w:top w:val="nil"/>
              <w:left w:val="nil"/>
              <w:bottom w:val="nil"/>
              <w:right w:val="nil"/>
            </w:tcBorders>
            <w:shd w:val="clear" w:color="auto" w:fill="auto"/>
            <w:noWrap/>
            <w:vAlign w:val="center"/>
          </w:tcPr>
          <w:p>
            <w:pPr>
              <w:rPr>
                <w:rFonts w:hint="default" w:ascii="Arial" w:hAnsi="Arial" w:cs="Arial"/>
                <w:color w:val="000000"/>
                <w:sz w:val="22"/>
                <w:szCs w:val="22"/>
              </w:rPr>
            </w:pPr>
          </w:p>
        </w:tc>
      </w:tr>
      <w:tr>
        <w:tblPrEx>
          <w:tblCellMar>
            <w:top w:w="0" w:type="dxa"/>
            <w:left w:w="108" w:type="dxa"/>
            <w:bottom w:w="0" w:type="dxa"/>
            <w:right w:w="108" w:type="dxa"/>
          </w:tblCellMar>
        </w:tblPrEx>
        <w:trPr>
          <w:trHeight w:val="308" w:hRule="atLeast"/>
        </w:trPr>
        <w:tc>
          <w:tcPr>
            <w:tcW w:w="136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356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32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78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30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52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136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356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32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780" w:type="dxa"/>
            <w:tcBorders>
              <w:top w:val="nil"/>
              <w:left w:val="nil"/>
              <w:bottom w:val="nil"/>
              <w:right w:val="nil"/>
            </w:tcBorders>
            <w:shd w:val="clear" w:color="auto" w:fill="auto"/>
            <w:noWrap/>
            <w:vAlign w:val="bottom"/>
          </w:tcPr>
          <w:p>
            <w:pPr>
              <w:jc w:val="center"/>
              <w:rPr>
                <w:rFonts w:hint="default" w:cs="宋体"/>
                <w:color w:val="000000"/>
                <w:sz w:val="18"/>
                <w:szCs w:val="18"/>
              </w:rPr>
            </w:pP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30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52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bl>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tbl>
      <w:tblPr>
        <w:tblStyle w:val="6"/>
        <w:tblW w:w="17138" w:type="dxa"/>
        <w:tblInd w:w="94" w:type="dxa"/>
        <w:tblLayout w:type="autofit"/>
        <w:tblCellMar>
          <w:top w:w="0" w:type="dxa"/>
          <w:left w:w="108" w:type="dxa"/>
          <w:bottom w:w="0" w:type="dxa"/>
          <w:right w:w="108" w:type="dxa"/>
        </w:tblCellMar>
      </w:tblPr>
      <w:tblGrid>
        <w:gridCol w:w="222"/>
        <w:gridCol w:w="222"/>
        <w:gridCol w:w="222"/>
        <w:gridCol w:w="4400"/>
        <w:gridCol w:w="1951"/>
        <w:gridCol w:w="1951"/>
        <w:gridCol w:w="1951"/>
        <w:gridCol w:w="1951"/>
        <w:gridCol w:w="1951"/>
        <w:gridCol w:w="2734"/>
      </w:tblGrid>
      <w:tr>
        <w:tblPrEx>
          <w:tblCellMar>
            <w:top w:w="0" w:type="dxa"/>
            <w:left w:w="108" w:type="dxa"/>
            <w:bottom w:w="0" w:type="dxa"/>
            <w:right w:w="108" w:type="dxa"/>
          </w:tblCellMar>
        </w:tblPrEx>
        <w:trPr>
          <w:trHeight w:val="540" w:hRule="atLeast"/>
        </w:trPr>
        <w:tc>
          <w:tcPr>
            <w:tcW w:w="17138" w:type="dxa"/>
            <w:gridSpan w:val="10"/>
            <w:tcBorders>
              <w:top w:val="nil"/>
              <w:left w:val="nil"/>
              <w:bottom w:val="nil"/>
              <w:right w:val="nil"/>
            </w:tcBorders>
            <w:shd w:val="clear" w:color="auto" w:fill="auto"/>
            <w:noWrap/>
            <w:vAlign w:val="bottom"/>
          </w:tcPr>
          <w:p>
            <w:pPr>
              <w:jc w:val="center"/>
              <w:rPr>
                <w:rFonts w:hint="default" w:cs="宋体"/>
                <w:b/>
                <w:bCs/>
                <w:color w:val="000000"/>
                <w:sz w:val="44"/>
                <w:szCs w:val="44"/>
              </w:rPr>
            </w:pPr>
            <w:r>
              <w:rPr>
                <w:rFonts w:cs="宋体"/>
                <w:b/>
                <w:bCs/>
                <w:color w:val="000000"/>
                <w:sz w:val="44"/>
                <w:szCs w:val="44"/>
              </w:rPr>
              <w:t>政府性基金预算财政拨款收入支出决算表</w:t>
            </w:r>
          </w:p>
        </w:tc>
      </w:tr>
      <w:tr>
        <w:tblPrEx>
          <w:tblCellMar>
            <w:top w:w="0" w:type="dxa"/>
            <w:left w:w="108" w:type="dxa"/>
            <w:bottom w:w="0" w:type="dxa"/>
            <w:right w:w="108" w:type="dxa"/>
          </w:tblCellMar>
        </w:tblPrEx>
        <w:trPr>
          <w:trHeight w:val="285" w:hRule="atLeast"/>
        </w:trPr>
        <w:tc>
          <w:tcPr>
            <w:tcW w:w="8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40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734"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公开07表</w:t>
            </w:r>
          </w:p>
        </w:tc>
      </w:tr>
      <w:tr>
        <w:tblPrEx>
          <w:tblCellMar>
            <w:top w:w="0" w:type="dxa"/>
            <w:left w:w="108" w:type="dxa"/>
            <w:bottom w:w="0" w:type="dxa"/>
            <w:right w:w="108" w:type="dxa"/>
          </w:tblCellMar>
        </w:tblPrEx>
        <w:trPr>
          <w:trHeight w:val="285" w:hRule="atLeast"/>
        </w:trPr>
        <w:tc>
          <w:tcPr>
            <w:tcW w:w="4649" w:type="dxa"/>
            <w:gridSpan w:val="4"/>
            <w:tcBorders>
              <w:top w:val="nil"/>
              <w:left w:val="nil"/>
              <w:bottom w:val="nil"/>
              <w:right w:val="nil"/>
            </w:tcBorders>
            <w:shd w:val="clear" w:color="auto" w:fill="auto"/>
            <w:noWrap/>
            <w:vAlign w:val="bottom"/>
          </w:tcPr>
          <w:p>
            <w:pPr>
              <w:rPr>
                <w:rFonts w:hint="default" w:cs="宋体"/>
                <w:color w:val="000000"/>
              </w:rPr>
            </w:pPr>
            <w:r>
              <w:rPr>
                <w:rFonts w:cs="宋体"/>
                <w:color w:val="000000"/>
              </w:rPr>
              <w:t>单位：重庆市丰都县消费者权益保护委员会</w:t>
            </w: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734"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单位：万元</w:t>
            </w:r>
          </w:p>
        </w:tc>
      </w:tr>
      <w:tr>
        <w:tblPrEx>
          <w:tblCellMar>
            <w:top w:w="0" w:type="dxa"/>
            <w:left w:w="108" w:type="dxa"/>
            <w:bottom w:w="0" w:type="dxa"/>
            <w:right w:w="108" w:type="dxa"/>
          </w:tblCellMar>
        </w:tblPrEx>
        <w:trPr>
          <w:trHeight w:val="308" w:hRule="atLeast"/>
        </w:trPr>
        <w:tc>
          <w:tcPr>
            <w:tcW w:w="4649"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项目</w:t>
            </w:r>
          </w:p>
        </w:tc>
        <w:tc>
          <w:tcPr>
            <w:tcW w:w="1951"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年初结转和结余</w:t>
            </w:r>
          </w:p>
        </w:tc>
        <w:tc>
          <w:tcPr>
            <w:tcW w:w="1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本年收入</w:t>
            </w:r>
          </w:p>
        </w:tc>
        <w:tc>
          <w:tcPr>
            <w:tcW w:w="5853" w:type="dxa"/>
            <w:gridSpan w:val="3"/>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本年支出</w:t>
            </w:r>
          </w:p>
        </w:tc>
        <w:tc>
          <w:tcPr>
            <w:tcW w:w="2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年末结转和结余</w:t>
            </w:r>
          </w:p>
        </w:tc>
      </w:tr>
      <w:tr>
        <w:tblPrEx>
          <w:tblCellMar>
            <w:top w:w="0" w:type="dxa"/>
            <w:left w:w="108" w:type="dxa"/>
            <w:bottom w:w="0" w:type="dxa"/>
            <w:right w:w="108" w:type="dxa"/>
          </w:tblCellMar>
        </w:tblPrEx>
        <w:trPr>
          <w:trHeight w:val="312" w:hRule="atLeast"/>
        </w:trPr>
        <w:tc>
          <w:tcPr>
            <w:tcW w:w="249"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功能分类科目编码</w:t>
            </w:r>
          </w:p>
        </w:tc>
        <w:tc>
          <w:tcPr>
            <w:tcW w:w="4400"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项目（按“项”级功能分类科目）</w:t>
            </w:r>
          </w:p>
        </w:tc>
        <w:tc>
          <w:tcPr>
            <w:tcW w:w="1951" w:type="dxa"/>
            <w:vMerge w:val="continue"/>
            <w:tcBorders>
              <w:top w:val="single" w:color="000000" w:sz="4" w:space="0"/>
              <w:left w:val="nil"/>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合计</w:t>
            </w:r>
          </w:p>
        </w:tc>
        <w:tc>
          <w:tcPr>
            <w:tcW w:w="1951"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基本支出</w:t>
            </w:r>
          </w:p>
        </w:tc>
        <w:tc>
          <w:tcPr>
            <w:tcW w:w="1951"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项目支出</w:t>
            </w:r>
          </w:p>
        </w:tc>
        <w:tc>
          <w:tcPr>
            <w:tcW w:w="2734"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12" w:hRule="atLeast"/>
        </w:trPr>
        <w:tc>
          <w:tcPr>
            <w:tcW w:w="249"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hint="default" w:cs="宋体"/>
                <w:b/>
                <w:bCs/>
                <w:color w:val="000000"/>
                <w:sz w:val="22"/>
                <w:szCs w:val="22"/>
              </w:rPr>
            </w:pPr>
          </w:p>
        </w:tc>
        <w:tc>
          <w:tcPr>
            <w:tcW w:w="4400" w:type="dxa"/>
            <w:vMerge w:val="continue"/>
            <w:tcBorders>
              <w:top w:val="nil"/>
              <w:left w:val="single" w:color="auto" w:sz="4" w:space="0"/>
              <w:bottom w:val="single" w:color="000000" w:sz="4" w:space="0"/>
              <w:right w:val="single" w:color="auto" w:sz="4" w:space="0"/>
            </w:tcBorders>
            <w:vAlign w:val="center"/>
          </w:tcPr>
          <w:p>
            <w:pPr>
              <w:rPr>
                <w:rFonts w:hint="default" w:cs="宋体"/>
                <w:b/>
                <w:bCs/>
                <w:color w:val="000000"/>
                <w:sz w:val="22"/>
                <w:szCs w:val="22"/>
              </w:rPr>
            </w:pPr>
          </w:p>
        </w:tc>
        <w:tc>
          <w:tcPr>
            <w:tcW w:w="1951" w:type="dxa"/>
            <w:vMerge w:val="continue"/>
            <w:tcBorders>
              <w:top w:val="single" w:color="000000" w:sz="4" w:space="0"/>
              <w:left w:val="nil"/>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734"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615" w:hRule="atLeast"/>
        </w:trPr>
        <w:tc>
          <w:tcPr>
            <w:tcW w:w="249"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hint="default" w:cs="宋体"/>
                <w:b/>
                <w:bCs/>
                <w:color w:val="000000"/>
                <w:sz w:val="22"/>
                <w:szCs w:val="22"/>
              </w:rPr>
            </w:pPr>
          </w:p>
        </w:tc>
        <w:tc>
          <w:tcPr>
            <w:tcW w:w="4400" w:type="dxa"/>
            <w:vMerge w:val="continue"/>
            <w:tcBorders>
              <w:top w:val="nil"/>
              <w:left w:val="single" w:color="auto" w:sz="4" w:space="0"/>
              <w:bottom w:val="single" w:color="000000" w:sz="4" w:space="0"/>
              <w:right w:val="single" w:color="auto" w:sz="4" w:space="0"/>
            </w:tcBorders>
            <w:vAlign w:val="center"/>
          </w:tcPr>
          <w:p>
            <w:pPr>
              <w:rPr>
                <w:rFonts w:hint="default" w:cs="宋体"/>
                <w:b/>
                <w:bCs/>
                <w:color w:val="000000"/>
                <w:sz w:val="22"/>
                <w:szCs w:val="22"/>
              </w:rPr>
            </w:pPr>
          </w:p>
        </w:tc>
        <w:tc>
          <w:tcPr>
            <w:tcW w:w="1951" w:type="dxa"/>
            <w:vMerge w:val="continue"/>
            <w:tcBorders>
              <w:top w:val="single" w:color="000000" w:sz="4" w:space="0"/>
              <w:left w:val="nil"/>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734"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08" w:hRule="atLeast"/>
        </w:trPr>
        <w:tc>
          <w:tcPr>
            <w:tcW w:w="4649" w:type="dxa"/>
            <w:gridSpan w:val="4"/>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合计</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2734"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24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4400"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2734"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660" w:hRule="atLeast"/>
        </w:trPr>
        <w:tc>
          <w:tcPr>
            <w:tcW w:w="17138" w:type="dxa"/>
            <w:gridSpan w:val="10"/>
            <w:tcBorders>
              <w:top w:val="nil"/>
              <w:left w:val="nil"/>
              <w:bottom w:val="nil"/>
              <w:right w:val="nil"/>
            </w:tcBorders>
            <w:shd w:val="clear" w:color="auto" w:fill="auto"/>
            <w:vAlign w:val="center"/>
          </w:tcPr>
          <w:p>
            <w:pPr>
              <w:rPr>
                <w:rFonts w:hint="default" w:cs="宋体"/>
                <w:color w:val="000000"/>
                <w:sz w:val="18"/>
                <w:szCs w:val="18"/>
              </w:rPr>
            </w:pPr>
            <w:r>
              <w:rPr>
                <w:rFonts w:cs="宋体"/>
                <w:color w:val="000000"/>
                <w:sz w:val="18"/>
                <w:szCs w:val="18"/>
              </w:rPr>
              <w:t>备注：本表反映单位本年度政府性基金预算财政拨款收入支出及结转和结余情况。本单位无政府性基金收支，故本表无数据。</w:t>
            </w:r>
          </w:p>
        </w:tc>
      </w:tr>
      <w:tr>
        <w:tblPrEx>
          <w:tblCellMar>
            <w:top w:w="0" w:type="dxa"/>
            <w:left w:w="108" w:type="dxa"/>
            <w:bottom w:w="0" w:type="dxa"/>
            <w:right w:w="108" w:type="dxa"/>
          </w:tblCellMar>
        </w:tblPrEx>
        <w:trPr>
          <w:trHeight w:val="255" w:hRule="atLeast"/>
        </w:trPr>
        <w:tc>
          <w:tcPr>
            <w:tcW w:w="8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40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73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8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40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73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bl>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tbl>
      <w:tblPr>
        <w:tblStyle w:val="6"/>
        <w:tblW w:w="11837" w:type="dxa"/>
        <w:tblInd w:w="94" w:type="dxa"/>
        <w:tblLayout w:type="autofit"/>
        <w:tblCellMar>
          <w:top w:w="0" w:type="dxa"/>
          <w:left w:w="108" w:type="dxa"/>
          <w:bottom w:w="0" w:type="dxa"/>
          <w:right w:w="108" w:type="dxa"/>
        </w:tblCellMar>
      </w:tblPr>
      <w:tblGrid>
        <w:gridCol w:w="222"/>
        <w:gridCol w:w="222"/>
        <w:gridCol w:w="222"/>
        <w:gridCol w:w="4348"/>
        <w:gridCol w:w="2397"/>
        <w:gridCol w:w="1969"/>
        <w:gridCol w:w="2874"/>
      </w:tblGrid>
      <w:tr>
        <w:tblPrEx>
          <w:tblCellMar>
            <w:top w:w="0" w:type="dxa"/>
            <w:left w:w="108" w:type="dxa"/>
            <w:bottom w:w="0" w:type="dxa"/>
            <w:right w:w="108" w:type="dxa"/>
          </w:tblCellMar>
        </w:tblPrEx>
        <w:trPr>
          <w:trHeight w:val="540" w:hRule="atLeast"/>
        </w:trPr>
        <w:tc>
          <w:tcPr>
            <w:tcW w:w="11837" w:type="dxa"/>
            <w:gridSpan w:val="7"/>
            <w:tcBorders>
              <w:top w:val="nil"/>
              <w:left w:val="nil"/>
              <w:bottom w:val="nil"/>
              <w:right w:val="nil"/>
            </w:tcBorders>
            <w:shd w:val="clear" w:color="auto" w:fill="auto"/>
            <w:noWrap/>
            <w:vAlign w:val="bottom"/>
          </w:tcPr>
          <w:p>
            <w:pPr>
              <w:jc w:val="center"/>
              <w:rPr>
                <w:rFonts w:hint="default" w:cs="宋体"/>
                <w:b/>
                <w:bCs/>
                <w:color w:val="000000"/>
                <w:sz w:val="44"/>
                <w:szCs w:val="44"/>
              </w:rPr>
            </w:pPr>
            <w:r>
              <w:rPr>
                <w:rFonts w:cs="宋体"/>
                <w:b/>
                <w:bCs/>
                <w:color w:val="000000"/>
                <w:sz w:val="44"/>
                <w:szCs w:val="44"/>
              </w:rPr>
              <w:t>国有资本经营预算财政拨款支出决算表</w:t>
            </w:r>
          </w:p>
        </w:tc>
      </w:tr>
      <w:tr>
        <w:tblPrEx>
          <w:tblCellMar>
            <w:top w:w="0" w:type="dxa"/>
            <w:left w:w="108" w:type="dxa"/>
            <w:bottom w:w="0" w:type="dxa"/>
            <w:right w:w="108" w:type="dxa"/>
          </w:tblCellMar>
        </w:tblPrEx>
        <w:trPr>
          <w:trHeight w:val="285" w:hRule="atLeast"/>
        </w:trPr>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34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397"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6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874"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公开08表</w:t>
            </w:r>
          </w:p>
        </w:tc>
      </w:tr>
      <w:tr>
        <w:tblPrEx>
          <w:tblCellMar>
            <w:top w:w="0" w:type="dxa"/>
            <w:left w:w="108" w:type="dxa"/>
            <w:bottom w:w="0" w:type="dxa"/>
            <w:right w:w="108" w:type="dxa"/>
          </w:tblCellMar>
        </w:tblPrEx>
        <w:trPr>
          <w:trHeight w:val="285" w:hRule="atLeast"/>
        </w:trPr>
        <w:tc>
          <w:tcPr>
            <w:tcW w:w="4597" w:type="dxa"/>
            <w:gridSpan w:val="4"/>
            <w:tcBorders>
              <w:top w:val="nil"/>
              <w:left w:val="nil"/>
              <w:bottom w:val="nil"/>
              <w:right w:val="nil"/>
            </w:tcBorders>
            <w:shd w:val="clear" w:color="auto" w:fill="auto"/>
            <w:noWrap/>
            <w:vAlign w:val="bottom"/>
          </w:tcPr>
          <w:p>
            <w:pPr>
              <w:rPr>
                <w:rFonts w:hint="default" w:cs="宋体"/>
                <w:color w:val="000000"/>
              </w:rPr>
            </w:pPr>
            <w:r>
              <w:rPr>
                <w:rFonts w:cs="宋体"/>
                <w:color w:val="000000"/>
              </w:rPr>
              <w:t>单位：重庆市丰都县消费者权益保护委员会</w:t>
            </w:r>
          </w:p>
        </w:tc>
        <w:tc>
          <w:tcPr>
            <w:tcW w:w="2397"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6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874"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单位：万元</w:t>
            </w:r>
          </w:p>
        </w:tc>
      </w:tr>
      <w:tr>
        <w:tblPrEx>
          <w:tblCellMar>
            <w:top w:w="0" w:type="dxa"/>
            <w:left w:w="108" w:type="dxa"/>
            <w:bottom w:w="0" w:type="dxa"/>
            <w:right w:w="108" w:type="dxa"/>
          </w:tblCellMar>
        </w:tblPrEx>
        <w:trPr>
          <w:trHeight w:val="390" w:hRule="atLeast"/>
        </w:trPr>
        <w:tc>
          <w:tcPr>
            <w:tcW w:w="4597"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hint="default" w:cs="宋体"/>
                <w:b/>
                <w:bCs/>
                <w:color w:val="000000"/>
                <w:sz w:val="22"/>
                <w:szCs w:val="22"/>
              </w:rPr>
            </w:pPr>
            <w:r>
              <w:rPr>
                <w:rFonts w:cs="宋体"/>
                <w:b/>
                <w:bCs/>
                <w:color w:val="000000"/>
                <w:sz w:val="22"/>
                <w:szCs w:val="22"/>
              </w:rPr>
              <w:t>项目</w:t>
            </w:r>
          </w:p>
        </w:tc>
        <w:tc>
          <w:tcPr>
            <w:tcW w:w="7240" w:type="dxa"/>
            <w:gridSpan w:val="3"/>
            <w:tcBorders>
              <w:top w:val="single" w:color="auto" w:sz="4" w:space="0"/>
              <w:left w:val="nil"/>
              <w:bottom w:val="single" w:color="auto" w:sz="4" w:space="0"/>
              <w:right w:val="single" w:color="auto" w:sz="4" w:space="0"/>
            </w:tcBorders>
            <w:shd w:val="clear" w:color="auto" w:fill="auto"/>
            <w:noWrap/>
            <w:vAlign w:val="bottom"/>
          </w:tcPr>
          <w:p>
            <w:pPr>
              <w:jc w:val="center"/>
              <w:rPr>
                <w:rFonts w:hint="default" w:cs="宋体"/>
                <w:b/>
                <w:bCs/>
                <w:color w:val="000000"/>
                <w:sz w:val="22"/>
                <w:szCs w:val="22"/>
              </w:rPr>
            </w:pPr>
            <w:r>
              <w:rPr>
                <w:rFonts w:cs="宋体"/>
                <w:b/>
                <w:bCs/>
                <w:color w:val="000000"/>
                <w:sz w:val="22"/>
                <w:szCs w:val="22"/>
              </w:rPr>
              <w:t>本年支出</w:t>
            </w:r>
          </w:p>
        </w:tc>
      </w:tr>
      <w:tr>
        <w:tblPrEx>
          <w:tblCellMar>
            <w:top w:w="0" w:type="dxa"/>
            <w:left w:w="108" w:type="dxa"/>
            <w:bottom w:w="0" w:type="dxa"/>
            <w:right w:w="108" w:type="dxa"/>
          </w:tblCellMar>
        </w:tblPrEx>
        <w:trPr>
          <w:trHeight w:val="312" w:hRule="atLeast"/>
        </w:trPr>
        <w:tc>
          <w:tcPr>
            <w:tcW w:w="249"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功能分类科目编码</w:t>
            </w:r>
          </w:p>
        </w:tc>
        <w:tc>
          <w:tcPr>
            <w:tcW w:w="4348"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科目名称</w:t>
            </w:r>
          </w:p>
        </w:tc>
        <w:tc>
          <w:tcPr>
            <w:tcW w:w="2397"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合计</w:t>
            </w:r>
          </w:p>
        </w:tc>
        <w:tc>
          <w:tcPr>
            <w:tcW w:w="1969"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基本支出</w:t>
            </w:r>
          </w:p>
        </w:tc>
        <w:tc>
          <w:tcPr>
            <w:tcW w:w="2874"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项目支出</w:t>
            </w:r>
          </w:p>
        </w:tc>
      </w:tr>
      <w:tr>
        <w:tblPrEx>
          <w:tblCellMar>
            <w:top w:w="0" w:type="dxa"/>
            <w:left w:w="108" w:type="dxa"/>
            <w:bottom w:w="0" w:type="dxa"/>
            <w:right w:w="108" w:type="dxa"/>
          </w:tblCellMar>
        </w:tblPrEx>
        <w:trPr>
          <w:trHeight w:val="312" w:hRule="atLeast"/>
        </w:trPr>
        <w:tc>
          <w:tcPr>
            <w:tcW w:w="249"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4348"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397" w:type="dxa"/>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1969"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874"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12" w:hRule="atLeast"/>
        </w:trPr>
        <w:tc>
          <w:tcPr>
            <w:tcW w:w="249"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4348"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397" w:type="dxa"/>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1969"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874"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615" w:hRule="atLeast"/>
        </w:trPr>
        <w:tc>
          <w:tcPr>
            <w:tcW w:w="249"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4348"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397" w:type="dxa"/>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1969"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874"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08" w:hRule="atLeast"/>
        </w:trPr>
        <w:tc>
          <w:tcPr>
            <w:tcW w:w="45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合计</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69"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2874"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24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434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69"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2874"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762" w:hRule="atLeast"/>
        </w:trPr>
        <w:tc>
          <w:tcPr>
            <w:tcW w:w="11837" w:type="dxa"/>
            <w:gridSpan w:val="7"/>
            <w:tcBorders>
              <w:top w:val="nil"/>
              <w:left w:val="nil"/>
              <w:bottom w:val="nil"/>
              <w:right w:val="nil"/>
            </w:tcBorders>
            <w:shd w:val="clear" w:color="auto" w:fill="auto"/>
            <w:vAlign w:val="center"/>
          </w:tcPr>
          <w:p>
            <w:pPr>
              <w:rPr>
                <w:rFonts w:hint="default" w:cs="宋体"/>
                <w:color w:val="000000"/>
                <w:sz w:val="18"/>
                <w:szCs w:val="18"/>
              </w:rPr>
            </w:pPr>
            <w:r>
              <w:rPr>
                <w:rFonts w:cs="宋体"/>
                <w:color w:val="000000"/>
                <w:sz w:val="18"/>
                <w:szCs w:val="18"/>
              </w:rPr>
              <w:t>备注：本表反映单位本年度国有资本经营预算财政拨款支出情况。本单位无国有资本经营收支，故本表无数据。</w:t>
            </w:r>
          </w:p>
        </w:tc>
      </w:tr>
      <w:tr>
        <w:tblPrEx>
          <w:tblCellMar>
            <w:top w:w="0" w:type="dxa"/>
            <w:left w:w="108" w:type="dxa"/>
            <w:bottom w:w="0" w:type="dxa"/>
            <w:right w:w="108" w:type="dxa"/>
          </w:tblCellMar>
        </w:tblPrEx>
        <w:trPr>
          <w:trHeight w:val="255" w:hRule="atLeast"/>
        </w:trPr>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34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397"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6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87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34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397"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6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87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bl>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p>
      <w:pPr>
        <w:pStyle w:val="9"/>
        <w:autoSpaceDE w:val="0"/>
        <w:ind w:firstLine="0" w:firstLineChars="0"/>
        <w:rPr>
          <w:rFonts w:cs="宋体"/>
          <w:sz w:val="21"/>
          <w:szCs w:val="21"/>
        </w:rPr>
      </w:pPr>
    </w:p>
    <w:tbl>
      <w:tblPr>
        <w:tblStyle w:val="6"/>
        <w:tblW w:w="18541" w:type="dxa"/>
        <w:tblInd w:w="94" w:type="dxa"/>
        <w:tblLayout w:type="autofit"/>
        <w:tblCellMar>
          <w:top w:w="0" w:type="dxa"/>
          <w:left w:w="108" w:type="dxa"/>
          <w:bottom w:w="0" w:type="dxa"/>
          <w:right w:w="108" w:type="dxa"/>
        </w:tblCellMar>
      </w:tblPr>
      <w:tblGrid>
        <w:gridCol w:w="6332"/>
        <w:gridCol w:w="1093"/>
        <w:gridCol w:w="1093"/>
        <w:gridCol w:w="8081"/>
        <w:gridCol w:w="1942"/>
      </w:tblGrid>
      <w:tr>
        <w:tblPrEx>
          <w:tblCellMar>
            <w:top w:w="0" w:type="dxa"/>
            <w:left w:w="108" w:type="dxa"/>
            <w:bottom w:w="0" w:type="dxa"/>
            <w:right w:w="108" w:type="dxa"/>
          </w:tblCellMar>
        </w:tblPrEx>
        <w:trPr>
          <w:trHeight w:val="540" w:hRule="atLeast"/>
        </w:trPr>
        <w:tc>
          <w:tcPr>
            <w:tcW w:w="18541" w:type="dxa"/>
            <w:gridSpan w:val="5"/>
            <w:tcBorders>
              <w:top w:val="nil"/>
              <w:left w:val="nil"/>
              <w:bottom w:val="nil"/>
              <w:right w:val="nil"/>
            </w:tcBorders>
            <w:shd w:val="clear" w:color="auto" w:fill="auto"/>
            <w:noWrap/>
            <w:vAlign w:val="bottom"/>
          </w:tcPr>
          <w:p>
            <w:pPr>
              <w:jc w:val="center"/>
              <w:rPr>
                <w:rFonts w:hint="default" w:cs="宋体"/>
                <w:b/>
                <w:bCs/>
                <w:color w:val="000000"/>
                <w:sz w:val="44"/>
                <w:szCs w:val="44"/>
              </w:rPr>
            </w:pPr>
            <w:r>
              <w:rPr>
                <w:rFonts w:cs="宋体"/>
                <w:b/>
                <w:bCs/>
                <w:color w:val="000000"/>
                <w:sz w:val="44"/>
                <w:szCs w:val="44"/>
              </w:rPr>
              <w:t>机构运行信息表</w:t>
            </w:r>
          </w:p>
        </w:tc>
      </w:tr>
      <w:tr>
        <w:tblPrEx>
          <w:tblCellMar>
            <w:top w:w="0" w:type="dxa"/>
            <w:left w:w="108" w:type="dxa"/>
            <w:bottom w:w="0" w:type="dxa"/>
            <w:right w:w="108" w:type="dxa"/>
          </w:tblCellMar>
        </w:tblPrEx>
        <w:trPr>
          <w:trHeight w:val="285" w:hRule="atLeast"/>
        </w:trPr>
        <w:tc>
          <w:tcPr>
            <w:tcW w:w="633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093" w:type="dxa"/>
            <w:tcBorders>
              <w:top w:val="nil"/>
              <w:left w:val="nil"/>
              <w:bottom w:val="nil"/>
              <w:right w:val="nil"/>
            </w:tcBorders>
            <w:shd w:val="clear" w:color="auto" w:fill="auto"/>
            <w:noWrap/>
            <w:vAlign w:val="bottom"/>
          </w:tcPr>
          <w:p>
            <w:pPr>
              <w:jc w:val="center"/>
              <w:rPr>
                <w:rFonts w:hint="default" w:ascii="Arial" w:hAnsi="Arial" w:cs="Arial"/>
                <w:color w:val="000000"/>
                <w:sz w:val="20"/>
                <w:szCs w:val="20"/>
              </w:rPr>
            </w:pPr>
          </w:p>
        </w:tc>
        <w:tc>
          <w:tcPr>
            <w:tcW w:w="1093" w:type="dxa"/>
            <w:tcBorders>
              <w:top w:val="nil"/>
              <w:left w:val="nil"/>
              <w:bottom w:val="nil"/>
              <w:right w:val="nil"/>
            </w:tcBorders>
            <w:shd w:val="clear" w:color="auto" w:fill="auto"/>
            <w:noWrap/>
            <w:vAlign w:val="bottom"/>
          </w:tcPr>
          <w:p>
            <w:pPr>
              <w:jc w:val="right"/>
              <w:rPr>
                <w:rFonts w:hint="default" w:ascii="Arial" w:hAnsi="Arial" w:cs="Arial"/>
                <w:color w:val="000000"/>
                <w:sz w:val="20"/>
                <w:szCs w:val="20"/>
              </w:rPr>
            </w:pPr>
          </w:p>
        </w:tc>
        <w:tc>
          <w:tcPr>
            <w:tcW w:w="808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42"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公开09表</w:t>
            </w:r>
          </w:p>
        </w:tc>
      </w:tr>
      <w:tr>
        <w:tblPrEx>
          <w:tblCellMar>
            <w:top w:w="0" w:type="dxa"/>
            <w:left w:w="108" w:type="dxa"/>
            <w:bottom w:w="0" w:type="dxa"/>
            <w:right w:w="108" w:type="dxa"/>
          </w:tblCellMar>
        </w:tblPrEx>
        <w:trPr>
          <w:trHeight w:val="300" w:hRule="atLeast"/>
        </w:trPr>
        <w:tc>
          <w:tcPr>
            <w:tcW w:w="7425" w:type="dxa"/>
            <w:gridSpan w:val="2"/>
            <w:tcBorders>
              <w:top w:val="nil"/>
              <w:left w:val="nil"/>
              <w:bottom w:val="nil"/>
              <w:right w:val="nil"/>
            </w:tcBorders>
            <w:shd w:val="clear" w:color="auto" w:fill="auto"/>
            <w:noWrap/>
            <w:vAlign w:val="bottom"/>
          </w:tcPr>
          <w:p>
            <w:pPr>
              <w:rPr>
                <w:rFonts w:hint="default" w:ascii="Arial" w:hAnsi="Arial" w:cs="Arial"/>
                <w:color w:val="000000"/>
              </w:rPr>
            </w:pPr>
            <w:r>
              <w:rPr>
                <w:rFonts w:ascii="Arial" w:hAnsi="Arial" w:cs="Arial"/>
                <w:color w:val="000000"/>
              </w:rPr>
              <w:t>单位：重庆市丰都县消费者权益保护委员会</w:t>
            </w:r>
          </w:p>
        </w:tc>
        <w:tc>
          <w:tcPr>
            <w:tcW w:w="1093" w:type="dxa"/>
            <w:tcBorders>
              <w:top w:val="nil"/>
              <w:left w:val="nil"/>
              <w:bottom w:val="nil"/>
              <w:right w:val="nil"/>
            </w:tcBorders>
            <w:shd w:val="clear" w:color="auto" w:fill="auto"/>
            <w:noWrap/>
            <w:vAlign w:val="bottom"/>
          </w:tcPr>
          <w:p>
            <w:pPr>
              <w:jc w:val="right"/>
              <w:rPr>
                <w:rFonts w:hint="default" w:ascii="Arial" w:hAnsi="Arial" w:cs="Arial"/>
                <w:color w:val="000000"/>
                <w:sz w:val="22"/>
                <w:szCs w:val="22"/>
              </w:rPr>
            </w:pPr>
          </w:p>
        </w:tc>
        <w:tc>
          <w:tcPr>
            <w:tcW w:w="808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42"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单位：万元</w:t>
            </w:r>
          </w:p>
        </w:tc>
      </w:tr>
      <w:tr>
        <w:tblPrEx>
          <w:tblCellMar>
            <w:top w:w="0" w:type="dxa"/>
            <w:left w:w="108" w:type="dxa"/>
            <w:bottom w:w="0" w:type="dxa"/>
            <w:right w:w="108" w:type="dxa"/>
          </w:tblCellMar>
        </w:tblPrEx>
        <w:trPr>
          <w:trHeight w:val="308" w:hRule="atLeast"/>
        </w:trPr>
        <w:tc>
          <w:tcPr>
            <w:tcW w:w="633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  目</w:t>
            </w:r>
          </w:p>
        </w:tc>
        <w:tc>
          <w:tcPr>
            <w:tcW w:w="109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预算数</w:t>
            </w:r>
          </w:p>
        </w:tc>
        <w:tc>
          <w:tcPr>
            <w:tcW w:w="109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决算数</w:t>
            </w:r>
          </w:p>
        </w:tc>
        <w:tc>
          <w:tcPr>
            <w:tcW w:w="808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  目</w:t>
            </w:r>
          </w:p>
        </w:tc>
        <w:tc>
          <w:tcPr>
            <w:tcW w:w="194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决算数</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一、“三公”经费支出</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五、机关运行经费</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（一）支出合计</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（一）行政单位</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1．因公出国（境）费</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（二）参照公务员法管理事业单位</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2．公务用车购置及运行维护费</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六、资产信息</w:t>
            </w:r>
          </w:p>
        </w:tc>
        <w:tc>
          <w:tcPr>
            <w:tcW w:w="1942"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（1）公务用车购置费</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（一）车辆数合计（辆）</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（2）公务用车运行维护费</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1．副部（省）级及以上领导用车</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3．公务接待费</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2．主要领导干部用车</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（1）国内接待费</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3．机要通信用车</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其中：外事接待费</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4．应急保障用车</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（2）国（境）外接待费</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5．执法执勤用车</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（二）相关统计数</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6．特种专业技术用车</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1．因公出国（境）团组数（个）</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7．离退休干部用车</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2．因公出国（境）人次数（人）</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8．其他用车</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3．公务用车购置数（辆）</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（二）单价100万元（含）以上设备（不含车辆）</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4．公务用车保有量（辆）</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七、政府采购支出信息</w:t>
            </w:r>
          </w:p>
        </w:tc>
        <w:tc>
          <w:tcPr>
            <w:tcW w:w="1942"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5．国内公务接待批次（个）</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（一）政府采购支出合计</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其中：外事接待批次（个）</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1．政府采购货物支出</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6．国内公务接待人次（人）</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2．政府采购工程支出</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其中：外事接待人次（人）</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3．政府采购服务支出</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7．国（境）外公务接待批次（个）</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（二）政府采购授予中小企业合同金额</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8．国（境）外公务接待人次（人）</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其中：授予小微企业合同金额</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二、会议费</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三、培训费</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四、差旅费</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1.39</w:t>
            </w:r>
          </w:p>
        </w:tc>
        <w:tc>
          <w:tcPr>
            <w:tcW w:w="8081"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919" w:hRule="atLeast"/>
        </w:trPr>
        <w:tc>
          <w:tcPr>
            <w:tcW w:w="18541" w:type="dxa"/>
            <w:gridSpan w:val="5"/>
            <w:tcBorders>
              <w:top w:val="nil"/>
              <w:left w:val="nil"/>
              <w:bottom w:val="nil"/>
              <w:right w:val="nil"/>
            </w:tcBorders>
            <w:shd w:val="clear" w:color="auto" w:fill="auto"/>
            <w:vAlign w:val="center"/>
          </w:tcPr>
          <w:p>
            <w:pPr>
              <w:rPr>
                <w:rFonts w:hint="default" w:cs="宋体"/>
                <w:color w:val="000000"/>
                <w:sz w:val="22"/>
                <w:szCs w:val="22"/>
              </w:rPr>
            </w:pPr>
            <w:r>
              <w:rPr>
                <w:rFonts w:cs="宋体"/>
                <w:color w:val="000000"/>
                <w:sz w:val="22"/>
                <w:szCs w:val="22"/>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000000"/>
                <w:sz w:val="22"/>
                <w:szCs w:val="22"/>
              </w:rPr>
              <w:br w:type="textWrapping"/>
            </w:r>
            <w:r>
              <w:rPr>
                <w:rFonts w:cs="宋体"/>
                <w:color w:val="000000"/>
                <w:sz w:val="22"/>
                <w:szCs w:val="22"/>
              </w:rPr>
              <w:t xml:space="preserve">      2.本套报表金额单位转换时可能存在尾数误差。</w:t>
            </w:r>
          </w:p>
        </w:tc>
      </w:tr>
      <w:tr>
        <w:tblPrEx>
          <w:tblCellMar>
            <w:top w:w="0" w:type="dxa"/>
            <w:left w:w="108" w:type="dxa"/>
            <w:bottom w:w="0" w:type="dxa"/>
            <w:right w:w="108" w:type="dxa"/>
          </w:tblCellMar>
        </w:tblPrEx>
        <w:trPr>
          <w:trHeight w:val="919" w:hRule="atLeast"/>
        </w:trPr>
        <w:tc>
          <w:tcPr>
            <w:tcW w:w="633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09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093" w:type="dxa"/>
            <w:tcBorders>
              <w:top w:val="nil"/>
              <w:left w:val="nil"/>
              <w:bottom w:val="nil"/>
              <w:right w:val="nil"/>
            </w:tcBorders>
            <w:shd w:val="clear" w:color="auto" w:fill="auto"/>
            <w:noWrap/>
            <w:vAlign w:val="bottom"/>
          </w:tcPr>
          <w:p>
            <w:pPr>
              <w:jc w:val="right"/>
              <w:rPr>
                <w:rFonts w:hint="default" w:ascii="Arial" w:hAnsi="Arial" w:cs="Arial"/>
                <w:color w:val="000000"/>
                <w:sz w:val="20"/>
                <w:szCs w:val="20"/>
              </w:rPr>
            </w:pPr>
          </w:p>
        </w:tc>
        <w:tc>
          <w:tcPr>
            <w:tcW w:w="808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42" w:type="dxa"/>
            <w:tcBorders>
              <w:top w:val="nil"/>
              <w:left w:val="nil"/>
              <w:bottom w:val="nil"/>
              <w:right w:val="nil"/>
            </w:tcBorders>
            <w:shd w:val="clear" w:color="auto" w:fill="auto"/>
            <w:noWrap/>
            <w:vAlign w:val="bottom"/>
          </w:tcPr>
          <w:p>
            <w:pPr>
              <w:jc w:val="right"/>
              <w:rPr>
                <w:rFonts w:hint="default"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633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09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093" w:type="dxa"/>
            <w:tcBorders>
              <w:top w:val="nil"/>
              <w:left w:val="nil"/>
              <w:bottom w:val="nil"/>
              <w:right w:val="nil"/>
            </w:tcBorders>
            <w:shd w:val="clear" w:color="auto" w:fill="auto"/>
            <w:noWrap/>
            <w:vAlign w:val="bottom"/>
          </w:tcPr>
          <w:p>
            <w:pPr>
              <w:jc w:val="right"/>
              <w:rPr>
                <w:rFonts w:hint="default" w:ascii="Arial" w:hAnsi="Arial" w:cs="Arial"/>
                <w:color w:val="000000"/>
                <w:sz w:val="20"/>
                <w:szCs w:val="20"/>
              </w:rPr>
            </w:pPr>
          </w:p>
        </w:tc>
        <w:tc>
          <w:tcPr>
            <w:tcW w:w="8081" w:type="dxa"/>
            <w:tcBorders>
              <w:top w:val="nil"/>
              <w:left w:val="nil"/>
              <w:bottom w:val="nil"/>
              <w:right w:val="nil"/>
            </w:tcBorders>
            <w:shd w:val="clear" w:color="auto" w:fill="auto"/>
            <w:noWrap/>
            <w:vAlign w:val="bottom"/>
          </w:tcPr>
          <w:p>
            <w:pPr>
              <w:rPr>
                <w:rFonts w:hint="default" w:cs="宋体"/>
                <w:color w:val="000000"/>
                <w:sz w:val="20"/>
                <w:szCs w:val="20"/>
              </w:rPr>
            </w:pPr>
          </w:p>
        </w:tc>
        <w:tc>
          <w:tcPr>
            <w:tcW w:w="1942" w:type="dxa"/>
            <w:tcBorders>
              <w:top w:val="nil"/>
              <w:left w:val="nil"/>
              <w:bottom w:val="nil"/>
              <w:right w:val="nil"/>
            </w:tcBorders>
            <w:shd w:val="clear" w:color="auto" w:fill="auto"/>
            <w:noWrap/>
            <w:vAlign w:val="bottom"/>
          </w:tcPr>
          <w:p>
            <w:pPr>
              <w:jc w:val="right"/>
              <w:rPr>
                <w:rFonts w:hint="default" w:ascii="Arial" w:hAnsi="Arial" w:cs="Arial"/>
                <w:color w:val="000000"/>
                <w:sz w:val="20"/>
                <w:szCs w:val="20"/>
              </w:rPr>
            </w:pPr>
          </w:p>
        </w:tc>
      </w:tr>
    </w:tbl>
    <w:p>
      <w:pPr>
        <w:pStyle w:val="9"/>
        <w:autoSpaceDE w:val="0"/>
        <w:ind w:firstLine="0" w:firstLineChars="0"/>
        <w:rPr>
          <w:rFonts w:cs="宋体"/>
          <w:sz w:val="21"/>
          <w:szCs w:val="21"/>
        </w:rPr>
      </w:pPr>
    </w:p>
    <w:bookmarkEnd w:id="0"/>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w:pict>
        <v:shape id="_x0000_s1031" o:spid="_x0000_s103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- 6 -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40035"/>
    <w:rsid w:val="00046E0E"/>
    <w:rsid w:val="00052446"/>
    <w:rsid w:val="00053A65"/>
    <w:rsid w:val="00061185"/>
    <w:rsid w:val="000B137B"/>
    <w:rsid w:val="000D53A1"/>
    <w:rsid w:val="000D7BCC"/>
    <w:rsid w:val="000E658D"/>
    <w:rsid w:val="000F6F15"/>
    <w:rsid w:val="00100A8D"/>
    <w:rsid w:val="00103FCA"/>
    <w:rsid w:val="00111C9A"/>
    <w:rsid w:val="00114DA7"/>
    <w:rsid w:val="00141E92"/>
    <w:rsid w:val="001B67B8"/>
    <w:rsid w:val="001F2207"/>
    <w:rsid w:val="00217CDF"/>
    <w:rsid w:val="00220EDF"/>
    <w:rsid w:val="002C0A4D"/>
    <w:rsid w:val="0034728D"/>
    <w:rsid w:val="0035156C"/>
    <w:rsid w:val="003774D4"/>
    <w:rsid w:val="003B4CA6"/>
    <w:rsid w:val="003D077D"/>
    <w:rsid w:val="00465C9C"/>
    <w:rsid w:val="004B2402"/>
    <w:rsid w:val="005278D9"/>
    <w:rsid w:val="00550ABE"/>
    <w:rsid w:val="005561A2"/>
    <w:rsid w:val="0056064D"/>
    <w:rsid w:val="005805EC"/>
    <w:rsid w:val="00626627"/>
    <w:rsid w:val="00643133"/>
    <w:rsid w:val="006D388E"/>
    <w:rsid w:val="006D75EF"/>
    <w:rsid w:val="007059C5"/>
    <w:rsid w:val="0072309D"/>
    <w:rsid w:val="007779DE"/>
    <w:rsid w:val="00780A8A"/>
    <w:rsid w:val="00781C30"/>
    <w:rsid w:val="00790402"/>
    <w:rsid w:val="007B419D"/>
    <w:rsid w:val="007C4B1D"/>
    <w:rsid w:val="007E2DD4"/>
    <w:rsid w:val="00820D0E"/>
    <w:rsid w:val="0082780C"/>
    <w:rsid w:val="00863B15"/>
    <w:rsid w:val="00946E79"/>
    <w:rsid w:val="00994A7B"/>
    <w:rsid w:val="00996899"/>
    <w:rsid w:val="009A42C2"/>
    <w:rsid w:val="009B67B8"/>
    <w:rsid w:val="009D1CE5"/>
    <w:rsid w:val="009D330E"/>
    <w:rsid w:val="00A45D92"/>
    <w:rsid w:val="00A55EF6"/>
    <w:rsid w:val="00A65F0B"/>
    <w:rsid w:val="00A92D98"/>
    <w:rsid w:val="00AD131B"/>
    <w:rsid w:val="00AD3BCB"/>
    <w:rsid w:val="00AE53AA"/>
    <w:rsid w:val="00B03CCD"/>
    <w:rsid w:val="00B96B6A"/>
    <w:rsid w:val="00BB2191"/>
    <w:rsid w:val="00C50B08"/>
    <w:rsid w:val="00C918B6"/>
    <w:rsid w:val="00CD2738"/>
    <w:rsid w:val="00CF5EF5"/>
    <w:rsid w:val="00D03D74"/>
    <w:rsid w:val="00D7293A"/>
    <w:rsid w:val="00E60A40"/>
    <w:rsid w:val="00E82EBE"/>
    <w:rsid w:val="00EA3213"/>
    <w:rsid w:val="00EB1D4C"/>
    <w:rsid w:val="00EF0100"/>
    <w:rsid w:val="00FB1B04"/>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 w:val="EBBF01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1"/>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1987</Words>
  <Characters>11326</Characters>
  <Lines>94</Lines>
  <Paragraphs>26</Paragraphs>
  <TotalTime>200</TotalTime>
  <ScaleCrop>false</ScaleCrop>
  <LinksUpToDate>false</LinksUpToDate>
  <CharactersWithSpaces>13287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scj5</cp:lastModifiedBy>
  <dcterms:modified xsi:type="dcterms:W3CDTF">2025-09-16T10:51:53Z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BB46EABDBB2749749395447164B066B3_12</vt:lpwstr>
  </property>
</Properties>
</file>