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5073B">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征求</w:t>
      </w:r>
      <w:r>
        <w:rPr>
          <w:rFonts w:hint="eastAsia" w:ascii="Times New Roman" w:hAnsi="Times New Roman" w:eastAsia="方正小标宋_GBK"/>
          <w:sz w:val="44"/>
          <w:szCs w:val="44"/>
          <w:lang w:eastAsia="zh-CN"/>
        </w:rPr>
        <w:t>《</w:t>
      </w:r>
      <w:r>
        <w:rPr>
          <w:rFonts w:hint="eastAsia" w:ascii="方正小标宋_GBK" w:hAnsi="方正小标宋_GBK" w:eastAsia="方正小标宋_GBK" w:cs="方正小标宋_GBK"/>
          <w:color w:val="000000"/>
          <w:sz w:val="44"/>
          <w:szCs w:val="44"/>
        </w:rPr>
        <w:t>丰都县质量提升服务券实施办法（试行）</w:t>
      </w:r>
      <w:r>
        <w:rPr>
          <w:rFonts w:hint="eastAsia" w:ascii="Times New Roman" w:hAnsi="Times New Roman" w:eastAsia="方正小标宋_GBK"/>
          <w:sz w:val="44"/>
          <w:szCs w:val="44"/>
          <w:lang w:eastAsia="zh-CN"/>
        </w:rPr>
        <w:t>》</w:t>
      </w:r>
      <w:r>
        <w:rPr>
          <w:rFonts w:hint="eastAsia" w:ascii="Times New Roman" w:hAnsi="Times New Roman" w:eastAsia="方正小标宋_GBK" w:cs="Times New Roman"/>
          <w:sz w:val="44"/>
          <w:szCs w:val="44"/>
        </w:rPr>
        <w:t>意见</w:t>
      </w:r>
      <w:r>
        <w:rPr>
          <w:rFonts w:ascii="Times New Roman" w:hAnsi="Times New Roman" w:eastAsia="方正小标宋_GBK" w:cs="Times New Roman"/>
          <w:sz w:val="44"/>
          <w:szCs w:val="44"/>
        </w:rPr>
        <w:t>的通知</w:t>
      </w:r>
    </w:p>
    <w:p w14:paraId="5A5B200E">
      <w:pPr>
        <w:spacing w:line="570" w:lineRule="exact"/>
        <w:jc w:val="center"/>
        <w:rPr>
          <w:rFonts w:ascii="Times New Roman" w:hAnsi="Times New Roman" w:eastAsia="方正小标宋_GBK" w:cs="Times New Roman"/>
          <w:sz w:val="44"/>
          <w:szCs w:val="44"/>
        </w:rPr>
      </w:pPr>
    </w:p>
    <w:p w14:paraId="5AF9AF54">
      <w:pPr>
        <w:autoSpaceDE/>
        <w:autoSpaceDN/>
        <w:spacing w:line="570" w:lineRule="exact"/>
        <w:ind w:firstLine="640" w:firstLineChars="200"/>
        <w:jc w:val="both"/>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根据《中华人民共和国反垄断法》《公平竞争审查条例》及其实施办法等有关规定，现就《丰都县质量提升服务券实施办法（试行）》对市场竞争的影响面向社会公众征求意见及建议。</w:t>
      </w:r>
    </w:p>
    <w:p w14:paraId="3CFD504A">
      <w:pPr>
        <w:autoSpaceDE/>
        <w:autoSpaceDN/>
        <w:spacing w:line="570" w:lineRule="exact"/>
        <w:ind w:firstLine="640" w:firstLineChars="200"/>
        <w:jc w:val="both"/>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如认为本通知存在违反《中华人民共和国反垄断法》《公平竞争审查条例》及其实施办法等有关规定、含有通过行政权力对市场进行不当干预的内容，请于2025年10月13日—2025年10月17日向我局提出意见，将修改意见填入附件2，反馈至电子邮箱80469341@qq.com。公众意见时请留下真实姓名、身份证号及联系方式，并保持通讯畅通，以便必要时进一步联系。</w:t>
      </w:r>
    </w:p>
    <w:p w14:paraId="5E549434">
      <w:pPr>
        <w:autoSpaceDE/>
        <w:autoSpaceDN/>
        <w:spacing w:line="570" w:lineRule="exact"/>
        <w:ind w:firstLine="640" w:firstLineChars="200"/>
        <w:jc w:val="both"/>
        <w:rPr>
          <w:rFonts w:hint="eastAsia" w:ascii="Times New Roman" w:hAnsi="Times New Roman" w:eastAsia="方正仿宋_GBK" w:cs="Times New Roman"/>
          <w:kern w:val="2"/>
          <w:sz w:val="32"/>
          <w:szCs w:val="20"/>
          <w:lang w:val="en-US" w:eastAsia="zh-CN" w:bidi="ar-SA"/>
        </w:rPr>
      </w:pPr>
    </w:p>
    <w:p w14:paraId="4F5EA42C">
      <w:pPr>
        <w:autoSpaceDE/>
        <w:autoSpaceDN/>
        <w:spacing w:line="570" w:lineRule="exact"/>
        <w:ind w:firstLine="640" w:firstLineChars="200"/>
        <w:jc w:val="both"/>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附件</w:t>
      </w:r>
      <w:r>
        <w:rPr>
          <w:rFonts w:hint="default" w:ascii="Times New Roman" w:hAnsi="Times New Roman" w:eastAsia="方正仿宋_GBK" w:cs="Times New Roman"/>
          <w:kern w:val="2"/>
          <w:sz w:val="32"/>
          <w:szCs w:val="20"/>
          <w:lang w:val="en" w:eastAsia="zh-CN" w:bidi="ar-SA"/>
        </w:rPr>
        <w:t>:</w:t>
      </w:r>
      <w:r>
        <w:rPr>
          <w:rFonts w:hint="eastAsia" w:ascii="Times New Roman" w:hAnsi="Times New Roman" w:eastAsia="方正仿宋_GBK" w:cs="Times New Roman"/>
          <w:kern w:val="2"/>
          <w:sz w:val="32"/>
          <w:szCs w:val="20"/>
          <w:lang w:val="en-US" w:eastAsia="zh-CN" w:bidi="ar-SA"/>
        </w:rPr>
        <w:t>1.《丰都县质量提升服务券实施办法（试行）》</w:t>
      </w:r>
    </w:p>
    <w:p w14:paraId="3979C373">
      <w:pPr>
        <w:autoSpaceDE/>
        <w:autoSpaceDN/>
        <w:spacing w:line="570" w:lineRule="exact"/>
        <w:ind w:firstLine="1280" w:firstLineChars="400"/>
        <w:jc w:val="both"/>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2.修改意见反馈表</w:t>
      </w:r>
    </w:p>
    <w:p w14:paraId="1783B77F">
      <w:pPr>
        <w:autoSpaceDE/>
        <w:autoSpaceDN/>
        <w:spacing w:line="570" w:lineRule="exact"/>
        <w:ind w:firstLine="640" w:firstLineChars="200"/>
        <w:jc w:val="both"/>
        <w:rPr>
          <w:rFonts w:hint="eastAsia" w:ascii="Times New Roman" w:hAnsi="Times New Roman" w:eastAsia="方正仿宋_GBK" w:cs="Times New Roman"/>
          <w:kern w:val="2"/>
          <w:sz w:val="32"/>
          <w:szCs w:val="20"/>
          <w:lang w:val="en-US" w:eastAsia="zh-CN" w:bidi="ar-SA"/>
        </w:rPr>
      </w:pPr>
    </w:p>
    <w:p w14:paraId="3EBCC0FC">
      <w:pPr>
        <w:autoSpaceDE/>
        <w:autoSpaceDN/>
        <w:spacing w:line="570" w:lineRule="exact"/>
        <w:ind w:firstLine="640" w:firstLineChars="200"/>
        <w:jc w:val="right"/>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丰都县市场监督管理局</w:t>
      </w:r>
    </w:p>
    <w:p w14:paraId="0FCDB7D6">
      <w:pPr>
        <w:autoSpaceDE/>
        <w:autoSpaceDN/>
        <w:spacing w:line="570" w:lineRule="exact"/>
        <w:ind w:firstLine="640" w:firstLineChars="200"/>
        <w:jc w:val="right"/>
        <w:rPr>
          <w:rFonts w:hint="default" w:ascii="Times New Roman" w:hAnsi="Times New Roman" w:eastAsia="方正仿宋_GBK" w:cs="Times New Roman"/>
          <w:kern w:val="2"/>
          <w:szCs w:val="20"/>
          <w:lang w:val="en-US" w:eastAsia="zh-CN" w:bidi="ar-SA"/>
        </w:rPr>
      </w:pPr>
      <w:r>
        <w:rPr>
          <w:rFonts w:hint="eastAsia" w:ascii="Times New Roman" w:hAnsi="Times New Roman" w:eastAsia="方正仿宋_GBK" w:cs="Times New Roman"/>
          <w:kern w:val="2"/>
          <w:sz w:val="32"/>
          <w:szCs w:val="20"/>
          <w:lang w:val="en-US" w:eastAsia="zh-CN" w:bidi="ar-SA"/>
        </w:rPr>
        <w:t>2025年10月11日</w:t>
      </w:r>
    </w:p>
    <w:p w14:paraId="7D9DC436">
      <w:pPr>
        <w:pStyle w:val="4"/>
        <w:keepNext w:val="0"/>
        <w:keepLines w:val="0"/>
        <w:pageBreakBefore w:val="0"/>
        <w:widowControl w:val="0"/>
        <w:kinsoku/>
        <w:overflowPunct/>
        <w:topLinePunct w:val="0"/>
        <w:autoSpaceDE w:val="0"/>
        <w:autoSpaceDN w:val="0"/>
        <w:bidi w:val="0"/>
        <w:adjustRightInd/>
        <w:snapToGrid/>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（联系人：</w:t>
      </w:r>
      <w:r>
        <w:rPr>
          <w:rFonts w:hint="eastAsia" w:ascii="Times New Roman" w:hAnsi="Times New Roman" w:cs="Times New Roman"/>
          <w:lang w:eastAsia="zh-CN"/>
        </w:rPr>
        <w:t>周丽</w:t>
      </w:r>
      <w:r>
        <w:rPr>
          <w:rFonts w:hint="eastAsia" w:ascii="Times New Roman" w:hAnsi="Times New Roman" w:cs="Times New Roman"/>
        </w:rPr>
        <w:t>，联系电话：</w:t>
      </w:r>
      <w:r>
        <w:rPr>
          <w:rFonts w:hint="eastAsia" w:ascii="Times New Roman" w:hAnsi="Times New Roman" w:cs="Times New Roman"/>
          <w:lang w:val="en-US" w:eastAsia="zh-CN"/>
        </w:rPr>
        <w:t>15978964287</w:t>
      </w:r>
      <w:r>
        <w:rPr>
          <w:rFonts w:hint="eastAsia" w:ascii="Times New Roman" w:hAnsi="Times New Roman" w:cs="Times New Roman"/>
        </w:rPr>
        <w:t>）</w:t>
      </w:r>
    </w:p>
    <w:p w14:paraId="4E742AE7">
      <w:pPr>
        <w:sectPr>
          <w:footerReference r:id="rId3" w:type="default"/>
          <w:footerReference r:id="rId4" w:type="even"/>
          <w:pgSz w:w="11910" w:h="16840"/>
          <w:pgMar w:top="2098" w:right="1531" w:bottom="1984" w:left="1531" w:header="720" w:footer="1657" w:gutter="0"/>
          <w:pgNumType w:start="1"/>
          <w:cols w:space="720" w:num="1"/>
        </w:sectPr>
      </w:pPr>
    </w:p>
    <w:p w14:paraId="14A6CBB0">
      <w:pPr>
        <w:spacing w:line="574" w:lineRule="exact"/>
        <w:ind w:left="0" w:leftChars="0" w:firstLine="0" w:firstLineChars="0"/>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2246E51C">
      <w:pPr>
        <w:pStyle w:val="8"/>
        <w:spacing w:before="0" w:beforeAutospacing="0" w:after="0" w:afterAutospacing="0" w:line="560" w:lineRule="exact"/>
        <w:jc w:val="both"/>
        <w:rPr>
          <w:rFonts w:ascii="Times New Roman" w:hAnsi="Times New Roman" w:eastAsia="方正仿宋_GBK" w:cs="Times New Roman"/>
          <w:sz w:val="32"/>
          <w:szCs w:val="32"/>
        </w:rPr>
      </w:pPr>
    </w:p>
    <w:p w14:paraId="3238F76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sz w:val="44"/>
          <w:szCs w:val="52"/>
          <w:lang w:val="en-US" w:eastAsia="zh-CN"/>
        </w:rPr>
      </w:pPr>
    </w:p>
    <w:p w14:paraId="09AD0397">
      <w:pPr>
        <w:spacing w:line="570" w:lineRule="exact"/>
        <w:ind w:firstLine="880" w:firstLineChars="200"/>
        <w:jc w:val="center"/>
        <w:rPr>
          <w:rFonts w:hint="eastAsia" w:ascii="方正小标宋_GBK" w:hAnsi="方正小标宋_GBK" w:eastAsia="方正小标宋_GBK" w:cs="方正小标宋_GBK"/>
          <w:color w:val="000000"/>
          <w:sz w:val="44"/>
          <w:szCs w:val="44"/>
        </w:rPr>
      </w:pPr>
    </w:p>
    <w:p w14:paraId="0233B849">
      <w:pPr>
        <w:spacing w:line="57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丰都县质量提升服务券实施办法（试行）</w:t>
      </w:r>
    </w:p>
    <w:p w14:paraId="1FBFE3AD">
      <w:pPr>
        <w:spacing w:line="570" w:lineRule="exact"/>
        <w:ind w:firstLine="640" w:firstLineChars="200"/>
        <w:rPr>
          <w:rFonts w:ascii="方正仿宋_GBK" w:hAnsi="方正仿宋_GBK" w:eastAsia="方正仿宋_GBK" w:cs="方正仿宋_GBK"/>
          <w:color w:val="000000"/>
          <w:sz w:val="32"/>
          <w:szCs w:val="32"/>
        </w:rPr>
      </w:pPr>
    </w:p>
    <w:p w14:paraId="509E665E">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shd w:val="clear" w:color="auto" w:fill="auto"/>
        </w:rPr>
        <w:t xml:space="preserve">第一条  </w:t>
      </w:r>
      <w:r>
        <w:rPr>
          <w:rFonts w:hint="eastAsia" w:ascii="方正仿宋_GBK" w:hAnsi="方正仿宋_GBK" w:eastAsia="方正仿宋_GBK" w:cs="方正仿宋_GBK"/>
          <w:color w:val="000000"/>
          <w:sz w:val="32"/>
          <w:szCs w:val="32"/>
          <w:shd w:val="clear" w:color="auto" w:fill="auto"/>
        </w:rPr>
        <w:t>为深入实施质量强县战略，创新政府服务供给方式，降低企业质量提升成本，激发市场主体质量创新活力，提升县域整体质量水平和核心竞争力，根据《质量强国建设纲要》、重庆市委、市政府《质量强市建设实施方案》以及《丰都县推进质量强县建设实施方案》的部署要求，结合</w:t>
      </w:r>
      <w:r>
        <w:rPr>
          <w:rFonts w:hint="eastAsia" w:ascii="方正仿宋_GBK" w:hAnsi="方正仿宋_GBK" w:eastAsia="方正仿宋_GBK" w:cs="方正仿宋_GBK"/>
          <w:color w:val="000000"/>
          <w:sz w:val="32"/>
          <w:szCs w:val="32"/>
        </w:rPr>
        <w:t>本县实际，制定本办法。</w:t>
      </w:r>
    </w:p>
    <w:p w14:paraId="4825001C">
      <w:pPr>
        <w:spacing w:line="60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第二条</w:t>
      </w:r>
      <w:r>
        <w:rPr>
          <w:rFonts w:hint="eastAsia" w:ascii="Nimbus Roman No9 L" w:hAnsi="Nimbus Roman No9 L" w:eastAsia="方正黑体_GBK" w:cs="Nimbus Roman No9 L"/>
          <w:color w:val="000000"/>
          <w:kern w:val="0"/>
          <w:sz w:val="32"/>
          <w:szCs w:val="32"/>
          <w:lang w:val="en-US" w:eastAsia="zh-CN"/>
        </w:rPr>
        <w:t xml:space="preserve"> </w:t>
      </w:r>
      <w:r>
        <w:rPr>
          <w:rFonts w:hint="eastAsia" w:ascii="方正仿宋_GBK" w:hAnsi="方正仿宋_GBK" w:eastAsia="方正仿宋_GBK" w:cs="方正仿宋_GBK"/>
          <w:color w:val="000000"/>
          <w:sz w:val="32"/>
          <w:szCs w:val="32"/>
        </w:rPr>
        <w:t>本办法所称质量提升服务券（以下简称“服务券”），是指由县财政局设立专项资金，县市场监管局以纸质券形式发放，用于支持本县符合条件的市场主体向经备案的服务机构购买特定质量提升服务的财政补贴凭证。服务券</w:t>
      </w:r>
      <w:r>
        <w:rPr>
          <w:rFonts w:hint="eastAsia" w:ascii="Calibri" w:hAnsi="Calibri" w:eastAsia="方正仿宋_GBK" w:cs="Times New Roman"/>
          <w:color w:val="000000"/>
          <w:sz w:val="32"/>
          <w:szCs w:val="24"/>
        </w:rPr>
        <w:t>以奖励性后补助方式兑现。</w:t>
      </w:r>
    </w:p>
    <w:p w14:paraId="57DE6A81">
      <w:pPr>
        <w:spacing w:line="580" w:lineRule="exact"/>
        <w:ind w:firstLine="615"/>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第三条</w:t>
      </w:r>
      <w:r>
        <w:rPr>
          <w:rFonts w:hint="eastAsia" w:ascii="Nimbus Roman No9 L" w:hAnsi="Nimbus Roman No9 L" w:eastAsia="方正黑体_GBK" w:cs="Nimbus Roman No9 L"/>
          <w:color w:val="000000"/>
          <w:kern w:val="0"/>
          <w:sz w:val="32"/>
          <w:szCs w:val="32"/>
          <w:lang w:val="en-US" w:eastAsia="zh-CN"/>
        </w:rPr>
        <w:t xml:space="preserve"> </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由县市场监管局负责统筹管理，是</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组织实施部门，负责</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的政策制定、决策指导、年度预算的编制申报、监督审批、兑现拨付、绩效评价、研究确定</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实施过程中的有关重大事项。县财政局负责</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资金年度预算审核、下达、监督管理。</w:t>
      </w:r>
      <w:r>
        <w:rPr>
          <w:rFonts w:hint="eastAsia" w:ascii="方正仿宋_GBK" w:hAnsi="方正仿宋_GBK" w:eastAsia="方正仿宋_GBK" w:cs="方正仿宋_GBK"/>
          <w:color w:val="000000"/>
          <w:sz w:val="32"/>
          <w:szCs w:val="32"/>
        </w:rPr>
        <w:t>科技局、经信委、商务委、农业农村委等相关部门据职责分工，协助宣传推广、组织企业申报、提供行业指导、参与绩效评价等。</w:t>
      </w:r>
    </w:p>
    <w:p w14:paraId="4C0B69EF">
      <w:pPr>
        <w:spacing w:line="580" w:lineRule="exact"/>
        <w:ind w:firstLine="615"/>
        <w:rPr>
          <w:rFonts w:ascii="Calibri"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第四条  </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为纸质券，每张券编号唯一，实行自愿申领、自主使用、事后兑现。</w:t>
      </w:r>
    </w:p>
    <w:p w14:paraId="63342E6C">
      <w:pPr>
        <w:spacing w:line="580" w:lineRule="exact"/>
        <w:ind w:firstLine="615"/>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有效期一年，自申领之日起算。</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须在其有效期内使用，逾期自动作废。</w:t>
      </w:r>
    </w:p>
    <w:p w14:paraId="3DC7B81A">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第五条  </w:t>
      </w:r>
      <w:r>
        <w:rPr>
          <w:rFonts w:hint="eastAsia" w:ascii="方正仿宋_GBK" w:hAnsi="方正仿宋_GBK" w:eastAsia="方正仿宋_GBK" w:cs="方正仿宋_GBK"/>
          <w:color w:val="000000"/>
          <w:sz w:val="32"/>
          <w:szCs w:val="32"/>
        </w:rPr>
        <w:t>服务券的</w:t>
      </w:r>
      <w:r>
        <w:rPr>
          <w:rFonts w:hint="eastAsia" w:ascii="方正楷体_GBK" w:hAnsi="方正楷体_GBK" w:eastAsia="方正楷体_GBK" w:cs="方正楷体_GBK"/>
          <w:color w:val="000000"/>
          <w:sz w:val="32"/>
          <w:szCs w:val="32"/>
        </w:rPr>
        <w:t>申领主体为</w:t>
      </w:r>
      <w:r>
        <w:rPr>
          <w:rFonts w:hint="eastAsia" w:ascii="方正仿宋_GBK" w:hAnsi="方正仿宋_GBK" w:eastAsia="方正仿宋_GBK" w:cs="方正仿宋_GBK"/>
          <w:color w:val="000000"/>
          <w:sz w:val="32"/>
          <w:szCs w:val="32"/>
        </w:rPr>
        <w:t>在本县行政区域内从事生产经营活动、信用记录良好且符合下列条件之一的市场主体：</w:t>
      </w:r>
    </w:p>
    <w:p w14:paraId="4C6C6ADB">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制造业、服务业、建筑业、农业等领域的中小微企业。</w:t>
      </w:r>
    </w:p>
    <w:p w14:paraId="589C4808">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纳入本县重点培育的产业链、产业集群企业。</w:t>
      </w:r>
    </w:p>
    <w:p w14:paraId="5E0B1ACD">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拥有自主品牌或具有质量提升迫切需求的企业。</w:t>
      </w:r>
    </w:p>
    <w:p w14:paraId="134CBE89">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近三年内未发生重大质量、安全、环保等事故。</w:t>
      </w:r>
    </w:p>
    <w:p w14:paraId="19179B10">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县政府确定的其他需要支持的对象以及其他符合条件的经营者。</w:t>
      </w:r>
    </w:p>
    <w:p w14:paraId="3A92A544">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（具体认定标准由服务券管理办公室在年度申报通知中明确。）</w:t>
      </w:r>
    </w:p>
    <w:p w14:paraId="00F7B219">
      <w:pPr>
        <w:spacing w:line="60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第六条  </w:t>
      </w:r>
      <w:r>
        <w:rPr>
          <w:rFonts w:hint="eastAsia" w:ascii="方正仿宋_GBK" w:hAnsi="方正仿宋_GBK" w:eastAsia="方正仿宋_GBK" w:cs="方正仿宋_GBK"/>
          <w:color w:val="000000"/>
          <w:sz w:val="32"/>
          <w:szCs w:val="32"/>
        </w:rPr>
        <w:t>服务券可用于购买经备案的服务机构提供的以下质量提升服务（具体服务项目列入年度《质量提升服务券服务目录》）：</w:t>
      </w:r>
    </w:p>
    <w:p w14:paraId="1C402EAB">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质量基础服务：计量检定校准、标准制修订与应用、检验检测认证（含管理体系认证、产品认证、服务认证等）。</w:t>
      </w:r>
    </w:p>
    <w:p w14:paraId="6B581139">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质量管理提升：质量管理体系导入与升级、卓越绩效模式导入、质量诊断、质量攻关、质量工具应用培训（如六西格玛、精益生产等）。</w:t>
      </w:r>
    </w:p>
    <w:p w14:paraId="1D88E675">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品牌培育与提升：品牌战略规划、品牌价值评价、品牌宣传推广指导、区域品牌建设服务。</w:t>
      </w:r>
    </w:p>
    <w:p w14:paraId="3FB8EE69">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技术升级与创新：产品设计改进、工艺优化、技术改造咨询、知识产权运用与保护服务（与质量提升直接相关部分）。</w:t>
      </w:r>
    </w:p>
    <w:p w14:paraId="0CF365A6">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人员能力提升：首席质量官、质量经理、质量工程师、检验员等关键质量岗位人员的专业培训（需有明确的质量提升内容）。</w:t>
      </w:r>
    </w:p>
    <w:p w14:paraId="0867F14F">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 数字化转型服务：与质量管理、质量控制、质量追溯相关的数字化、智能化解决方案咨询与实施服务。</w:t>
      </w:r>
    </w:p>
    <w:p w14:paraId="75D500B3">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7.其他有助于提升企业核心竞争力和质量水平的服务。</w:t>
      </w:r>
    </w:p>
    <w:p w14:paraId="1F1ADCA8">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注：服务目录将根据政策导向、企业需求和服务供给情况每年动态调整并公布。</w:t>
      </w:r>
    </w:p>
    <w:p w14:paraId="15BD7F96">
      <w:pPr>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第六条  </w:t>
      </w:r>
      <w:r>
        <w:rPr>
          <w:rFonts w:hint="eastAsia" w:ascii="方正仿宋_GBK" w:hAnsi="方正仿宋_GBK" w:eastAsia="方正仿宋_GBK" w:cs="方正仿宋_GBK"/>
          <w:color w:val="000000"/>
          <w:sz w:val="32"/>
          <w:szCs w:val="32"/>
        </w:rPr>
        <w:t>为服务券提供服务支撑的机构（以下简称“</w:t>
      </w:r>
      <w:bookmarkStart w:id="0" w:name="OLE_LINK8"/>
      <w:bookmarkStart w:id="1" w:name="OLE_LINK7"/>
      <w:r>
        <w:rPr>
          <w:rFonts w:hint="eastAsia" w:ascii="方正仿宋_GBK" w:hAnsi="方正仿宋_GBK" w:eastAsia="方正仿宋_GBK" w:cs="方正仿宋_GBK"/>
          <w:color w:val="000000"/>
          <w:sz w:val="32"/>
          <w:szCs w:val="32"/>
        </w:rPr>
        <w:t>服务机构</w:t>
      </w:r>
      <w:bookmarkEnd w:id="0"/>
      <w:bookmarkEnd w:id="1"/>
      <w:r>
        <w:rPr>
          <w:rFonts w:hint="eastAsia" w:ascii="方正仿宋_GBK" w:hAnsi="方正仿宋_GBK" w:eastAsia="方正仿宋_GBK" w:cs="方正仿宋_GBK"/>
          <w:color w:val="000000"/>
          <w:sz w:val="32"/>
          <w:szCs w:val="32"/>
        </w:rPr>
        <w:t>”）需满足以下基本条件：</w:t>
      </w:r>
    </w:p>
    <w:p w14:paraId="0907015B">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依法登记设立，具有独立法人资格或合法经营资质；</w:t>
      </w:r>
    </w:p>
    <w:p w14:paraId="265F7FDD">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具备提供相关质量提升服务的专业能力、资质和稳定团队；</w:t>
      </w:r>
    </w:p>
    <w:p w14:paraId="770355F0">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有良好的商业信誉和健全的财务会计制度；</w:t>
      </w:r>
    </w:p>
    <w:p w14:paraId="03DBA593">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无严重违法失信记录；</w:t>
      </w:r>
    </w:p>
    <w:p w14:paraId="3B140DAA">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接受服务券管理办法及相关规定。</w:t>
      </w:r>
    </w:p>
    <w:p w14:paraId="6F78FE01">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第七条 </w:t>
      </w:r>
      <w:r>
        <w:rPr>
          <w:rFonts w:hint="eastAsia" w:ascii="方正仿宋_GBK" w:hAnsi="方正仿宋_GBK" w:eastAsia="方正仿宋_GBK" w:cs="方正仿宋_GBK"/>
          <w:color w:val="000000"/>
          <w:sz w:val="32"/>
          <w:szCs w:val="32"/>
        </w:rPr>
        <w:t>每年服务券发放总额度由县财政局会同县市场监督管理局根据年度预算和工作计划确定。</w:t>
      </w:r>
      <w:r>
        <w:rPr>
          <w:rFonts w:hint="eastAsia" w:ascii="Nimbus Roman No9 L" w:hAnsi="Nimbus Roman No9 L" w:eastAsia="方正仿宋_GBK" w:cs="Nimbus Roman No9 L"/>
          <w:color w:val="000000"/>
          <w:kern w:val="0"/>
          <w:sz w:val="32"/>
          <w:szCs w:val="32"/>
        </w:rPr>
        <w:t>服务券中每个服务项目可使用的补贴金额最高不超过</w:t>
      </w:r>
      <w:r>
        <w:rPr>
          <w:rFonts w:hint="eastAsia" w:ascii="方正仿宋_GBK" w:hAnsi="方正仿宋_GBK" w:eastAsia="方正仿宋_GBK" w:cs="方正仿宋_GBK"/>
          <w:color w:val="000000"/>
          <w:kern w:val="0"/>
          <w:sz w:val="32"/>
          <w:szCs w:val="32"/>
        </w:rPr>
        <w:t>1</w:t>
      </w:r>
      <w:r>
        <w:rPr>
          <w:rFonts w:hint="eastAsia" w:ascii="方正仿宋_GBK" w:hAnsi="方正仿宋_GBK" w:eastAsia="方正仿宋_GBK" w:cs="方正仿宋_GBK"/>
          <w:color w:val="000000"/>
          <w:kern w:val="0"/>
          <w:sz w:val="32"/>
          <w:szCs w:val="32"/>
          <w:lang w:val="en-US" w:eastAsia="zh-CN"/>
        </w:rPr>
        <w:t>.2</w:t>
      </w:r>
      <w:r>
        <w:rPr>
          <w:rFonts w:hint="eastAsia" w:ascii="Nimbus Roman No9 L" w:hAnsi="Nimbus Roman No9 L" w:eastAsia="方正仿宋_GBK" w:cs="Nimbus Roman No9 L"/>
          <w:color w:val="000000"/>
          <w:kern w:val="0"/>
          <w:sz w:val="32"/>
          <w:szCs w:val="32"/>
        </w:rPr>
        <w:t>万元。</w:t>
      </w:r>
      <w:r>
        <w:rPr>
          <w:rFonts w:hint="eastAsia" w:ascii="方正仿宋_GBK" w:hAnsi="方正仿宋_GBK" w:eastAsia="方正仿宋_GBK" w:cs="方正仿宋_GBK"/>
          <w:color w:val="000000"/>
          <w:sz w:val="32"/>
          <w:szCs w:val="32"/>
        </w:rPr>
        <w:t>对单个企业的年度补助总额设定上限不超过2万元。具体标准在年度申报通知中明确。</w:t>
      </w:r>
    </w:p>
    <w:p w14:paraId="4FD492B9">
      <w:pPr>
        <w:spacing w:line="580" w:lineRule="exact"/>
        <w:ind w:firstLine="631"/>
        <w:rPr>
          <w:rFonts w:ascii="方正仿宋_GBK"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第八条  </w:t>
      </w:r>
      <w:r>
        <w:rPr>
          <w:rFonts w:hint="eastAsia" w:ascii="方正仿宋_GBK" w:hAnsi="Calibri" w:eastAsia="方正仿宋_GBK" w:cs="Times New Roman"/>
          <w:color w:val="000000"/>
          <w:sz w:val="32"/>
          <w:szCs w:val="24"/>
        </w:rPr>
        <w:t>企业申领</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，按以下程序进行：</w:t>
      </w:r>
    </w:p>
    <w:p w14:paraId="52EA6797">
      <w:pPr>
        <w:spacing w:line="580" w:lineRule="exact"/>
        <w:ind w:firstLine="631"/>
        <w:rPr>
          <w:rFonts w:ascii="方正仿宋_GBK" w:hAnsi="Calibri" w:eastAsia="方正仿宋_GBK" w:cs="Times New Roman"/>
          <w:color w:val="000000"/>
          <w:sz w:val="32"/>
          <w:szCs w:val="24"/>
        </w:rPr>
      </w:pPr>
      <w:r>
        <w:rPr>
          <w:rFonts w:hint="eastAsia" w:ascii="方正仿宋_GBK" w:hAnsi="Calibri" w:eastAsia="方正仿宋_GBK" w:cs="Times New Roman"/>
          <w:color w:val="000000"/>
          <w:sz w:val="32"/>
          <w:szCs w:val="24"/>
        </w:rPr>
        <w:t>（一）发布通知。县市场监管局根据年度</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工作计划，适时发布申领通知。</w:t>
      </w:r>
    </w:p>
    <w:p w14:paraId="68F8E6A3">
      <w:pPr>
        <w:spacing w:line="580" w:lineRule="exact"/>
        <w:ind w:firstLine="631"/>
        <w:rPr>
          <w:rFonts w:ascii="方正仿宋_GBK" w:hAnsi="Calibri" w:eastAsia="方正仿宋_GBK" w:cs="Times New Roman"/>
          <w:color w:val="000000"/>
          <w:sz w:val="32"/>
          <w:szCs w:val="24"/>
        </w:rPr>
      </w:pPr>
      <w:r>
        <w:rPr>
          <w:rFonts w:hint="eastAsia" w:ascii="方正仿宋_GBK" w:hAnsi="Calibri" w:eastAsia="方正仿宋_GBK" w:cs="Times New Roman"/>
          <w:color w:val="000000"/>
          <w:sz w:val="32"/>
          <w:szCs w:val="24"/>
        </w:rPr>
        <w:t>（二）企业申领。符合条件的企业在规定时限内完成申领。</w:t>
      </w:r>
    </w:p>
    <w:p w14:paraId="235B379D">
      <w:pPr>
        <w:spacing w:line="580" w:lineRule="exact"/>
        <w:ind w:firstLine="640" w:firstLineChars="200"/>
        <w:rPr>
          <w:rFonts w:ascii="Calibri"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第九条 </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可以拆分使用，但不得买卖、转让、赠送等。</w:t>
      </w:r>
    </w:p>
    <w:p w14:paraId="03F04A3A">
      <w:pPr>
        <w:spacing w:line="580" w:lineRule="exact"/>
        <w:ind w:firstLine="630"/>
        <w:rPr>
          <w:rFonts w:ascii="Calibri" w:hAnsi="Calibri" w:eastAsia="方正仿宋_GBK" w:cs="Times New Roman"/>
          <w:color w:val="000000"/>
          <w:sz w:val="32"/>
          <w:szCs w:val="24"/>
        </w:rPr>
      </w:pPr>
      <w:r>
        <w:rPr>
          <w:rFonts w:hint="eastAsia" w:ascii="Nimbus Roman No9 L" w:hAnsi="Nimbus Roman No9 L" w:eastAsia="方正黑体_GBK" w:cs="Nimbus Roman No9 L"/>
          <w:color w:val="000000"/>
          <w:kern w:val="0"/>
          <w:sz w:val="32"/>
          <w:szCs w:val="32"/>
        </w:rPr>
        <w:t xml:space="preserve">第十条 </w:t>
      </w:r>
      <w:r>
        <w:rPr>
          <w:rFonts w:hint="eastAsia" w:ascii="Calibri" w:hAnsi="Calibri" w:eastAsia="方正仿宋_GBK" w:cs="Times New Roman"/>
          <w:color w:val="000000"/>
          <w:sz w:val="32"/>
          <w:szCs w:val="24"/>
        </w:rPr>
        <w:t>服务机构须向县市场监管局提交相关资质等证明材料，并按照内容清晰、价格合理的要求，公布质量提升服务产品信息。</w:t>
      </w:r>
    </w:p>
    <w:p w14:paraId="681624BE">
      <w:pPr>
        <w:spacing w:line="580" w:lineRule="exact"/>
        <w:ind w:firstLine="630"/>
        <w:rPr>
          <w:rFonts w:ascii="Calibri" w:hAnsi="Calibri" w:eastAsia="方正仿宋_GBK" w:cs="Times New Roman"/>
          <w:color w:val="000000"/>
          <w:sz w:val="32"/>
          <w:szCs w:val="24"/>
        </w:rPr>
      </w:pPr>
      <w:r>
        <w:rPr>
          <w:rFonts w:hint="eastAsia" w:ascii="Calibri" w:hAnsi="Calibri" w:eastAsia="方正仿宋_GBK" w:cs="Times New Roman"/>
          <w:color w:val="000000"/>
          <w:sz w:val="32"/>
          <w:szCs w:val="24"/>
        </w:rPr>
        <w:t>服务机构保证服务的真实性、规范性、合理性；应当在服务结束后提交服务合同及检验检测认证报告、质量提升报告等服务结果佐证材料；应当保留原始服务合同、服务过程记录和服务结果等相关证明材料备查。</w:t>
      </w:r>
    </w:p>
    <w:p w14:paraId="034DFACF">
      <w:pPr>
        <w:spacing w:line="580" w:lineRule="exact"/>
        <w:ind w:firstLine="640" w:firstLineChars="200"/>
        <w:rPr>
          <w:rFonts w:ascii="方正仿宋_GBK"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第十一条  </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由企业申请兑现，每年兑现一次。县市场监管局于每</w:t>
      </w:r>
      <w:r>
        <w:rPr>
          <w:rFonts w:hint="eastAsia" w:ascii="Calibri" w:hAnsi="Calibri" w:eastAsia="方正仿宋_GBK" w:cs="Times New Roman"/>
          <w:color w:val="000000"/>
          <w:sz w:val="32"/>
          <w:szCs w:val="24"/>
        </w:rPr>
        <w:t>年10月</w:t>
      </w:r>
      <w:r>
        <w:rPr>
          <w:rFonts w:ascii="Calibri" w:hAnsi="Calibri" w:eastAsia="方正仿宋_GBK" w:cs="Times New Roman"/>
          <w:color w:val="000000"/>
          <w:sz w:val="32"/>
          <w:szCs w:val="24"/>
        </w:rPr>
        <w:t>1</w:t>
      </w:r>
      <w:r>
        <w:rPr>
          <w:rFonts w:hint="eastAsia" w:ascii="Calibri" w:hAnsi="Calibri" w:eastAsia="方正仿宋_GBK" w:cs="Times New Roman"/>
          <w:color w:val="000000"/>
          <w:sz w:val="32"/>
          <w:szCs w:val="24"/>
        </w:rPr>
        <w:t>日至11月</w:t>
      </w:r>
      <w:r>
        <w:rPr>
          <w:rFonts w:ascii="Calibri" w:hAnsi="Calibri" w:eastAsia="方正仿宋_GBK" w:cs="Times New Roman"/>
          <w:color w:val="000000"/>
          <w:sz w:val="32"/>
          <w:szCs w:val="24"/>
        </w:rPr>
        <w:t>3</w:t>
      </w:r>
      <w:r>
        <w:rPr>
          <w:rFonts w:hint="eastAsia" w:ascii="Calibri" w:hAnsi="Calibri" w:eastAsia="方正仿宋_GBK" w:cs="Times New Roman"/>
          <w:color w:val="000000"/>
          <w:sz w:val="32"/>
          <w:szCs w:val="24"/>
          <w:lang w:val="en-US" w:eastAsia="zh-CN"/>
        </w:rPr>
        <w:t>0</w:t>
      </w:r>
      <w:r>
        <w:rPr>
          <w:rFonts w:hint="eastAsia" w:ascii="Calibri" w:hAnsi="Calibri" w:eastAsia="方正仿宋_GBK" w:cs="Times New Roman"/>
          <w:color w:val="000000"/>
          <w:sz w:val="32"/>
          <w:szCs w:val="24"/>
        </w:rPr>
        <w:t>日期间</w:t>
      </w:r>
      <w:r>
        <w:rPr>
          <w:rFonts w:hint="eastAsia" w:ascii="方正仿宋_GBK" w:hAnsi="Calibri" w:eastAsia="方正仿宋_GBK" w:cs="Times New Roman"/>
          <w:color w:val="000000"/>
          <w:sz w:val="32"/>
          <w:szCs w:val="24"/>
        </w:rPr>
        <w:t>受理兑现申请。申领企业使用并符合兑现条件的</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，应当最迟在次年申请兑现。</w:t>
      </w:r>
    </w:p>
    <w:p w14:paraId="41CA0D7A">
      <w:pPr>
        <w:spacing w:line="580" w:lineRule="exact"/>
        <w:ind w:firstLine="640" w:firstLineChars="200"/>
        <w:rPr>
          <w:rFonts w:ascii="Calibri"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第十二条  </w:t>
      </w:r>
      <w:r>
        <w:rPr>
          <w:rFonts w:hint="eastAsia" w:ascii="Calibri" w:hAnsi="Calibri" w:eastAsia="方正仿宋_GBK" w:cs="Times New Roman"/>
          <w:color w:val="000000"/>
          <w:sz w:val="32"/>
          <w:szCs w:val="24"/>
        </w:rPr>
        <w:t>企业兑现</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，按以下程序进行：</w:t>
      </w:r>
    </w:p>
    <w:p w14:paraId="10715E77">
      <w:pPr>
        <w:spacing w:line="580" w:lineRule="exact"/>
        <w:ind w:firstLine="640" w:firstLineChars="200"/>
        <w:rPr>
          <w:rFonts w:ascii="Calibri" w:hAnsi="Calibri" w:eastAsia="方正仿宋_GBK" w:cs="Times New Roman"/>
          <w:color w:val="000000"/>
          <w:sz w:val="32"/>
          <w:szCs w:val="24"/>
        </w:rPr>
      </w:pPr>
      <w:r>
        <w:rPr>
          <w:rFonts w:hint="eastAsia" w:ascii="Calibri" w:hAnsi="Calibri" w:eastAsia="方正仿宋_GBK" w:cs="Times New Roman"/>
          <w:color w:val="000000"/>
          <w:sz w:val="32"/>
          <w:szCs w:val="24"/>
        </w:rPr>
        <w:t>（一）兑现申请。提交拟兑现的服务订单、《质量提升服务券</w:t>
      </w:r>
      <w:bookmarkStart w:id="2" w:name="_GoBack"/>
      <w:bookmarkEnd w:id="2"/>
      <w:r>
        <w:rPr>
          <w:rFonts w:hint="eastAsia" w:ascii="Calibri" w:hAnsi="Calibri" w:eastAsia="方正仿宋_GBK" w:cs="Times New Roman"/>
          <w:color w:val="000000"/>
          <w:sz w:val="32"/>
          <w:szCs w:val="24"/>
        </w:rPr>
        <w:t>兑现申请表》，并加盖企业单位印章送达县市场监管局。</w:t>
      </w:r>
    </w:p>
    <w:p w14:paraId="2ABF12CF">
      <w:pPr>
        <w:spacing w:line="580" w:lineRule="exact"/>
        <w:ind w:firstLine="640" w:firstLineChars="200"/>
        <w:rPr>
          <w:rFonts w:hint="eastAsia" w:ascii="Calibri" w:hAnsi="Calibri" w:eastAsia="方正仿宋_GBK" w:cs="Times New Roman"/>
          <w:color w:val="000000"/>
          <w:sz w:val="32"/>
          <w:szCs w:val="24"/>
        </w:rPr>
      </w:pPr>
      <w:r>
        <w:rPr>
          <w:rFonts w:hint="eastAsia" w:ascii="Calibri" w:hAnsi="Calibri" w:eastAsia="方正仿宋_GBK" w:cs="Times New Roman"/>
          <w:color w:val="000000"/>
          <w:sz w:val="32"/>
          <w:szCs w:val="24"/>
        </w:rPr>
        <w:t>企业完成了质量提升服务</w:t>
      </w:r>
      <w:r>
        <w:rPr>
          <w:rFonts w:hint="eastAsia" w:ascii="Calibri" w:hAnsi="Calibri" w:eastAsia="方正仿宋_GBK" w:cs="Times New Roman"/>
          <w:color w:val="000000"/>
          <w:sz w:val="32"/>
          <w:szCs w:val="24"/>
          <w:lang w:eastAsia="zh-CN"/>
        </w:rPr>
        <w:t>项目</w:t>
      </w:r>
      <w:r>
        <w:rPr>
          <w:rFonts w:hint="eastAsia" w:ascii="Calibri" w:hAnsi="Calibri" w:eastAsia="方正仿宋_GBK" w:cs="Times New Roman"/>
          <w:color w:val="000000"/>
          <w:sz w:val="32"/>
          <w:szCs w:val="24"/>
        </w:rPr>
        <w:t>并提供相关原始材料（备查）和复印材料（加盖</w:t>
      </w:r>
      <w:r>
        <w:rPr>
          <w:rFonts w:hint="eastAsia" w:ascii="方正仿宋_GBK" w:hAnsi="方正仿宋_GBK" w:eastAsia="方正仿宋_GBK" w:cs="方正仿宋_GBK"/>
          <w:color w:val="000000"/>
          <w:sz w:val="32"/>
          <w:szCs w:val="32"/>
        </w:rPr>
        <w:t>服务机构</w:t>
      </w:r>
      <w:r>
        <w:rPr>
          <w:rFonts w:hint="eastAsia" w:ascii="Calibri" w:hAnsi="Calibri" w:eastAsia="方正仿宋_GBK" w:cs="Times New Roman"/>
          <w:color w:val="000000"/>
          <w:sz w:val="32"/>
          <w:szCs w:val="24"/>
        </w:rPr>
        <w:t>单位印章）后，可申请兑现服务券。</w:t>
      </w:r>
    </w:p>
    <w:p w14:paraId="0CD26B51">
      <w:pPr>
        <w:spacing w:line="580" w:lineRule="exact"/>
        <w:ind w:firstLine="640" w:firstLineChars="200"/>
        <w:rPr>
          <w:rFonts w:ascii="Calibri" w:hAnsi="Calibri" w:eastAsia="方正仿宋_GBK" w:cs="Times New Roman"/>
          <w:color w:val="000000"/>
          <w:sz w:val="32"/>
          <w:szCs w:val="24"/>
        </w:rPr>
      </w:pPr>
      <w:r>
        <w:rPr>
          <w:rFonts w:hint="eastAsia" w:ascii="Calibri" w:hAnsi="Calibri" w:eastAsia="方正仿宋_GBK" w:cs="Times New Roman"/>
          <w:color w:val="000000"/>
          <w:sz w:val="32"/>
          <w:szCs w:val="24"/>
        </w:rPr>
        <w:t>（二）兑现确认。县市场监管局会同县财政局按规定确定拟兑现</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的单位名单和金额，并在县市场监管局门户网站公示，公示期不少于</w:t>
      </w:r>
      <w:r>
        <w:rPr>
          <w:rFonts w:ascii="Calibri" w:hAnsi="Calibri" w:eastAsia="方正仿宋_GBK" w:cs="Times New Roman"/>
          <w:color w:val="000000"/>
          <w:sz w:val="32"/>
          <w:szCs w:val="24"/>
        </w:rPr>
        <w:t>5</w:t>
      </w:r>
      <w:r>
        <w:rPr>
          <w:rFonts w:hint="eastAsia" w:ascii="Calibri" w:hAnsi="Calibri" w:eastAsia="方正仿宋_GBK" w:cs="Times New Roman"/>
          <w:color w:val="000000"/>
          <w:sz w:val="32"/>
          <w:szCs w:val="24"/>
        </w:rPr>
        <w:t>个工作日。</w:t>
      </w:r>
    </w:p>
    <w:p w14:paraId="694AA01F">
      <w:pPr>
        <w:spacing w:line="580" w:lineRule="exact"/>
        <w:ind w:firstLine="640" w:firstLineChars="200"/>
        <w:rPr>
          <w:rFonts w:hint="eastAsia" w:ascii="Nimbus Roman No9 L" w:hAnsi="Nimbus Roman No9 L" w:eastAsia="方正黑体_GBK" w:cs="Nimbus Roman No9 L"/>
          <w:color w:val="000000"/>
          <w:kern w:val="0"/>
          <w:sz w:val="32"/>
          <w:szCs w:val="32"/>
        </w:rPr>
      </w:pPr>
      <w:r>
        <w:rPr>
          <w:rFonts w:hint="eastAsia" w:ascii="Calibri" w:hAnsi="Calibri" w:eastAsia="方正仿宋_GBK" w:cs="Times New Roman"/>
          <w:color w:val="000000"/>
          <w:sz w:val="32"/>
          <w:szCs w:val="24"/>
        </w:rPr>
        <w:t>（三）集中支付。经公示无异议的，由县市场监管局根据财政下达质量提升专项资金时间，于当年12月前一次性集中拨付资金。</w:t>
      </w:r>
    </w:p>
    <w:p w14:paraId="3E59CAAD">
      <w:pPr>
        <w:spacing w:line="60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第十三条  </w:t>
      </w:r>
      <w:r>
        <w:rPr>
          <w:rFonts w:hint="eastAsia" w:ascii="Calibri" w:hAnsi="Calibri" w:eastAsia="方正仿宋_GBK" w:cs="Times New Roman"/>
          <w:color w:val="000000"/>
          <w:sz w:val="32"/>
          <w:szCs w:val="24"/>
        </w:rPr>
        <w:t>县市场监管局</w:t>
      </w:r>
      <w:r>
        <w:rPr>
          <w:rFonts w:hint="eastAsia" w:ascii="方正仿宋_GBK" w:hAnsi="方正仿宋_GBK" w:eastAsia="方正仿宋_GBK" w:cs="方正仿宋_GBK"/>
          <w:color w:val="000000"/>
          <w:sz w:val="32"/>
          <w:szCs w:val="32"/>
        </w:rPr>
        <w:t>对服务机构实行动态管理和考核评价，建立退出机制。对提供虚假服务、串通套取资金、服务质量低劣等行为，一经查实，取消备案资格，追回财政资金，列入失信名单，并依法追究责任。对申领企业弄虚作假、骗取服务券资金的，取消其申领资格，追回财政资金，列入失信名单，并在一定期限内不得申报政府各类补助资金。设立投诉举报渠道，接受社会监督。</w:t>
      </w:r>
    </w:p>
    <w:p w14:paraId="67A49DDD">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第十四条  </w:t>
      </w:r>
      <w:r>
        <w:rPr>
          <w:rFonts w:hint="eastAsia" w:ascii="方正仿宋_GBK" w:hAnsi="方正仿宋_GBK" w:eastAsia="方正仿宋_GBK" w:cs="方正仿宋_GBK"/>
          <w:color w:val="000000"/>
          <w:sz w:val="32"/>
          <w:szCs w:val="32"/>
        </w:rPr>
        <w:t>本办法由县市场监督管理局会同县财政局负责解释。</w:t>
      </w:r>
    </w:p>
    <w:p w14:paraId="59750796">
      <w:pPr>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第十五条  </w:t>
      </w:r>
      <w:r>
        <w:rPr>
          <w:rFonts w:hint="eastAsia" w:ascii="方正仿宋_GBK" w:hAnsi="方正仿宋_GBK" w:eastAsia="方正仿宋_GBK" w:cs="方正仿宋_GBK"/>
          <w:color w:val="000000"/>
          <w:sz w:val="32"/>
          <w:szCs w:val="32"/>
        </w:rPr>
        <w:t>本办法自发布之日起施行，试行期2年。试行期内根据实际情况适时评估修订。</w:t>
      </w:r>
    </w:p>
    <w:p w14:paraId="4B241843"/>
    <w:p w14:paraId="28A41668">
      <w:pPr>
        <w:spacing w:line="574" w:lineRule="exact"/>
        <w:rPr>
          <w:rFonts w:hint="eastAsia" w:ascii="方正黑体_GBK" w:hAnsi="方正黑体_GBK" w:eastAsia="方正黑体_GBK" w:cs="方正黑体_GBK"/>
          <w:sz w:val="32"/>
          <w:szCs w:val="32"/>
        </w:rPr>
      </w:pPr>
    </w:p>
    <w:p w14:paraId="3B3043D2">
      <w:pPr>
        <w:pStyle w:val="2"/>
        <w:numPr>
          <w:ilvl w:val="1"/>
          <w:numId w:val="0"/>
        </w:numPr>
        <w:ind w:leftChars="0"/>
        <w:rPr>
          <w:rFonts w:hint="eastAsia"/>
        </w:rPr>
      </w:pPr>
    </w:p>
    <w:p w14:paraId="54AB3E2B">
      <w:pPr>
        <w:rPr>
          <w:rFonts w:hint="eastAsia"/>
        </w:rPr>
      </w:pPr>
    </w:p>
    <w:p w14:paraId="3F1D55B3">
      <w:pPr>
        <w:pStyle w:val="2"/>
        <w:numPr>
          <w:ilvl w:val="1"/>
          <w:numId w:val="0"/>
        </w:numPr>
        <w:ind w:leftChars="0"/>
        <w:rPr>
          <w:rFonts w:hint="eastAsia"/>
        </w:rPr>
      </w:pPr>
    </w:p>
    <w:p w14:paraId="56DC6546">
      <w:pPr>
        <w:rPr>
          <w:rFonts w:hint="eastAsia"/>
        </w:rPr>
      </w:pPr>
    </w:p>
    <w:p w14:paraId="27068DF3">
      <w:pPr>
        <w:pStyle w:val="2"/>
        <w:numPr>
          <w:ilvl w:val="1"/>
          <w:numId w:val="0"/>
        </w:numPr>
        <w:ind w:leftChars="0"/>
        <w:rPr>
          <w:rFonts w:hint="eastAsia"/>
        </w:rPr>
      </w:pPr>
    </w:p>
    <w:p w14:paraId="5376EC29">
      <w:pPr>
        <w:rPr>
          <w:rFonts w:hint="eastAsia"/>
        </w:rPr>
      </w:pPr>
    </w:p>
    <w:p w14:paraId="0E404A27">
      <w:pPr>
        <w:pStyle w:val="2"/>
        <w:numPr>
          <w:ilvl w:val="1"/>
          <w:numId w:val="0"/>
        </w:numPr>
        <w:ind w:leftChars="0"/>
        <w:rPr>
          <w:rFonts w:hint="eastAsia"/>
        </w:rPr>
      </w:pPr>
    </w:p>
    <w:p w14:paraId="0DEED443">
      <w:pPr>
        <w:rPr>
          <w:rFonts w:hint="eastAsia"/>
        </w:rPr>
      </w:pPr>
    </w:p>
    <w:p w14:paraId="5EE71F76">
      <w:pPr>
        <w:pStyle w:val="2"/>
        <w:numPr>
          <w:ilvl w:val="1"/>
          <w:numId w:val="0"/>
        </w:numPr>
        <w:ind w:leftChars="0"/>
        <w:rPr>
          <w:rFonts w:hint="eastAsia"/>
        </w:rPr>
      </w:pPr>
    </w:p>
    <w:p w14:paraId="018CE02B">
      <w:pPr>
        <w:rPr>
          <w:rFonts w:hint="eastAsia"/>
        </w:rPr>
      </w:pPr>
    </w:p>
    <w:p w14:paraId="1F19274D">
      <w:pPr>
        <w:pStyle w:val="2"/>
        <w:numPr>
          <w:ilvl w:val="1"/>
          <w:numId w:val="0"/>
        </w:numPr>
        <w:ind w:leftChars="0"/>
        <w:rPr>
          <w:rFonts w:hint="eastAsia"/>
        </w:rPr>
      </w:pPr>
    </w:p>
    <w:p w14:paraId="5BCE98B1">
      <w:pPr>
        <w:rPr>
          <w:rFonts w:hint="eastAsia"/>
        </w:rPr>
      </w:pPr>
    </w:p>
    <w:p w14:paraId="75AB4860">
      <w:pPr>
        <w:pStyle w:val="2"/>
        <w:numPr>
          <w:ilvl w:val="1"/>
          <w:numId w:val="0"/>
        </w:numPr>
        <w:ind w:leftChars="0"/>
        <w:rPr>
          <w:rFonts w:hint="eastAsia"/>
        </w:rPr>
      </w:pPr>
    </w:p>
    <w:p w14:paraId="742282EB">
      <w:pPr>
        <w:rPr>
          <w:rFonts w:hint="eastAsia"/>
        </w:rPr>
      </w:pPr>
    </w:p>
    <w:p w14:paraId="185EA98E">
      <w:pPr>
        <w:pStyle w:val="2"/>
        <w:numPr>
          <w:ilvl w:val="1"/>
          <w:numId w:val="0"/>
        </w:numPr>
        <w:ind w:leftChars="0"/>
        <w:rPr>
          <w:rFonts w:hint="eastAsia"/>
        </w:rPr>
      </w:pPr>
    </w:p>
    <w:p w14:paraId="537D9490">
      <w:pPr>
        <w:pStyle w:val="2"/>
        <w:numPr>
          <w:ilvl w:val="1"/>
          <w:numId w:val="0"/>
        </w:numPr>
        <w:ind w:leftChars="0"/>
        <w:rPr>
          <w:rFonts w:hint="eastAsia"/>
        </w:rPr>
      </w:pPr>
    </w:p>
    <w:p w14:paraId="11938CF0">
      <w:pPr>
        <w:rPr>
          <w:rFonts w:hint="eastAsia"/>
        </w:rPr>
      </w:pPr>
    </w:p>
    <w:p w14:paraId="508320D5">
      <w:pPr>
        <w:spacing w:line="574" w:lineRule="exact"/>
        <w:rPr>
          <w:rFonts w:hint="eastAsia" w:ascii="方正黑体_GBK" w:hAnsi="方正黑体_GBK" w:eastAsia="方正黑体_GBK" w:cs="方正黑体_GBK"/>
          <w:sz w:val="32"/>
          <w:szCs w:val="32"/>
        </w:rPr>
      </w:pPr>
    </w:p>
    <w:p w14:paraId="73E2E9ED">
      <w:pPr>
        <w:spacing w:line="574" w:lineRule="exact"/>
        <w:rPr>
          <w:rFonts w:hint="eastAsia" w:ascii="方正黑体_GBK" w:hAnsi="方正黑体_GBK" w:eastAsia="方正黑体_GBK" w:cs="方正黑体_GBK"/>
          <w:sz w:val="32"/>
          <w:szCs w:val="32"/>
        </w:rPr>
      </w:pPr>
    </w:p>
    <w:p w14:paraId="17B367D4">
      <w:pPr>
        <w:spacing w:line="574" w:lineRule="exact"/>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14:paraId="1B334D98">
      <w:pPr>
        <w:pStyle w:val="13"/>
        <w:jc w:val="center"/>
        <w:rPr>
          <w:rFonts w:hint="eastAsia" w:ascii="方正小标宋_GBK" w:hAnsi="方正小标宋_GBK" w:eastAsia="方正小标宋_GBK" w:cs="方正小标宋_GBK"/>
          <w:color w:val="auto"/>
          <w:spacing w:val="-3"/>
          <w:sz w:val="44"/>
          <w:szCs w:val="44"/>
        </w:rPr>
      </w:pPr>
    </w:p>
    <w:p w14:paraId="0EBCBF16">
      <w:pPr>
        <w:pStyle w:val="13"/>
        <w:jc w:val="center"/>
        <w:rPr>
          <w:rFonts w:ascii="方正小标宋_GBK" w:hAnsi="方正小标宋_GBK" w:eastAsia="方正小标宋_GBK" w:cs="方正小标宋_GBK"/>
          <w:color w:val="auto"/>
          <w:spacing w:val="-3"/>
          <w:sz w:val="44"/>
          <w:szCs w:val="44"/>
        </w:rPr>
      </w:pPr>
      <w:r>
        <w:rPr>
          <w:rFonts w:hint="eastAsia" w:ascii="方正小标宋_GBK" w:hAnsi="方正小标宋_GBK" w:eastAsia="方正小标宋_GBK" w:cs="方正小标宋_GBK"/>
          <w:color w:val="auto"/>
          <w:spacing w:val="-3"/>
          <w:sz w:val="44"/>
          <w:szCs w:val="44"/>
        </w:rPr>
        <w:t>意见建议反馈表</w:t>
      </w:r>
    </w:p>
    <w:p w14:paraId="1564B3FD">
      <w:pPr>
        <w:pStyle w:val="13"/>
        <w:jc w:val="center"/>
        <w:rPr>
          <w:rFonts w:ascii="方正仿宋_GBK" w:hAnsi="方正仿宋_GBK" w:eastAsia="方正仿宋_GBK" w:cs="方正仿宋_GBK"/>
          <w:color w:val="auto"/>
          <w:spacing w:val="-3"/>
          <w:sz w:val="24"/>
          <w:szCs w:val="24"/>
        </w:rPr>
      </w:pPr>
    </w:p>
    <w:p w14:paraId="4E7021C9">
      <w:pPr>
        <w:pStyle w:val="13"/>
        <w:jc w:val="center"/>
        <w:rPr>
          <w:rFonts w:ascii="方正仿宋_GBK" w:hAnsi="方正仿宋_GBK" w:eastAsia="方正仿宋_GBK" w:cs="方正仿宋_GBK"/>
          <w:color w:val="auto"/>
          <w:spacing w:val="-3"/>
          <w:sz w:val="24"/>
          <w:szCs w:val="24"/>
        </w:rPr>
      </w:pPr>
      <w:r>
        <w:rPr>
          <w:rFonts w:hint="eastAsia" w:ascii="方正仿宋_GBK" w:hAnsi="方正仿宋_GBK" w:eastAsia="方正仿宋_GBK" w:cs="方正仿宋_GBK"/>
          <w:color w:val="auto"/>
          <w:spacing w:val="-3"/>
          <w:sz w:val="24"/>
          <w:szCs w:val="24"/>
        </w:rPr>
        <w:t>填报单位：                        填报人：              联系电话：</w:t>
      </w:r>
    </w:p>
    <w:tbl>
      <w:tblPr>
        <w:tblStyle w:val="11"/>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259"/>
        <w:gridCol w:w="2363"/>
        <w:gridCol w:w="1850"/>
      </w:tblGrid>
      <w:tr w14:paraId="56C6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tcPr>
          <w:p w14:paraId="3C4945CC">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内容序号</w:t>
            </w:r>
          </w:p>
        </w:tc>
        <w:tc>
          <w:tcPr>
            <w:tcW w:w="3259" w:type="dxa"/>
          </w:tcPr>
          <w:p w14:paraId="7D70EAC4">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修改建议</w:t>
            </w:r>
          </w:p>
        </w:tc>
        <w:tc>
          <w:tcPr>
            <w:tcW w:w="2363" w:type="dxa"/>
          </w:tcPr>
          <w:p w14:paraId="51B2BA24">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修改依据</w:t>
            </w:r>
          </w:p>
        </w:tc>
        <w:tc>
          <w:tcPr>
            <w:tcW w:w="1850" w:type="dxa"/>
          </w:tcPr>
          <w:p w14:paraId="3103ADFD">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备注</w:t>
            </w:r>
          </w:p>
        </w:tc>
      </w:tr>
      <w:tr w14:paraId="275A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05" w:type="dxa"/>
          </w:tcPr>
          <w:p w14:paraId="16B97795">
            <w:pPr>
              <w:pStyle w:val="13"/>
              <w:widowControl w:val="0"/>
              <w:jc w:val="center"/>
              <w:rPr>
                <w:rFonts w:ascii="方正仿宋_GBK" w:hAnsi="方正仿宋_GBK" w:eastAsia="方正仿宋_GBK" w:cs="方正仿宋_GBK"/>
                <w:color w:val="auto"/>
                <w:spacing w:val="-3"/>
                <w:sz w:val="24"/>
                <w:szCs w:val="24"/>
              </w:rPr>
            </w:pPr>
          </w:p>
        </w:tc>
        <w:tc>
          <w:tcPr>
            <w:tcW w:w="3259" w:type="dxa"/>
          </w:tcPr>
          <w:p w14:paraId="2076F301">
            <w:pPr>
              <w:pStyle w:val="13"/>
              <w:widowControl w:val="0"/>
              <w:jc w:val="center"/>
              <w:rPr>
                <w:rFonts w:ascii="方正仿宋_GBK" w:hAnsi="方正仿宋_GBK" w:eastAsia="方正仿宋_GBK" w:cs="方正仿宋_GBK"/>
                <w:color w:val="auto"/>
                <w:spacing w:val="-3"/>
                <w:sz w:val="24"/>
                <w:szCs w:val="24"/>
              </w:rPr>
            </w:pPr>
          </w:p>
        </w:tc>
        <w:tc>
          <w:tcPr>
            <w:tcW w:w="2363" w:type="dxa"/>
          </w:tcPr>
          <w:p w14:paraId="62D38D6D">
            <w:pPr>
              <w:pStyle w:val="13"/>
              <w:widowControl w:val="0"/>
              <w:jc w:val="center"/>
              <w:rPr>
                <w:rFonts w:hint="default" w:ascii="方正仿宋_GBK" w:hAnsi="方正仿宋_GBK" w:eastAsia="方正仿宋_GBK" w:cs="方正仿宋_GBK"/>
                <w:color w:val="auto"/>
                <w:spacing w:val="-3"/>
                <w:sz w:val="24"/>
                <w:szCs w:val="24"/>
                <w:lang w:val="en-US" w:eastAsia="zh-CN"/>
              </w:rPr>
            </w:pPr>
          </w:p>
        </w:tc>
        <w:tc>
          <w:tcPr>
            <w:tcW w:w="1850" w:type="dxa"/>
          </w:tcPr>
          <w:p w14:paraId="7E423CBF">
            <w:pPr>
              <w:pStyle w:val="13"/>
              <w:widowControl w:val="0"/>
              <w:jc w:val="center"/>
              <w:rPr>
                <w:rFonts w:ascii="方正仿宋_GBK" w:hAnsi="方正仿宋_GBK" w:eastAsia="方正仿宋_GBK" w:cs="方正仿宋_GBK"/>
                <w:color w:val="auto"/>
                <w:spacing w:val="-3"/>
                <w:sz w:val="24"/>
                <w:szCs w:val="24"/>
              </w:rPr>
            </w:pPr>
          </w:p>
        </w:tc>
      </w:tr>
      <w:tr w14:paraId="48F7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tcPr>
          <w:p w14:paraId="5E7AAFC8">
            <w:pPr>
              <w:pStyle w:val="13"/>
              <w:widowControl w:val="0"/>
              <w:jc w:val="center"/>
              <w:rPr>
                <w:rFonts w:ascii="方正仿宋_GBK" w:hAnsi="方正仿宋_GBK" w:eastAsia="方正仿宋_GBK" w:cs="方正仿宋_GBK"/>
                <w:color w:val="auto"/>
                <w:spacing w:val="-3"/>
                <w:sz w:val="24"/>
                <w:szCs w:val="24"/>
              </w:rPr>
            </w:pPr>
          </w:p>
        </w:tc>
        <w:tc>
          <w:tcPr>
            <w:tcW w:w="3259" w:type="dxa"/>
          </w:tcPr>
          <w:p w14:paraId="57442635">
            <w:pPr>
              <w:pStyle w:val="13"/>
              <w:widowControl w:val="0"/>
              <w:jc w:val="center"/>
              <w:rPr>
                <w:rFonts w:ascii="方正仿宋_GBK" w:hAnsi="方正仿宋_GBK" w:eastAsia="方正仿宋_GBK" w:cs="方正仿宋_GBK"/>
                <w:color w:val="auto"/>
                <w:spacing w:val="-3"/>
                <w:sz w:val="24"/>
                <w:szCs w:val="24"/>
              </w:rPr>
            </w:pPr>
          </w:p>
        </w:tc>
        <w:tc>
          <w:tcPr>
            <w:tcW w:w="2363" w:type="dxa"/>
          </w:tcPr>
          <w:p w14:paraId="271999C9">
            <w:pPr>
              <w:pStyle w:val="13"/>
              <w:widowControl w:val="0"/>
              <w:jc w:val="center"/>
              <w:rPr>
                <w:rFonts w:ascii="方正仿宋_GBK" w:hAnsi="方正仿宋_GBK" w:eastAsia="方正仿宋_GBK" w:cs="方正仿宋_GBK"/>
                <w:color w:val="auto"/>
                <w:spacing w:val="-3"/>
                <w:sz w:val="24"/>
                <w:szCs w:val="24"/>
              </w:rPr>
            </w:pPr>
          </w:p>
        </w:tc>
        <w:tc>
          <w:tcPr>
            <w:tcW w:w="1850" w:type="dxa"/>
          </w:tcPr>
          <w:p w14:paraId="45D4F94C">
            <w:pPr>
              <w:pStyle w:val="13"/>
              <w:widowControl w:val="0"/>
              <w:jc w:val="center"/>
              <w:rPr>
                <w:rFonts w:ascii="方正仿宋_GBK" w:hAnsi="方正仿宋_GBK" w:eastAsia="方正仿宋_GBK" w:cs="方正仿宋_GBK"/>
                <w:color w:val="auto"/>
                <w:spacing w:val="-3"/>
                <w:sz w:val="24"/>
                <w:szCs w:val="24"/>
              </w:rPr>
            </w:pPr>
          </w:p>
        </w:tc>
      </w:tr>
      <w:tr w14:paraId="7844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905" w:type="dxa"/>
          </w:tcPr>
          <w:p w14:paraId="508F460A">
            <w:pPr>
              <w:pStyle w:val="13"/>
              <w:widowControl w:val="0"/>
              <w:jc w:val="center"/>
              <w:rPr>
                <w:rFonts w:ascii="方正仿宋_GBK" w:hAnsi="方正仿宋_GBK" w:eastAsia="方正仿宋_GBK" w:cs="方正仿宋_GBK"/>
                <w:color w:val="auto"/>
                <w:spacing w:val="-3"/>
                <w:sz w:val="24"/>
                <w:szCs w:val="24"/>
              </w:rPr>
            </w:pPr>
          </w:p>
        </w:tc>
        <w:tc>
          <w:tcPr>
            <w:tcW w:w="3259" w:type="dxa"/>
          </w:tcPr>
          <w:p w14:paraId="274E42F6">
            <w:pPr>
              <w:pStyle w:val="13"/>
              <w:widowControl w:val="0"/>
              <w:jc w:val="center"/>
              <w:rPr>
                <w:rFonts w:ascii="方正仿宋_GBK" w:hAnsi="方正仿宋_GBK" w:eastAsia="方正仿宋_GBK" w:cs="方正仿宋_GBK"/>
                <w:color w:val="auto"/>
                <w:spacing w:val="-3"/>
                <w:sz w:val="24"/>
                <w:szCs w:val="24"/>
              </w:rPr>
            </w:pPr>
          </w:p>
        </w:tc>
        <w:tc>
          <w:tcPr>
            <w:tcW w:w="2363" w:type="dxa"/>
          </w:tcPr>
          <w:p w14:paraId="6EED143B">
            <w:pPr>
              <w:pStyle w:val="13"/>
              <w:widowControl w:val="0"/>
              <w:jc w:val="center"/>
              <w:rPr>
                <w:rFonts w:ascii="方正仿宋_GBK" w:hAnsi="方正仿宋_GBK" w:eastAsia="方正仿宋_GBK" w:cs="方正仿宋_GBK"/>
                <w:color w:val="auto"/>
                <w:spacing w:val="-3"/>
                <w:sz w:val="24"/>
                <w:szCs w:val="24"/>
              </w:rPr>
            </w:pPr>
          </w:p>
        </w:tc>
        <w:tc>
          <w:tcPr>
            <w:tcW w:w="1850" w:type="dxa"/>
          </w:tcPr>
          <w:p w14:paraId="19E541A5">
            <w:pPr>
              <w:pStyle w:val="13"/>
              <w:widowControl w:val="0"/>
              <w:jc w:val="center"/>
              <w:rPr>
                <w:rFonts w:ascii="方正仿宋_GBK" w:hAnsi="方正仿宋_GBK" w:eastAsia="方正仿宋_GBK" w:cs="方正仿宋_GBK"/>
                <w:color w:val="auto"/>
                <w:spacing w:val="-3"/>
                <w:sz w:val="24"/>
                <w:szCs w:val="24"/>
              </w:rPr>
            </w:pPr>
          </w:p>
        </w:tc>
      </w:tr>
    </w:tbl>
    <w:p w14:paraId="1E78B583">
      <w:pPr>
        <w:pStyle w:val="13"/>
        <w:jc w:val="center"/>
        <w:rPr>
          <w:rFonts w:ascii="方正仿宋_GBK" w:hAnsi="方正仿宋_GBK" w:eastAsia="方正仿宋_GBK" w:cs="方正仿宋_GBK"/>
          <w:color w:val="auto"/>
          <w:spacing w:val="-3"/>
          <w:sz w:val="24"/>
          <w:szCs w:val="24"/>
        </w:rPr>
      </w:pPr>
    </w:p>
    <w:sectPr>
      <w:footerReference r:id="rId5" w:type="default"/>
      <w:footerReference r:id="rId6" w:type="even"/>
      <w:pgSz w:w="11910" w:h="16840"/>
      <w:pgMar w:top="1600" w:right="1220" w:bottom="1760" w:left="1380" w:header="0" w:footer="15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Nimbus Roman No9 L">
    <w:altName w:val="Segoe Print"/>
    <w:panose1 w:val="00000000000000000000"/>
    <w:charset w:val="00"/>
    <w:family w:val="auto"/>
    <w:pitch w:val="default"/>
    <w:sig w:usb0="00000000" w:usb1="00000000" w:usb2="00000000" w:usb3="00000000" w:csb0="00000000" w:csb1="00000000"/>
  </w:font>
  <w:font w:name="方正楷体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Liberation Sans">
    <w:altName w:val="Segoe Print"/>
    <w:panose1 w:val="020B0604020202020204"/>
    <w:charset w:val="00"/>
    <w:family w:val="auto"/>
    <w:pitch w:val="default"/>
    <w:sig w:usb0="00000000" w:usb1="00000000" w:usb2="00000000" w:usb3="00000000" w:csb0="6000009F" w:csb1="DFD7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4B0AE">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BE8B">
    <w:pPr>
      <w:pStyle w:val="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397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9700" cy="222885"/>
                      </a:xfrm>
                      <a:prstGeom prst="rect">
                        <a:avLst/>
                      </a:prstGeom>
                      <a:noFill/>
                      <a:ln>
                        <a:noFill/>
                      </a:ln>
                      <a:effectLst/>
                    </wps:spPr>
                    <wps:txbx>
                      <w:txbxContent>
                        <w:p w14:paraId="0336E84E">
                          <w:pPr>
                            <w:spacing w:before="8"/>
                            <w:ind w:left="40"/>
                            <w:rPr>
                              <w:rFonts w:ascii="Times New Roman"/>
                              <w:sz w:val="28"/>
                            </w:rPr>
                          </w:pPr>
                          <w:r>
                            <w:fldChar w:fldCharType="begin"/>
                          </w:r>
                          <w:r>
                            <w:rPr>
                              <w:rFonts w:ascii="Times New Roman"/>
                              <w:sz w:val="28"/>
                            </w:rPr>
                            <w:instrText xml:space="preserve"> PAGE </w:instrText>
                          </w:r>
                          <w:r>
                            <w:fldChar w:fldCharType="separate"/>
                          </w:r>
                          <w:r>
                            <w:rPr>
                              <w:rFonts w:ascii="Times New Roman"/>
                              <w:sz w:val="28"/>
                            </w:rP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7.55pt;width:11pt;mso-position-horizontal:outside;mso-position-horizontal-relative:margin;z-index:251659264;mso-width-relative:page;mso-height-relative:page;" filled="f" stroked="f" coordsize="21600,21600" o:gfxdata="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1AHTSAAAAAwEAAA8AAAAAAAAAAQAgAAAAIgAAAGRycy9kb3ducmV2LnhtbFBLAQIUABQA&#10;AAAIAIdO4kBw5JHkvQEAAH8DAAAOAAAAAAAAAAEAIAAAACEBAABkcnMvZTJvRG9jLnhtbFBLBQYA&#10;AAAABgAGAFkBAABQBQAAAAA=&#10;">
              <v:fill on="f" focussize="0,0"/>
              <v:stroke on="f"/>
              <v:imagedata o:title=""/>
              <o:lock v:ext="edit" aspectratio="f"/>
              <v:textbox inset="0mm,0mm,0mm,0mm">
                <w:txbxContent>
                  <w:p w14:paraId="0336E84E">
                    <w:pPr>
                      <w:spacing w:before="8"/>
                      <w:ind w:left="40"/>
                      <w:rPr>
                        <w:rFonts w:ascii="Times New Roman"/>
                        <w:sz w:val="28"/>
                      </w:rPr>
                    </w:pPr>
                    <w:r>
                      <w:fldChar w:fldCharType="begin"/>
                    </w:r>
                    <w:r>
                      <w:rPr>
                        <w:rFonts w:ascii="Times New Roman"/>
                        <w:sz w:val="28"/>
                      </w:rPr>
                      <w:instrText xml:space="preserve"> PAGE </w:instrText>
                    </w:r>
                    <w:r>
                      <w:fldChar w:fldCharType="separate"/>
                    </w:r>
                    <w:r>
                      <w:rPr>
                        <w:rFonts w:ascii="Times New Roman"/>
                        <w:sz w:val="28"/>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7403">
    <w:pPr>
      <w:spacing w:line="14" w:lineRule="auto"/>
      <w:rPr>
        <w:rFonts w:ascii="方正仿宋_GBK" w:hAnsi="方正仿宋_GBK" w:eastAsia="方正仿宋_GBK" w:cs="方正仿宋_GBK"/>
        <w:sz w:val="20"/>
        <w:szCs w:val="32"/>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418D06">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50418D06">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0D7E">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371475</wp:posOffset>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9F5B22">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25pt;margin-top:-8.25pt;height:144pt;width:144pt;mso-position-horizontal-relative:margin;mso-wrap-style:none;z-index:251661312;mso-width-relative:page;mso-height-relative:page;" filled="f" stroked="f" coordsize="21600,21600" o:gfxdata="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dLSuPlT9BUyhZWGrd5bHNFEqb1fHAGk7xaNAvSroVNxgDrueDW8mDvqf+y7q8T+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D+ljx1wAAAAoBAAAPAAAAAAAAAAEAIAAAACIAAABkcnMvZG93bnJl&#10;di54bWxQSwECFAAUAAAACACHTuJAvXQbdjcCAABvBAAADgAAAAAAAAABACAAAAAmAQAAZHJzL2Uy&#10;b0RvYy54bWxQSwUGAAAAAAYABgBZAQAAzwUAAAAA&#10;">
              <v:fill on="f" focussize="0,0"/>
              <v:stroke on="f" weight="0.5pt"/>
              <v:imagedata o:title=""/>
              <o:lock v:ext="edit" aspectratio="f"/>
              <v:textbox inset="0mm,0mm,0mm,0mm" style="mso-fit-shape-to-text:t;">
                <w:txbxContent>
                  <w:p w14:paraId="309F5B22">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YTdlNTQ2MjIyZGMwMzRiZjExM2MyY2FmYTNhZWMifQ=="/>
  </w:docVars>
  <w:rsids>
    <w:rsidRoot w:val="00541B35"/>
    <w:rsid w:val="003C7882"/>
    <w:rsid w:val="00541B35"/>
    <w:rsid w:val="00925250"/>
    <w:rsid w:val="009E67D8"/>
    <w:rsid w:val="00BF1300"/>
    <w:rsid w:val="019F4AA4"/>
    <w:rsid w:val="029A38EC"/>
    <w:rsid w:val="0842480A"/>
    <w:rsid w:val="08AA0601"/>
    <w:rsid w:val="09684744"/>
    <w:rsid w:val="0A9F23E7"/>
    <w:rsid w:val="0B9B6AB3"/>
    <w:rsid w:val="0E356BBF"/>
    <w:rsid w:val="0E3C7F4D"/>
    <w:rsid w:val="0F6647EF"/>
    <w:rsid w:val="0F820916"/>
    <w:rsid w:val="0F924FB2"/>
    <w:rsid w:val="108F25B6"/>
    <w:rsid w:val="12244F80"/>
    <w:rsid w:val="12E84200"/>
    <w:rsid w:val="12F72695"/>
    <w:rsid w:val="14172FEE"/>
    <w:rsid w:val="145F04F1"/>
    <w:rsid w:val="14C60571"/>
    <w:rsid w:val="15B548D7"/>
    <w:rsid w:val="193F7D58"/>
    <w:rsid w:val="19E752F5"/>
    <w:rsid w:val="1B4D42EE"/>
    <w:rsid w:val="1BFE3016"/>
    <w:rsid w:val="1CD200F5"/>
    <w:rsid w:val="1DBE272D"/>
    <w:rsid w:val="1EE712FE"/>
    <w:rsid w:val="21810931"/>
    <w:rsid w:val="219F37A0"/>
    <w:rsid w:val="21B7196D"/>
    <w:rsid w:val="21E03D53"/>
    <w:rsid w:val="232B2612"/>
    <w:rsid w:val="255F2A47"/>
    <w:rsid w:val="262670C1"/>
    <w:rsid w:val="26551754"/>
    <w:rsid w:val="267808C6"/>
    <w:rsid w:val="293B2E83"/>
    <w:rsid w:val="2D654973"/>
    <w:rsid w:val="2F55676F"/>
    <w:rsid w:val="2F9F469B"/>
    <w:rsid w:val="2FEA0503"/>
    <w:rsid w:val="30275F10"/>
    <w:rsid w:val="3253123E"/>
    <w:rsid w:val="334212B2"/>
    <w:rsid w:val="336970F4"/>
    <w:rsid w:val="33FE167D"/>
    <w:rsid w:val="348E47AF"/>
    <w:rsid w:val="35657707"/>
    <w:rsid w:val="35935DF5"/>
    <w:rsid w:val="35A847E5"/>
    <w:rsid w:val="35F920FC"/>
    <w:rsid w:val="3605722D"/>
    <w:rsid w:val="3623361D"/>
    <w:rsid w:val="36413AA3"/>
    <w:rsid w:val="36FB1EA4"/>
    <w:rsid w:val="381C47C8"/>
    <w:rsid w:val="381E409C"/>
    <w:rsid w:val="38F512A1"/>
    <w:rsid w:val="39096AFA"/>
    <w:rsid w:val="39CD7B28"/>
    <w:rsid w:val="3A4122C4"/>
    <w:rsid w:val="3D4B5CC4"/>
    <w:rsid w:val="3EBA43F3"/>
    <w:rsid w:val="3F052571"/>
    <w:rsid w:val="40086FBA"/>
    <w:rsid w:val="40CB6D8B"/>
    <w:rsid w:val="41441A37"/>
    <w:rsid w:val="41BA3087"/>
    <w:rsid w:val="42B20202"/>
    <w:rsid w:val="43B458B4"/>
    <w:rsid w:val="43EC504E"/>
    <w:rsid w:val="444E6512"/>
    <w:rsid w:val="44623562"/>
    <w:rsid w:val="4631143E"/>
    <w:rsid w:val="49C34AA3"/>
    <w:rsid w:val="4A2512BA"/>
    <w:rsid w:val="4BFE7355"/>
    <w:rsid w:val="4C885B30"/>
    <w:rsid w:val="4D0A4797"/>
    <w:rsid w:val="50724B2D"/>
    <w:rsid w:val="50EE4DF6"/>
    <w:rsid w:val="519A54E1"/>
    <w:rsid w:val="52662470"/>
    <w:rsid w:val="54925C8C"/>
    <w:rsid w:val="54977258"/>
    <w:rsid w:val="54B020C8"/>
    <w:rsid w:val="55ED580D"/>
    <w:rsid w:val="56E5621A"/>
    <w:rsid w:val="578F5C2B"/>
    <w:rsid w:val="57E5652D"/>
    <w:rsid w:val="57F26BFC"/>
    <w:rsid w:val="58445001"/>
    <w:rsid w:val="58CD3249"/>
    <w:rsid w:val="58F22CAF"/>
    <w:rsid w:val="5A2C62BE"/>
    <w:rsid w:val="5ABE27AF"/>
    <w:rsid w:val="5B12588A"/>
    <w:rsid w:val="5C814981"/>
    <w:rsid w:val="5C82259C"/>
    <w:rsid w:val="5CB5471F"/>
    <w:rsid w:val="5D785372"/>
    <w:rsid w:val="5FB32A6C"/>
    <w:rsid w:val="606A4308"/>
    <w:rsid w:val="6175447D"/>
    <w:rsid w:val="626764BC"/>
    <w:rsid w:val="627B1F67"/>
    <w:rsid w:val="657C227E"/>
    <w:rsid w:val="66BB5028"/>
    <w:rsid w:val="67542D87"/>
    <w:rsid w:val="677EC8FC"/>
    <w:rsid w:val="68725BBA"/>
    <w:rsid w:val="68B25FB7"/>
    <w:rsid w:val="691427CE"/>
    <w:rsid w:val="6B9F36C6"/>
    <w:rsid w:val="6BDD159D"/>
    <w:rsid w:val="6C267E48"/>
    <w:rsid w:val="6CF72477"/>
    <w:rsid w:val="6DA73C10"/>
    <w:rsid w:val="704450C1"/>
    <w:rsid w:val="708E1F24"/>
    <w:rsid w:val="71463740"/>
    <w:rsid w:val="715C2F64"/>
    <w:rsid w:val="716C2D50"/>
    <w:rsid w:val="72D52FCE"/>
    <w:rsid w:val="736600CA"/>
    <w:rsid w:val="7447614D"/>
    <w:rsid w:val="75232716"/>
    <w:rsid w:val="75882579"/>
    <w:rsid w:val="75B55338"/>
    <w:rsid w:val="75BA3180"/>
    <w:rsid w:val="760140DA"/>
    <w:rsid w:val="77BC475C"/>
    <w:rsid w:val="7ABE07EB"/>
    <w:rsid w:val="7B9E2A52"/>
    <w:rsid w:val="7C8D66C7"/>
    <w:rsid w:val="7D9C1E6D"/>
    <w:rsid w:val="7EB51F05"/>
    <w:rsid w:val="FA1F0495"/>
    <w:rsid w:val="FFDFC9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zh-CN" w:eastAsia="zh-CN" w:bidi="zh-CN"/>
    </w:rPr>
  </w:style>
  <w:style w:type="paragraph" w:styleId="2">
    <w:name w:val="heading 2"/>
    <w:basedOn w:val="1"/>
    <w:next w:val="1"/>
    <w:unhideWhenUsed/>
    <w:qFormat/>
    <w:uiPriority w:val="0"/>
    <w:pPr>
      <w:keepNext w:val="0"/>
      <w:keepLines w:val="0"/>
      <w:widowControl w:val="0"/>
      <w:numPr>
        <w:ilvl w:val="1"/>
        <w:numId w:val="1"/>
      </w:numPr>
      <w:overflowPunct w:val="0"/>
      <w:adjustRightInd w:val="0"/>
      <w:spacing w:beforeAutospacing="0" w:afterAutospacing="0" w:line="594" w:lineRule="exact"/>
      <w:ind w:firstLine="0" w:firstLineChars="0"/>
      <w:outlineLvl w:val="1"/>
    </w:pPr>
    <w:rPr>
      <w:rFonts w:ascii="Arial" w:hAnsi="Arial"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beforeLines="0" w:afterLines="0" w:line="540" w:lineRule="exact"/>
      <w:ind w:firstLine="200" w:firstLineChars="200"/>
    </w:pPr>
    <w:rPr>
      <w:rFonts w:hint="default" w:eastAsia="仿宋_GB2312"/>
      <w:sz w:val="21"/>
      <w:szCs w:val="24"/>
    </w:rPr>
  </w:style>
  <w:style w:type="paragraph" w:styleId="4">
    <w:name w:val="Body Text"/>
    <w:basedOn w:val="1"/>
    <w:next w:val="1"/>
    <w:qFormat/>
    <w:uiPriority w:val="1"/>
    <w:rPr>
      <w:rFonts w:ascii="方正仿宋_GBK" w:hAnsi="方正仿宋_GBK" w:eastAsia="方正仿宋_GBK" w:cs="方正仿宋_GBK"/>
      <w:sz w:val="32"/>
      <w:szCs w:val="32"/>
    </w:rPr>
  </w:style>
  <w:style w:type="paragraph" w:styleId="5">
    <w:name w:val="Body Text Indent"/>
    <w:basedOn w:val="1"/>
    <w:link w:val="14"/>
    <w:qFormat/>
    <w:uiPriority w:val="0"/>
    <w:pPr>
      <w:spacing w:after="120"/>
      <w:ind w:left="420" w:leftChars="200"/>
    </w:pPr>
  </w:style>
  <w:style w:type="paragraph" w:styleId="6">
    <w:name w:val="footer"/>
    <w:basedOn w:val="1"/>
    <w:link w:val="16"/>
    <w:qFormat/>
    <w:uiPriority w:val="0"/>
    <w:pPr>
      <w:tabs>
        <w:tab w:val="center" w:pos="4153"/>
        <w:tab w:val="right" w:pos="8306"/>
      </w:tabs>
      <w:snapToGrid w:val="0"/>
    </w:pPr>
    <w:rPr>
      <w:sz w:val="18"/>
    </w:rPr>
  </w:style>
  <w:style w:type="paragraph" w:styleId="7">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99"/>
    <w:pPr>
      <w:spacing w:before="100" w:beforeAutospacing="1" w:after="100" w:afterAutospacing="1" w:line="240" w:lineRule="auto"/>
      <w:ind w:firstLine="0" w:firstLineChars="0"/>
      <w:jc w:val="left"/>
    </w:pPr>
    <w:rPr>
      <w:rFonts w:ascii="宋体" w:hAnsi="宋体" w:eastAsia="宋体"/>
      <w:kern w:val="0"/>
      <w:sz w:val="24"/>
      <w:szCs w:val="24"/>
    </w:rPr>
  </w:style>
  <w:style w:type="paragraph" w:styleId="9">
    <w:name w:val="Body Text First Indent 2"/>
    <w:basedOn w:val="5"/>
    <w:link w:val="1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默认"/>
    <w:qFormat/>
    <w:uiPriority w:val="0"/>
    <w:rPr>
      <w:rFonts w:ascii="Helvetica" w:hAnsi="Helvetica" w:eastAsia="Helvetica" w:cs="Helvetica"/>
      <w:color w:val="000000"/>
      <w:sz w:val="22"/>
      <w:szCs w:val="22"/>
      <w:lang w:val="en-US" w:eastAsia="zh-CN" w:bidi="ar-SA"/>
    </w:rPr>
  </w:style>
  <w:style w:type="character" w:customStyle="1" w:styleId="14">
    <w:name w:val="正文文本缩进 Char"/>
    <w:basedOn w:val="12"/>
    <w:link w:val="5"/>
    <w:qFormat/>
    <w:uiPriority w:val="0"/>
    <w:rPr>
      <w:rFonts w:ascii="Arial Unicode MS" w:hAnsi="Arial Unicode MS" w:eastAsia="Arial Unicode MS" w:cs="Arial Unicode MS"/>
      <w:sz w:val="22"/>
      <w:szCs w:val="22"/>
      <w:lang w:val="zh-CN" w:bidi="zh-CN"/>
    </w:rPr>
  </w:style>
  <w:style w:type="character" w:customStyle="1" w:styleId="15">
    <w:name w:val="正文首行缩进 2 Char"/>
    <w:basedOn w:val="14"/>
    <w:link w:val="9"/>
    <w:qFormat/>
    <w:uiPriority w:val="0"/>
  </w:style>
  <w:style w:type="character" w:customStyle="1" w:styleId="16">
    <w:name w:val="页脚 Char"/>
    <w:basedOn w:val="12"/>
    <w:link w:val="6"/>
    <w:qFormat/>
    <w:uiPriority w:val="0"/>
    <w:rPr>
      <w:rFonts w:ascii="Arial Unicode MS" w:hAnsi="Arial Unicode MS" w:eastAsia="Arial Unicode MS" w:cs="Arial Unicode MS"/>
      <w:sz w:val="18"/>
      <w:szCs w:val="22"/>
      <w:lang w:val="zh-CN" w:bidi="zh-CN"/>
    </w:rPr>
  </w:style>
  <w:style w:type="character" w:customStyle="1" w:styleId="17">
    <w:name w:val="页眉 Char"/>
    <w:link w:val="7"/>
    <w:qFormat/>
    <w:uiPriority w:val="0"/>
    <w:rPr>
      <w:rFonts w:ascii="Arial Unicode MS" w:hAnsi="Arial Unicode MS" w:eastAsia="Arial Unicode MS" w:cs="Arial Unicode MS"/>
      <w:sz w:val="18"/>
      <w:szCs w:val="22"/>
      <w:lang w:val="zh-CN" w:bidi="zh-CN"/>
    </w:rPr>
  </w:style>
  <w:style w:type="paragraph" w:customStyle="1" w:styleId="18">
    <w:name w:val="TOC1"/>
    <w:basedOn w:val="1"/>
    <w:next w:val="1"/>
    <w:qFormat/>
    <w:uiPriority w:val="0"/>
    <w:pPr>
      <w:autoSpaceDE/>
      <w:autoSpaceDN/>
      <w:jc w:val="both"/>
      <w:textAlignment w:val="baseline"/>
    </w:pPr>
    <w:rPr>
      <w:rFonts w:ascii="Calibri" w:hAnsi="Calibri" w:eastAsia="方正仿宋_GBK" w:cs="Times New Roman"/>
      <w:kern w:val="2"/>
      <w:sz w:val="32"/>
      <w:szCs w:val="20"/>
      <w:lang w:val="en-US" w:bidi="ar-SA"/>
    </w:r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autoSpaceDE/>
      <w:autoSpaceDN/>
      <w:snapToGrid w:val="0"/>
      <w:jc w:val="both"/>
    </w:pPr>
    <w:rPr>
      <w:rFonts w:ascii="Times New Roman" w:hAnsi="Times New Roman" w:eastAsia="宋体" w:cs="Times New Roman"/>
      <w:kern w:val="2"/>
      <w:sz w:val="18"/>
      <w:szCs w:val="24"/>
      <w:lang w:val="en-US" w:bidi="ar-SA"/>
    </w:rPr>
  </w:style>
  <w:style w:type="paragraph" w:customStyle="1" w:styleId="21">
    <w:name w:val="页脚1"/>
    <w:basedOn w:val="1"/>
    <w:qFormat/>
    <w:uiPriority w:val="0"/>
    <w:pPr>
      <w:tabs>
        <w:tab w:val="center" w:pos="4153"/>
        <w:tab w:val="right" w:pos="8306"/>
      </w:tabs>
      <w:autoSpaceDE/>
      <w:autoSpaceDN/>
      <w:snapToGrid w:val="0"/>
      <w:jc w:val="both"/>
    </w:pPr>
    <w:rPr>
      <w:rFonts w:ascii="Times New Roman" w:hAnsi="Times New Roman" w:eastAsia="宋体" w:cs="Times New Roman"/>
      <w:kern w:val="2"/>
      <w:sz w:val="18"/>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2228</Words>
  <Characters>2287</Characters>
  <Lines>1</Lines>
  <Paragraphs>9</Paragraphs>
  <TotalTime>9</TotalTime>
  <ScaleCrop>false</ScaleCrop>
  <LinksUpToDate>false</LinksUpToDate>
  <CharactersWithSpaces>2324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2022-03-29T11:43:00Z</dcterms:created>
  <dc:creator>Administrator</dc:creator>
  <cp:lastModifiedBy>温星星</cp:lastModifiedBy>
  <cp:lastPrinted>2023-11-21T08:20:00Z</cp:lastPrinted>
  <dcterms:modified xsi:type="dcterms:W3CDTF">2025-10-17T02:47:07Z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9CF8D496E4AA4E5AB01E74CE28F65CD4_13</vt:lpwstr>
  </property>
  <property fmtid="{D5CDD505-2E9C-101B-9397-08002B2CF9AE}" pid="4" name="KSOTemplateDocerSaveRecord">
    <vt:lpwstr>eyJoZGlkIjoiZDRlMTI0ZmZkNWVkNDk2ZTg4NWYwOTQyMjQxMmY4NGEiLCJ1c2VySWQiOiIxMzIzODcwMDMzIn0=</vt:lpwstr>
  </property>
</Properties>
</file>