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C0" w:rsidRDefault="000F2113">
      <w:pPr>
        <w:pStyle w:val="a8"/>
        <w:spacing w:before="0" w:beforeAutospacing="0" w:after="0" w:afterAutospacing="0" w:line="560" w:lineRule="exact"/>
        <w:jc w:val="center"/>
        <w:rPr>
          <w:rFonts w:ascii="Times New Roman" w:eastAsia="方正小标宋_GBK" w:hAnsi="Times New Roman" w:cs="方正小标宋_GBK" w:hint="default"/>
          <w:sz w:val="44"/>
          <w:szCs w:val="44"/>
        </w:rPr>
      </w:pPr>
      <w:r>
        <w:rPr>
          <w:rFonts w:ascii="Times New Roman" w:eastAsia="方正小标宋_GBK" w:hAnsi="Times New Roman" w:cs="方正小标宋_GBK"/>
          <w:sz w:val="44"/>
          <w:szCs w:val="44"/>
        </w:rPr>
        <w:t>丰都县矫正帮教管理服务中心</w:t>
      </w:r>
    </w:p>
    <w:p w:rsidR="004E37C0" w:rsidRDefault="000F2113">
      <w:pPr>
        <w:pStyle w:val="a8"/>
        <w:spacing w:before="0" w:beforeAutospacing="0" w:after="0" w:afterAutospacing="0" w:line="560" w:lineRule="exact"/>
        <w:jc w:val="center"/>
        <w:rPr>
          <w:rFonts w:ascii="Times New Roman" w:eastAsia="方正小标宋_GBK" w:hAnsi="Times New Roman"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cs="方正小标宋_GBK"/>
          <w:sz w:val="44"/>
          <w:szCs w:val="44"/>
          <w:shd w:val="clear" w:color="auto" w:fill="FFFFFF"/>
        </w:rPr>
        <w:t>年度决算公开说明</w:t>
      </w:r>
    </w:p>
    <w:p w:rsidR="004E37C0" w:rsidRDefault="004E37C0">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p>
    <w:p w:rsidR="004E37C0" w:rsidRDefault="000F2113">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一、单位基本情况</w:t>
      </w:r>
    </w:p>
    <w:p w:rsidR="004E37C0" w:rsidRDefault="000F2113">
      <w:pPr>
        <w:pStyle w:val="a8"/>
        <w:shd w:val="clear" w:color="auto" w:fill="FFFFFF"/>
        <w:spacing w:before="0" w:beforeAutospacing="0" w:after="0" w:afterAutospacing="0" w:line="560" w:lineRule="exact"/>
        <w:ind w:firstLineChars="200" w:firstLine="643"/>
        <w:rPr>
          <w:rFonts w:ascii="Times New Roman" w:eastAsia="方正仿宋_GBK" w:hAnsi="Times New Roman" w:cs="方正仿宋_GBK" w:hint="default"/>
          <w:sz w:val="32"/>
          <w:szCs w:val="32"/>
        </w:rPr>
      </w:pPr>
      <w:r>
        <w:rPr>
          <w:rStyle w:val="aa"/>
          <w:rFonts w:ascii="Times New Roman" w:eastAsia="楷体" w:hAnsi="Times New Roman" w:cs="楷体"/>
          <w:sz w:val="32"/>
          <w:szCs w:val="32"/>
          <w:shd w:val="clear" w:color="auto" w:fill="FFFFFF"/>
        </w:rPr>
        <w:t>（一）职能职责</w:t>
      </w:r>
    </w:p>
    <w:p w:rsidR="004E37C0" w:rsidRDefault="000F2113">
      <w:pPr>
        <w:pStyle w:val="a8"/>
        <w:shd w:val="clear" w:color="auto" w:fill="FFFFFF"/>
        <w:spacing w:before="0" w:beforeAutospacing="0" w:after="0" w:afterAutospacing="0" w:line="560" w:lineRule="exact"/>
        <w:ind w:firstLineChars="200"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丰都县矫正帮教管理服务中心系下属事业单位。主要负责社区矫正、安置帮教等方面的管理。</w:t>
      </w:r>
    </w:p>
    <w:p w:rsidR="004E37C0" w:rsidRDefault="000F2113">
      <w:pPr>
        <w:pStyle w:val="a8"/>
        <w:shd w:val="clear" w:color="auto" w:fill="FFFFFF"/>
        <w:spacing w:before="0" w:beforeAutospacing="0" w:after="0" w:afterAutospacing="0" w:line="560" w:lineRule="exact"/>
        <w:ind w:firstLineChars="200" w:firstLine="643"/>
        <w:rPr>
          <w:rFonts w:ascii="Times New Roman" w:eastAsia="楷体" w:hAnsi="Times New Roman" w:cs="楷体" w:hint="default"/>
          <w:sz w:val="32"/>
          <w:szCs w:val="32"/>
        </w:rPr>
      </w:pPr>
      <w:r>
        <w:rPr>
          <w:rStyle w:val="aa"/>
          <w:rFonts w:ascii="Times New Roman" w:eastAsia="楷体" w:hAnsi="Times New Roman" w:cs="楷体"/>
          <w:sz w:val="32"/>
          <w:szCs w:val="32"/>
          <w:shd w:val="clear" w:color="auto" w:fill="FFFFFF"/>
        </w:rPr>
        <w:t>（二）机构设置</w:t>
      </w:r>
    </w:p>
    <w:p w:rsidR="004E37C0" w:rsidRDefault="000F2113">
      <w:pPr>
        <w:pStyle w:val="a8"/>
        <w:shd w:val="clear" w:color="auto" w:fill="FFFFFF"/>
        <w:spacing w:before="0" w:beforeAutospacing="0" w:after="0" w:afterAutospacing="0" w:line="560" w:lineRule="exact"/>
        <w:ind w:firstLineChars="200"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县矫正帮教中心（编制</w:t>
      </w:r>
      <w:r>
        <w:rPr>
          <w:rFonts w:ascii="Times New Roman" w:eastAsia="方正仿宋_GBK" w:hAnsi="Times New Roman" w:cs="方正仿宋_GBK"/>
          <w:sz w:val="32"/>
          <w:szCs w:val="32"/>
          <w:shd w:val="clear" w:color="auto" w:fill="FFFFFF"/>
        </w:rPr>
        <w:t>5</w:t>
      </w:r>
      <w:r>
        <w:rPr>
          <w:rFonts w:ascii="Times New Roman" w:eastAsia="方正仿宋_GBK" w:hAnsi="Times New Roman" w:cs="方正仿宋_GBK"/>
          <w:sz w:val="32"/>
          <w:szCs w:val="32"/>
          <w:shd w:val="clear" w:color="auto" w:fill="FFFFFF"/>
        </w:rPr>
        <w:t>人，在职</w:t>
      </w:r>
      <w:r>
        <w:rPr>
          <w:rFonts w:ascii="Times New Roman" w:eastAsia="方正仿宋_GBK" w:hAnsi="Times New Roman" w:cs="方正仿宋_GBK"/>
          <w:sz w:val="32"/>
          <w:szCs w:val="32"/>
          <w:shd w:val="clear" w:color="auto" w:fill="FFFFFF"/>
        </w:rPr>
        <w:t>5</w:t>
      </w:r>
      <w:r>
        <w:rPr>
          <w:rFonts w:ascii="Times New Roman" w:eastAsia="方正仿宋_GBK" w:hAnsi="Times New Roman" w:cs="方正仿宋_GBK"/>
          <w:sz w:val="32"/>
          <w:szCs w:val="32"/>
          <w:shd w:val="clear" w:color="auto" w:fill="FFFFFF"/>
        </w:rPr>
        <w:t>人）</w:t>
      </w:r>
    </w:p>
    <w:p w:rsidR="004E37C0" w:rsidRDefault="000F2113">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二、单位决算收支情况说明</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（一）收入支出决算总体情况说明</w:t>
      </w:r>
    </w:p>
    <w:p w:rsidR="004E37C0" w:rsidRDefault="000F2113">
      <w:pPr>
        <w:pStyle w:val="a8"/>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4E37C0" w:rsidRDefault="000F2113">
      <w:pPr>
        <w:pStyle w:val="a8"/>
        <w:shd w:val="clear" w:color="auto" w:fill="FFFFFF"/>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Times New Roman" w:eastAsia="方正仿宋_GBK" w:hAnsi="Times New Roman" w:cs="方正仿宋_GBK"/>
          <w:sz w:val="32"/>
          <w:szCs w:val="32"/>
          <w:shd w:val="clear" w:color="auto" w:fill="FFFFFF"/>
        </w:rPr>
        <w:t>，主要原因是人员的级别上升导致工资、津贴、社会保险缴费等费用增加。其中：财政拨款收入</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4E37C0" w:rsidRDefault="000F2113">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Times New Roman" w:eastAsia="方正仿宋_GBK" w:hAnsi="Times New Roman" w:cs="方正仿宋_GBK"/>
          <w:sz w:val="32"/>
          <w:szCs w:val="32"/>
          <w:shd w:val="clear" w:color="auto" w:fill="FFFFFF"/>
        </w:rPr>
        <w:t>，主要原因是人员的级别上升导致工资、津贴、社会保险缴费等费用增加。其中：</w:t>
      </w:r>
      <w:r>
        <w:rPr>
          <w:rFonts w:ascii="Times New Roman" w:eastAsia="方正仿宋_GBK" w:hAnsi="Times New Roman" w:cs="方正仿宋_GBK"/>
          <w:sz w:val="32"/>
          <w:szCs w:val="32"/>
          <w:shd w:val="clear" w:color="auto" w:fill="FFFFFF"/>
        </w:rPr>
        <w:lastRenderedPageBreak/>
        <w:t>基本支出</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4E37C0" w:rsidRDefault="000F2113">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w:t>
      </w:r>
      <w:r>
        <w:rPr>
          <w:rFonts w:ascii="Times New Roman" w:eastAsia="方正仿宋_GBK" w:hAnsi="Times New Roman"/>
          <w:sz w:val="32"/>
          <w:szCs w:val="32"/>
          <w:shd w:val="clear" w:color="auto" w:fill="FFFFFF"/>
        </w:rPr>
        <w:t>减。</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（二）财政拨款收入支出决算总体情况说明</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9.35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（三）一般公共预算财政拨款收入支出决算情况说明</w:t>
      </w:r>
    </w:p>
    <w:p w:rsidR="004E37C0" w:rsidRDefault="000F2113">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Times New Roman" w:eastAsia="方正仿宋_GBK" w:hAnsi="Times New Roman" w:cs="方正仿宋_GBK"/>
          <w:sz w:val="32"/>
          <w:szCs w:val="32"/>
          <w:shd w:val="clear" w:color="auto" w:fill="FFFFFF"/>
        </w:rPr>
        <w:t>。主要原因是人员的级别上升导致工资、津贴、社会保险缴费等费用增加。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5.0%</w:t>
      </w:r>
      <w:r>
        <w:rPr>
          <w:rFonts w:ascii="Times New Roman" w:eastAsia="方正仿宋_GBK" w:hAnsi="Times New Roman" w:cs="方正仿宋_GBK"/>
          <w:sz w:val="32"/>
          <w:szCs w:val="32"/>
          <w:shd w:val="clear" w:color="auto" w:fill="FFFFFF"/>
        </w:rPr>
        <w:t>。主要原因是人员的级别上升导致工资、津贴、社会保险缴费等费用增加。此外，年初财政拨款结转和结余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4E37C0" w:rsidRDefault="000F2113">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Times New Roman" w:eastAsia="方正仿宋_GBK" w:hAnsi="Times New Roman" w:cs="方正仿宋_GBK"/>
          <w:sz w:val="32"/>
          <w:szCs w:val="32"/>
          <w:shd w:val="clear" w:color="auto" w:fill="FFFFFF"/>
        </w:rPr>
        <w:t>。主要原因是人员的级别上升导致工资、津贴、社会保险缴费等费用增加。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5.0%</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一般公共预算财政拨款支出主要用途如下：</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lastRenderedPageBreak/>
        <w:t>（</w:t>
      </w:r>
      <w:r>
        <w:rPr>
          <w:rFonts w:ascii="Times New Roman" w:eastAsia="方正仿宋_GBK" w:hAnsi="Times New Roman"/>
          <w:sz w:val="32"/>
          <w:szCs w:val="32"/>
          <w:shd w:val="clear" w:color="auto" w:fill="FFFFFF"/>
        </w:rPr>
        <w:t>1</w:t>
      </w:r>
      <w:r>
        <w:rPr>
          <w:rFonts w:ascii="Times New Roman" w:eastAsia="方正仿宋_GBK" w:hAnsi="Times New Roman"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91.51</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77.2%</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0.93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Times New Roman" w:eastAsia="方正仿宋_GBK" w:hAnsi="Times New Roman"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16.70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14.1%</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38.7%</w:t>
      </w:r>
      <w:r>
        <w:rPr>
          <w:rFonts w:ascii="Times New Roman" w:eastAsia="方正仿宋_GBK" w:hAnsi="Times New Roman" w:cs="方正仿宋_GBK"/>
          <w:sz w:val="32"/>
          <w:szCs w:val="32"/>
          <w:shd w:val="clear" w:color="auto" w:fill="FFFFFF"/>
        </w:rPr>
        <w:t>，主要原因是人员的级别上升社会保险缴费等费用增加。</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Times New Roman" w:eastAsia="方正仿宋_GBK" w:hAnsi="Times New Roman"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5.40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4.6%</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，主要原因是人员的级别上升导致</w:t>
      </w:r>
      <w:proofErr w:type="gramStart"/>
      <w:r>
        <w:rPr>
          <w:rFonts w:ascii="Times New Roman" w:eastAsia="方正仿宋_GBK" w:hAnsi="Times New Roman" w:cs="方正仿宋_GBK"/>
          <w:sz w:val="32"/>
          <w:szCs w:val="32"/>
          <w:shd w:val="clear" w:color="auto" w:fill="FFFFFF"/>
        </w:rPr>
        <w:t>医</w:t>
      </w:r>
      <w:proofErr w:type="gramEnd"/>
      <w:r>
        <w:rPr>
          <w:rFonts w:ascii="Times New Roman" w:eastAsia="方正仿宋_GBK" w:hAnsi="Times New Roman" w:cs="方正仿宋_GBK"/>
          <w:sz w:val="32"/>
          <w:szCs w:val="32"/>
          <w:shd w:val="clear" w:color="auto" w:fill="FFFFFF"/>
        </w:rPr>
        <w:t>保等费用增加。</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Times New Roman" w:eastAsia="方正仿宋_GBK" w:hAnsi="Times New Roman" w:cs="方正仿宋_GBK"/>
          <w:sz w:val="32"/>
          <w:szCs w:val="32"/>
          <w:shd w:val="clear" w:color="auto" w:fill="FFFFFF"/>
        </w:rPr>
        <w:t>）</w:t>
      </w:r>
      <w:r>
        <w:rPr>
          <w:rFonts w:ascii="Times New Roman" w:eastAsia="方正仿宋_GBK" w:hAnsi="Times New Roman" w:cs="方正仿宋_GBK"/>
          <w:sz w:val="32"/>
          <w:szCs w:val="32"/>
        </w:rPr>
        <w:t>住房保障支出</w:t>
      </w:r>
      <w:r>
        <w:rPr>
          <w:rFonts w:ascii="Times New Roman" w:eastAsia="方正仿宋_GBK" w:hAnsi="Times New Roman" w:hint="default"/>
          <w:sz w:val="32"/>
          <w:szCs w:val="32"/>
          <w:shd w:val="clear" w:color="auto" w:fill="FFFFFF"/>
        </w:rPr>
        <w:t>4.94</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4.2%</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，主要原因是人员的级别上升导致住房公积金等费用增加。</w:t>
      </w:r>
    </w:p>
    <w:p w:rsidR="004E37C0" w:rsidRDefault="000F2113">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（四）一般公共预算财政拨款基本支出决算情况说明</w:t>
      </w:r>
    </w:p>
    <w:p w:rsidR="004E37C0" w:rsidRDefault="000F2113">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118.54</w:t>
      </w:r>
      <w:r>
        <w:rPr>
          <w:rFonts w:ascii="Times New Roman" w:eastAsia="方正仿宋_GBK" w:hAnsi="Times New Roman" w:cs="方正仿宋_GBK"/>
          <w:sz w:val="32"/>
          <w:szCs w:val="32"/>
          <w:shd w:val="clear" w:color="auto" w:fill="FFFFFF"/>
        </w:rPr>
        <w:t>万元。其中：人员经费</w:t>
      </w:r>
      <w:r>
        <w:rPr>
          <w:rFonts w:ascii="Times New Roman" w:eastAsia="方正仿宋_GBK" w:hAnsi="Times New Roman" w:hint="default"/>
          <w:sz w:val="32"/>
          <w:szCs w:val="32"/>
          <w:shd w:val="clear" w:color="auto" w:fill="FFFFFF"/>
        </w:rPr>
        <w:t>108.10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18.91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21.2%</w:t>
      </w:r>
      <w:r>
        <w:rPr>
          <w:rFonts w:ascii="Times New Roman" w:eastAsia="方正仿宋_GBK" w:hAnsi="Times New Roman" w:cs="方正仿宋_GBK"/>
          <w:sz w:val="32"/>
          <w:szCs w:val="32"/>
          <w:shd w:val="clear" w:color="auto" w:fill="FFFFFF"/>
        </w:rPr>
        <w:t>，主要原因是人员的级别上升导致工资、津贴、社会保险缴费等费用增加。人员经费用途主要有基本工资、津贴补贴等支出。公用经费</w:t>
      </w:r>
      <w:r>
        <w:rPr>
          <w:rFonts w:ascii="Times New Roman" w:eastAsia="方正仿宋_GBK" w:hAnsi="Times New Roman" w:hint="default"/>
          <w:sz w:val="32"/>
          <w:szCs w:val="32"/>
          <w:shd w:val="clear" w:color="auto" w:fill="FFFFFF"/>
        </w:rPr>
        <w:t>10.44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9.56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47.8%</w:t>
      </w:r>
      <w:r>
        <w:rPr>
          <w:rFonts w:ascii="Times New Roman" w:eastAsia="方正仿宋_GBK" w:hAnsi="Times New Roman" w:cs="方正仿宋_GBK"/>
          <w:sz w:val="32"/>
          <w:szCs w:val="32"/>
          <w:shd w:val="clear" w:color="auto" w:fill="FFFFFF"/>
        </w:rPr>
        <w:t>，主要原因是严格遵守“三公”经费管理本着节约原则进行开支。公用经费用途主要包括办公费、邮电费、手续费等支出。</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（五）政府性基金预算收支决算情况说明</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年度无政府性基金预算财政拨款收支。</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lastRenderedPageBreak/>
        <w:t>（六）国有资本经营预算财政拨款支出决算情况说明</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年度无国有资本经营预算财政拨款支出。</w:t>
      </w:r>
    </w:p>
    <w:p w:rsidR="004E37C0" w:rsidRDefault="000F2113">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三、财政拨款“三公”经费情况说明</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（一）“三公”经费支出总体情况说明</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年度“三公”经费支出共计</w:t>
      </w:r>
      <w:r>
        <w:rPr>
          <w:rFonts w:ascii="Times New Roman" w:eastAsia="方正仿宋_GBK" w:hAnsi="Times New Roman" w:cs="方正仿宋_GBK"/>
          <w:sz w:val="32"/>
          <w:szCs w:val="32"/>
        </w:rPr>
        <w:t>0.00</w:t>
      </w:r>
      <w:r>
        <w:rPr>
          <w:rFonts w:ascii="Times New Roman" w:eastAsia="方正仿宋_GBK" w:hAnsi="Times New Roman" w:cs="方正仿宋_GBK"/>
          <w:sz w:val="32"/>
          <w:szCs w:val="32"/>
          <w:shd w:val="clear" w:color="auto" w:fill="FFFFFF"/>
        </w:rPr>
        <w:t>万元，较年初</w:t>
      </w:r>
      <w:proofErr w:type="gramStart"/>
      <w:r>
        <w:rPr>
          <w:rFonts w:ascii="Times New Roman" w:eastAsia="方正仿宋_GBK" w:hAnsi="Times New Roman" w:cs="方正仿宋_GBK"/>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。与上年决算数持平。主要原因是我单位隶属于丰都县司法局下属事业单位，资金方面由县司法局统一调配，未使用财政资金“三公”经费。</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（二）“三公”经费分项支出情况</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年度未发生因公出国（境）费用支出，与上年决算数持平。</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年度未发生公务车购置费支出，与上年决算数持平。</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年度未发生公务车运行维护费支出，与上年决算数持平。</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年度未发生公务接待费支出，与上年决算数持平。</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（三）“三公”经费实物量情况</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万元。</w:t>
      </w:r>
    </w:p>
    <w:p w:rsidR="004E37C0" w:rsidRDefault="000F2113">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四、其他需要说明的事项</w:t>
      </w:r>
    </w:p>
    <w:p w:rsidR="004E37C0" w:rsidRDefault="000F2113">
      <w:pPr>
        <w:pStyle w:val="a8"/>
        <w:shd w:val="clear" w:color="auto" w:fill="FFFFFF"/>
        <w:spacing w:before="0" w:beforeAutospacing="0" w:after="0" w:afterAutospacing="0" w:line="560" w:lineRule="exact"/>
        <w:ind w:firstLineChars="200" w:firstLine="643"/>
        <w:jc w:val="both"/>
        <w:rPr>
          <w:rFonts w:ascii="Times New Roman" w:eastAsia="楷体" w:hAnsi="Times New Roman" w:cs="楷体" w:hint="default"/>
          <w:b/>
          <w:bCs/>
          <w:sz w:val="32"/>
          <w:szCs w:val="32"/>
          <w:shd w:val="clear" w:color="auto" w:fill="FFFFFF"/>
        </w:rPr>
      </w:pPr>
      <w:r>
        <w:rPr>
          <w:rFonts w:ascii="Times New Roman" w:eastAsia="楷体" w:hAnsi="Times New Roman" w:cs="楷体"/>
          <w:b/>
          <w:bCs/>
          <w:sz w:val="32"/>
          <w:szCs w:val="32"/>
          <w:shd w:val="clear" w:color="auto" w:fill="FFFFFF"/>
        </w:rPr>
        <w:lastRenderedPageBreak/>
        <w:t>（一）财政拨款会议费、培训费和差旅费情况说明</w:t>
      </w:r>
    </w:p>
    <w:p w:rsidR="004E37C0" w:rsidRDefault="000F2113">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cs="方正仿宋_GBK" w:hint="default"/>
          <w:sz w:val="32"/>
          <w:szCs w:val="32"/>
          <w:shd w:val="clear" w:color="auto" w:fill="FFFFFF"/>
        </w:rPr>
        <w:t>与上年决算数持平。</w:t>
      </w:r>
    </w:p>
    <w:p w:rsidR="004E37C0" w:rsidRDefault="000F2113">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cs="方正仿宋_GBK" w:hint="default"/>
          <w:sz w:val="32"/>
          <w:szCs w:val="32"/>
          <w:shd w:val="clear" w:color="auto" w:fill="FFFFFF"/>
        </w:rPr>
        <w:t>与上年决算数持平。</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2.44</w:t>
      </w:r>
      <w:r>
        <w:rPr>
          <w:rFonts w:ascii="Times New Roman" w:eastAsia="方正仿宋_GBK" w:hAnsi="Times New Roman"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2.44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，主要原因是</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年度决算独立进行核算</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（二）机关运行经费情况说明</w:t>
      </w:r>
    </w:p>
    <w:p w:rsidR="004E37C0" w:rsidRDefault="000F2113">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hint="default"/>
          <w:sz w:val="32"/>
          <w:szCs w:val="32"/>
          <w:shd w:val="clear" w:color="auto" w:fill="FFFFFF"/>
        </w:rPr>
        <w:t>按照</w:t>
      </w:r>
      <w:r>
        <w:rPr>
          <w:rFonts w:ascii="Times New Roman" w:eastAsia="方正仿宋_GBK" w:hAnsi="Times New Roman" w:cs="方正仿宋_GBK"/>
          <w:sz w:val="32"/>
          <w:szCs w:val="32"/>
          <w:shd w:val="clear" w:color="auto" w:fill="FFFFFF"/>
        </w:rPr>
        <w:t>单位</w:t>
      </w:r>
      <w:r>
        <w:rPr>
          <w:rFonts w:ascii="Times New Roman" w:eastAsia="方正仿宋_GBK" w:hAnsi="Times New Roman" w:cs="方正仿宋_GBK" w:hint="default"/>
          <w:sz w:val="32"/>
          <w:szCs w:val="32"/>
          <w:shd w:val="clear" w:color="auto" w:fill="FFFFFF"/>
        </w:rPr>
        <w:t>决算列报口径，我单位不在机关运行经费统计范围之内。</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（三）国有资产占用情况说明</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台（套）。</w:t>
      </w:r>
    </w:p>
    <w:p w:rsidR="004E37C0" w:rsidRDefault="000F2113">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（四）政府采购支出情况说明</w:t>
      </w:r>
    </w:p>
    <w:p w:rsidR="004E37C0" w:rsidRDefault="000F2113">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年度我单位未发生政府采购事项，无相关经费支出。</w:t>
      </w:r>
    </w:p>
    <w:p w:rsidR="004E37C0" w:rsidRDefault="000F2113">
      <w:pPr>
        <w:pStyle w:val="Char0"/>
        <w:spacing w:before="0" w:beforeAutospacing="0" w:after="0" w:afterAutospacing="0" w:line="560" w:lineRule="exact"/>
        <w:ind w:firstLineChars="200" w:firstLine="643"/>
        <w:rPr>
          <w:rStyle w:val="aa"/>
          <w:rFonts w:ascii="Times New Roman" w:eastAsia="黑体" w:hAnsi="Times New Roman" w:cs="黑体"/>
          <w:sz w:val="32"/>
          <w:szCs w:val="32"/>
          <w:shd w:val="clear" w:color="auto" w:fill="FFFFFF"/>
        </w:rPr>
      </w:pPr>
      <w:r>
        <w:rPr>
          <w:rStyle w:val="aa"/>
          <w:rFonts w:ascii="Times New Roman" w:eastAsia="黑体" w:hAnsi="Times New Roman" w:cs="黑体" w:hint="eastAsia"/>
          <w:sz w:val="32"/>
          <w:szCs w:val="32"/>
          <w:shd w:val="clear" w:color="auto" w:fill="FFFFFF"/>
        </w:rPr>
        <w:t>五、</w:t>
      </w:r>
      <w:r>
        <w:rPr>
          <w:rStyle w:val="aa"/>
          <w:rFonts w:ascii="Times New Roman" w:eastAsia="黑体" w:hAnsi="Times New Roman" w:cs="黑体" w:hint="eastAsia"/>
          <w:sz w:val="32"/>
          <w:szCs w:val="32"/>
          <w:shd w:val="clear" w:color="auto" w:fill="FFFFFF"/>
        </w:rPr>
        <w:t>2024</w:t>
      </w:r>
      <w:r>
        <w:rPr>
          <w:rStyle w:val="aa"/>
          <w:rFonts w:ascii="Times New Roman" w:eastAsia="黑体" w:hAnsi="Times New Roman" w:cs="黑体" w:hint="eastAsia"/>
          <w:sz w:val="32"/>
          <w:szCs w:val="32"/>
          <w:shd w:val="clear" w:color="auto" w:fill="FFFFFF"/>
        </w:rPr>
        <w:t>年度预算绩效管理情况说明</w:t>
      </w:r>
    </w:p>
    <w:p w:rsidR="004E37C0" w:rsidRDefault="000F2113">
      <w:pPr>
        <w:pStyle w:val="Char0"/>
        <w:autoSpaceDE w:val="0"/>
        <w:spacing w:before="0" w:beforeAutospacing="0" w:after="0" w:afterAutospacing="0" w:line="560"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（一）单位自评情况</w:t>
      </w:r>
    </w:p>
    <w:p w:rsidR="004E37C0" w:rsidRDefault="000F2113">
      <w:pPr>
        <w:pStyle w:val="Char0"/>
        <w:autoSpaceDE w:val="0"/>
        <w:spacing w:before="0" w:beforeAutospacing="0" w:after="0" w:afterAutospacing="0" w:line="560" w:lineRule="exact"/>
        <w:ind w:firstLineChars="200"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根据预算绩效管理要求，我单位对</w:t>
      </w:r>
      <w:r>
        <w:rPr>
          <w:rFonts w:ascii="Times New Roman" w:eastAsia="方正仿宋_GBK" w:hAnsi="Times New Roman" w:cs="方正仿宋_GBK"/>
          <w:sz w:val="32"/>
          <w:szCs w:val="32"/>
          <w:shd w:val="clear" w:color="auto" w:fill="FFFFFF"/>
        </w:rPr>
        <w:t>单位</w:t>
      </w:r>
      <w:r>
        <w:rPr>
          <w:rFonts w:ascii="Times New Roman" w:eastAsia="方正仿宋_GBK" w:hAnsi="Times New Roman" w:cs="方正仿宋_GBK" w:hint="eastAsia"/>
          <w:sz w:val="32"/>
          <w:szCs w:val="32"/>
          <w:shd w:val="clear" w:color="auto" w:fill="FFFFFF"/>
        </w:rPr>
        <w:t>0</w:t>
      </w:r>
      <w:r>
        <w:rPr>
          <w:rFonts w:ascii="Times New Roman" w:eastAsia="方正仿宋_GBK" w:hAnsi="Times New Roman" w:cs="方正仿宋_GBK" w:hint="eastAsia"/>
          <w:sz w:val="32"/>
          <w:szCs w:val="32"/>
          <w:shd w:val="clear" w:color="auto" w:fill="FFFFFF"/>
        </w:rPr>
        <w:t>个项目开展了绩效自评，涉及财政拨款项目支出资金</w:t>
      </w:r>
      <w:r>
        <w:rPr>
          <w:rFonts w:ascii="Times New Roman" w:eastAsia="方正仿宋_GBK" w:hAnsi="Times New Roman" w:cs="方正仿宋_GBK" w:hint="eastAsia"/>
          <w:sz w:val="32"/>
          <w:szCs w:val="32"/>
          <w:shd w:val="clear" w:color="auto" w:fill="FFFFFF"/>
        </w:rPr>
        <w:t>0</w:t>
      </w:r>
      <w:r>
        <w:rPr>
          <w:rFonts w:ascii="Times New Roman" w:eastAsia="方正仿宋_GBK" w:hAnsi="Times New Roman" w:cs="方正仿宋_GBK" w:hint="eastAsia"/>
          <w:sz w:val="32"/>
          <w:szCs w:val="32"/>
          <w:shd w:val="clear" w:color="auto" w:fill="FFFFFF"/>
        </w:rPr>
        <w:t>万元。</w:t>
      </w:r>
    </w:p>
    <w:p w:rsidR="004E37C0" w:rsidRDefault="000F2113">
      <w:pPr>
        <w:pStyle w:val="Char0"/>
        <w:autoSpaceDE w:val="0"/>
        <w:spacing w:before="0" w:beforeAutospacing="0" w:after="0" w:afterAutospacing="0" w:line="560"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（二）单位绩效评价情况</w:t>
      </w:r>
    </w:p>
    <w:p w:rsidR="004E37C0" w:rsidRDefault="000F2113" w:rsidP="00CE7A31">
      <w:pPr>
        <w:pStyle w:val="1"/>
        <w:autoSpaceDE w:val="0"/>
        <w:spacing w:line="560" w:lineRule="exact"/>
        <w:ind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我单位未组织开展绩效评价。</w:t>
      </w:r>
    </w:p>
    <w:p w:rsidR="004E37C0" w:rsidRDefault="000F2113">
      <w:pPr>
        <w:pStyle w:val="3"/>
        <w:autoSpaceDE w:val="0"/>
        <w:spacing w:line="560" w:lineRule="exact"/>
        <w:ind w:firstLine="643"/>
        <w:rPr>
          <w:rFonts w:ascii="Times New Roman" w:eastAsia="方正仿宋_GBK" w:hAnsi="Times New Roman" w:cs="方正仿宋_GBK" w:hint="default"/>
          <w:sz w:val="32"/>
          <w:szCs w:val="32"/>
          <w:shd w:val="clear" w:color="auto" w:fill="FFFFFF"/>
        </w:rPr>
      </w:pPr>
      <w:r>
        <w:rPr>
          <w:rFonts w:ascii="Times New Roman" w:eastAsia="楷体" w:hAnsi="Times New Roman" w:cs="楷体"/>
          <w:b/>
          <w:bCs/>
          <w:sz w:val="32"/>
          <w:szCs w:val="32"/>
          <w:shd w:val="clear" w:color="auto" w:fill="FFFFFF"/>
          <w:lang w:bidi="ar"/>
        </w:rPr>
        <w:t>（三）财政绩效评价情况</w:t>
      </w:r>
    </w:p>
    <w:p w:rsidR="004E37C0" w:rsidRDefault="000F2113" w:rsidP="00CE7A31">
      <w:pPr>
        <w:pStyle w:val="1"/>
        <w:autoSpaceDE w:val="0"/>
        <w:spacing w:line="560" w:lineRule="exact"/>
        <w:ind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lastRenderedPageBreak/>
        <w:t>县财政局未委托第三方对我单位开展绩效评价。</w:t>
      </w:r>
    </w:p>
    <w:p w:rsidR="004E37C0" w:rsidRDefault="000F2113">
      <w:pPr>
        <w:pStyle w:val="Char0"/>
        <w:autoSpaceDE w:val="0"/>
        <w:spacing w:before="0" w:beforeAutospacing="0" w:after="0" w:afterAutospacing="0" w:line="560" w:lineRule="exact"/>
        <w:rPr>
          <w:rFonts w:ascii="Times New Roman" w:eastAsia="方正仿宋_GBK" w:hAnsi="Times New Roman" w:cs="方正仿宋_GBK"/>
          <w:sz w:val="32"/>
          <w:szCs w:val="32"/>
        </w:rPr>
      </w:pPr>
      <w:r>
        <w:rPr>
          <w:rStyle w:val="21"/>
          <w:rFonts w:ascii="Times New Roman" w:eastAsia="方正仿宋_GBK" w:hAnsi="Times New Roman" w:cs="方正仿宋_GBK" w:hint="eastAsia"/>
          <w:sz w:val="32"/>
          <w:szCs w:val="32"/>
          <w:shd w:val="clear" w:color="auto" w:fill="FFFFFF"/>
        </w:rPr>
        <w:t xml:space="preserve">   </w:t>
      </w:r>
      <w:r>
        <w:rPr>
          <w:rStyle w:val="aa"/>
          <w:rFonts w:ascii="Times New Roman" w:eastAsia="黑体" w:hAnsi="Times New Roman" w:cs="黑体" w:hint="eastAsia"/>
          <w:sz w:val="32"/>
          <w:szCs w:val="32"/>
          <w:shd w:val="clear" w:color="auto" w:fill="FFFFFF"/>
        </w:rPr>
        <w:t xml:space="preserve"> </w:t>
      </w:r>
      <w:r>
        <w:rPr>
          <w:rStyle w:val="aa"/>
          <w:rFonts w:ascii="Times New Roman" w:eastAsia="黑体" w:hAnsi="Times New Roman" w:cs="黑体" w:hint="eastAsia"/>
          <w:sz w:val="32"/>
          <w:szCs w:val="32"/>
          <w:shd w:val="clear" w:color="auto" w:fill="FFFFFF"/>
        </w:rPr>
        <w:t>六、专业名词解释</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（一）财政拨款收入：</w:t>
      </w:r>
      <w:r>
        <w:rPr>
          <w:rFonts w:ascii="Times New Roman" w:eastAsia="方正仿宋_GBK" w:hAnsi="Times New Roman" w:cs="方正仿宋_GBK" w:hint="eastAsia"/>
          <w:sz w:val="32"/>
          <w:szCs w:val="32"/>
          <w:shd w:val="clear" w:color="auto" w:fill="FFFFFF"/>
        </w:rPr>
        <w:t>指本年度从本级财政部门取得的财政拨款，包括一般公共预算财政拨款和政府性基金预算财政拨款。</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（二）事业收入：</w:t>
      </w:r>
      <w:r>
        <w:rPr>
          <w:rFonts w:ascii="Times New Roman" w:eastAsia="方正仿宋_GBK" w:hAnsi="Times New Roman"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（三）经营收入：</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指事业单位在专业业务活动及其辅助活动之外开展非独立核算经营活动取得的现金流入。</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（四）其他收入：</w:t>
      </w:r>
      <w:r>
        <w:rPr>
          <w:rFonts w:ascii="Times New Roman" w:eastAsia="方正仿宋_GBK" w:hAnsi="Times New Roman"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（五）使用非财政拨款结余（含专用结余）：</w:t>
      </w:r>
      <w:r>
        <w:rPr>
          <w:rFonts w:ascii="Times New Roman" w:eastAsia="方正仿宋_GBK" w:hAnsi="Times New Roman"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（六）年初结转和结余：</w:t>
      </w:r>
      <w:r>
        <w:rPr>
          <w:rFonts w:ascii="Times New Roman" w:eastAsia="方正仿宋_GBK" w:hAnsi="Times New Roman" w:cs="方正仿宋_GBK" w:hint="eastAsia"/>
          <w:sz w:val="32"/>
          <w:szCs w:val="32"/>
          <w:shd w:val="clear" w:color="auto" w:fill="FFFFFF"/>
        </w:rPr>
        <w:t>指单位上年结转本年使用的基本支出结转、项目支出结转和结余、经营结余。</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lastRenderedPageBreak/>
        <w:t>（七）结余分配：</w:t>
      </w:r>
      <w:r>
        <w:rPr>
          <w:rFonts w:ascii="Times New Roman" w:eastAsia="方正仿宋_GBK" w:hAnsi="Times New Roman" w:cs="方正仿宋_GBK" w:hint="eastAsia"/>
          <w:sz w:val="32"/>
          <w:szCs w:val="32"/>
          <w:shd w:val="clear" w:color="auto" w:fill="FFFFFF"/>
        </w:rPr>
        <w:t>指单位按照国家有关规定，缴纳所得税、提取专用基金、转入非财政拨款结余等当年结余的分配情况。</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（八）年末结转和结余：</w:t>
      </w:r>
      <w:r>
        <w:rPr>
          <w:rFonts w:ascii="Times New Roman" w:eastAsia="方正仿宋_GBK" w:hAnsi="Times New Roman" w:cs="方正仿宋_GBK" w:hint="eastAsia"/>
          <w:sz w:val="32"/>
          <w:szCs w:val="32"/>
          <w:shd w:val="clear" w:color="auto" w:fill="FFFFFF"/>
        </w:rPr>
        <w:t>指单位结转下年的基本支出结转、项目支出结转和结余、经营结余。</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（九）基本支出：</w:t>
      </w:r>
      <w:r>
        <w:rPr>
          <w:rFonts w:ascii="Times New Roman" w:eastAsia="方正仿宋_GBK" w:hAnsi="Times New Roman"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（十）项目支出：</w:t>
      </w:r>
      <w:r>
        <w:rPr>
          <w:rFonts w:ascii="Times New Roman" w:eastAsia="方正仿宋_GBK" w:hAnsi="Times New Roman" w:cs="方正仿宋_GBK" w:hint="eastAsia"/>
          <w:sz w:val="32"/>
          <w:szCs w:val="32"/>
          <w:shd w:val="clear" w:color="auto" w:fill="FFFFFF"/>
        </w:rPr>
        <w:t>指在基本支出之外为完成特定行政任务和事业发展目标所发生的支出。</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（十一）经营支出：</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指事业单位在专业业务活动及其辅助活动之外开展非独立核算经营活动发生的支出。</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（十二）“三公”经费：</w:t>
      </w:r>
      <w:r>
        <w:rPr>
          <w:rFonts w:ascii="Times New Roman" w:eastAsia="方正仿宋_GBK" w:hAnsi="Times New Roman"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单位公务用车购置支出（</w:t>
      </w:r>
      <w:proofErr w:type="gramStart"/>
      <w:r>
        <w:rPr>
          <w:rFonts w:ascii="Times New Roman" w:eastAsia="方正仿宋_GBK" w:hAnsi="Times New Roman" w:cs="方正仿宋_GBK" w:hint="eastAsia"/>
          <w:sz w:val="32"/>
          <w:szCs w:val="32"/>
          <w:shd w:val="clear" w:color="auto" w:fill="FFFFFF"/>
        </w:rPr>
        <w:t>含车辆</w:t>
      </w:r>
      <w:proofErr w:type="gramEnd"/>
      <w:r>
        <w:rPr>
          <w:rFonts w:ascii="Times New Roman" w:eastAsia="方正仿宋_GBK" w:hAnsi="Times New Roman"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单位按规定开支的各类公务接待（含外宾接待）支出。</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lastRenderedPageBreak/>
        <w:t>（十三）机关运行经费：</w:t>
      </w:r>
      <w:r>
        <w:rPr>
          <w:rFonts w:ascii="Times New Roman" w:eastAsia="方正仿宋_GBK" w:hAnsi="Times New Roman"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（十四）工资福利支出（支出经济分类科目类级）：</w:t>
      </w:r>
      <w:r>
        <w:rPr>
          <w:rFonts w:ascii="Times New Roman" w:eastAsia="方正仿宋_GBK" w:hAnsi="Times New Roman" w:cs="方正仿宋_GBK" w:hint="eastAsia"/>
          <w:sz w:val="32"/>
          <w:szCs w:val="32"/>
          <w:shd w:val="clear" w:color="auto" w:fill="FFFFFF"/>
        </w:rPr>
        <w:t>反映单位开支的在职职工和编制</w:t>
      </w:r>
      <w:proofErr w:type="gramStart"/>
      <w:r>
        <w:rPr>
          <w:rFonts w:ascii="Times New Roman" w:eastAsia="方正仿宋_GBK" w:hAnsi="Times New Roman" w:cs="方正仿宋_GBK" w:hint="eastAsia"/>
          <w:sz w:val="32"/>
          <w:szCs w:val="32"/>
          <w:shd w:val="clear" w:color="auto" w:fill="FFFFFF"/>
        </w:rPr>
        <w:t>外长期</w:t>
      </w:r>
      <w:proofErr w:type="gramEnd"/>
      <w:r>
        <w:rPr>
          <w:rFonts w:ascii="Times New Roman" w:eastAsia="方正仿宋_GBK" w:hAnsi="Times New Roman" w:cs="方正仿宋_GBK" w:hint="eastAsia"/>
          <w:sz w:val="32"/>
          <w:szCs w:val="32"/>
          <w:shd w:val="clear" w:color="auto" w:fill="FFFFFF"/>
        </w:rPr>
        <w:t>聘用人员的各类劳动报酬，以及为上述人员缴纳的各项社会保险费等。</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（十五）商品和服务支出（支出经济分类科目类级）：</w:t>
      </w:r>
      <w:r>
        <w:rPr>
          <w:rFonts w:ascii="Times New Roman" w:eastAsia="方正仿宋_GBK" w:hAnsi="Times New Roman" w:cs="方正仿宋_GBK" w:hint="eastAsia"/>
          <w:sz w:val="32"/>
          <w:szCs w:val="32"/>
          <w:shd w:val="clear" w:color="auto" w:fill="FFFFFF"/>
        </w:rPr>
        <w:t>反映单位购买商品和服务的支出（不包括用于购置固定资产的支出、战略性和应急储备支出）。</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（十六）对个人和家庭的补助（支出经济分类科目类级）：</w:t>
      </w:r>
      <w:r>
        <w:rPr>
          <w:rFonts w:ascii="Times New Roman" w:eastAsia="方正仿宋_GBK" w:hAnsi="Times New Roman" w:cs="方正仿宋_GBK" w:hint="eastAsia"/>
          <w:sz w:val="32"/>
          <w:szCs w:val="32"/>
          <w:shd w:val="clear" w:color="auto" w:fill="FFFFFF"/>
        </w:rPr>
        <w:t>反映用于对个人和家庭的补助支出。</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（十七）其他资本性支出（支出经济分类科目类级）：</w:t>
      </w:r>
      <w:r>
        <w:rPr>
          <w:rFonts w:ascii="Times New Roman" w:eastAsia="方正仿宋_GBK" w:hAnsi="Times New Roman" w:cs="方正仿宋_GBK" w:hint="eastAsia"/>
          <w:sz w:val="32"/>
          <w:szCs w:val="32"/>
          <w:shd w:val="clear" w:color="auto" w:fill="FFFFFF"/>
        </w:rPr>
        <w:t>反映</w:t>
      </w:r>
      <w:proofErr w:type="gramStart"/>
      <w:r>
        <w:rPr>
          <w:rFonts w:ascii="Times New Roman" w:eastAsia="方正仿宋_GBK" w:hAnsi="Times New Roman" w:cs="方正仿宋_GBK" w:hint="eastAsia"/>
          <w:sz w:val="32"/>
          <w:szCs w:val="32"/>
          <w:shd w:val="clear" w:color="auto" w:fill="FFFFFF"/>
        </w:rPr>
        <w:t>非各级</w:t>
      </w:r>
      <w:proofErr w:type="gramEnd"/>
      <w:r>
        <w:rPr>
          <w:rFonts w:ascii="Times New Roman" w:eastAsia="方正仿宋_GBK" w:hAnsi="Times New Roman"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4E37C0" w:rsidRDefault="000F2113">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黑体" w:hAnsi="Times New Roman" w:cs="黑体" w:hint="eastAsia"/>
          <w:sz w:val="32"/>
          <w:szCs w:val="32"/>
          <w:shd w:val="clear" w:color="auto" w:fill="FFFFFF"/>
        </w:rPr>
        <w:t>七、决算公开联系方式及信息反馈渠道</w:t>
      </w:r>
    </w:p>
    <w:p w:rsidR="004E37C0" w:rsidRPr="00CE7A31" w:rsidRDefault="000F2113" w:rsidP="00CE7A31">
      <w:pPr>
        <w:pStyle w:val="Char0"/>
        <w:spacing w:before="0" w:beforeAutospacing="0" w:after="0" w:afterAutospacing="0" w:line="560" w:lineRule="exact"/>
        <w:rPr>
          <w:rStyle w:val="aa"/>
          <w:rFonts w:ascii="Times New Roman" w:eastAsia="方正仿宋_GBK" w:hAnsi="Times New Roman" w:cs="方正仿宋_GBK"/>
          <w:b w:val="0"/>
          <w:sz w:val="32"/>
          <w:szCs w:val="32"/>
        </w:rPr>
        <w:sectPr w:rsidR="004E37C0" w:rsidRPr="00CE7A31" w:rsidSect="008630E1">
          <w:footerReference w:type="default" r:id="rId8"/>
          <w:type w:val="continuous"/>
          <w:pgSz w:w="11915" w:h="16840"/>
          <w:pgMar w:top="1440" w:right="1800" w:bottom="1440" w:left="1800" w:header="851" w:footer="992" w:gutter="0"/>
          <w:pgNumType w:fmt="numberInDash"/>
          <w:cols w:space="720"/>
          <w:docGrid w:type="lines" w:linePitch="312"/>
        </w:sectPr>
      </w:pPr>
      <w:r>
        <w:rPr>
          <w:rFonts w:ascii="Times New Roman" w:eastAsia="方正仿宋_GBK" w:hAnsi="Times New Roman" w:cs="方正仿宋_GBK" w:hint="eastAsia"/>
          <w:sz w:val="32"/>
          <w:szCs w:val="32"/>
          <w:shd w:val="clear" w:color="auto" w:fill="FFFFFF"/>
        </w:rPr>
        <w:t>本单位决算公开信息反馈和联系方式：江枝蔚</w:t>
      </w:r>
      <w:r w:rsidR="00CE7A31">
        <w:rPr>
          <w:rFonts w:ascii="Times New Roman" w:eastAsia="方正仿宋_GBK" w:hAnsi="Times New Roman" w:cs="方正仿宋_GBK" w:hint="eastAsia"/>
          <w:sz w:val="32"/>
          <w:szCs w:val="32"/>
          <w:shd w:val="clear" w:color="auto" w:fill="FFFFFF"/>
        </w:rPr>
        <w:t>；</w:t>
      </w:r>
      <w:r>
        <w:rPr>
          <w:rFonts w:ascii="Times New Roman" w:eastAsia="方正仿宋_GBK" w:hAnsi="Times New Roman" w:cs="方正仿宋_GBK" w:hint="eastAsia"/>
          <w:sz w:val="32"/>
          <w:szCs w:val="32"/>
          <w:shd w:val="clear" w:color="auto" w:fill="FFFFFF"/>
        </w:rPr>
        <w:t>023-70755137</w:t>
      </w:r>
    </w:p>
    <w:p w:rsidR="004E37C0" w:rsidRDefault="004E37C0">
      <w:pPr>
        <w:pStyle w:val="Char0"/>
        <w:spacing w:before="0" w:beforeAutospacing="0" w:after="0" w:afterAutospacing="0" w:line="560" w:lineRule="exact"/>
        <w:rPr>
          <w:rFonts w:ascii="Times New Roman" w:eastAsia="方正仿宋_GBK" w:hAnsi="Times New Roman" w:cs="方正仿宋_GBK"/>
          <w:color w:val="FF0000"/>
          <w:sz w:val="32"/>
          <w:szCs w:val="32"/>
          <w:shd w:val="clear" w:color="auto" w:fill="FFFFFF"/>
        </w:r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3243"/>
        <w:gridCol w:w="2493"/>
        <w:gridCol w:w="3043"/>
        <w:gridCol w:w="1557"/>
      </w:tblGrid>
      <w:tr w:rsidR="004E37C0">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收入支出决算总表</w:t>
            </w:r>
          </w:p>
        </w:tc>
      </w:tr>
      <w:tr w:rsidR="008630E1" w:rsidTr="006A11C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8630E1" w:rsidRDefault="008630E1">
            <w:pPr>
              <w:spacing w:line="560" w:lineRule="exact"/>
              <w:jc w:val="right"/>
              <w:rPr>
                <w:rFonts w:ascii="Times New Roman" w:hAnsi="Times New Roman" w:cs="Arial" w:hint="default"/>
                <w:color w:val="000000"/>
                <w:sz w:val="20"/>
                <w:szCs w:val="20"/>
              </w:rPr>
            </w:pPr>
          </w:p>
        </w:tc>
        <w:tc>
          <w:tcPr>
            <w:tcW w:w="1" w:type="pct"/>
            <w:gridSpan w:val="2"/>
            <w:vMerge w:val="restart"/>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01</w:t>
            </w:r>
            <w:r>
              <w:rPr>
                <w:rFonts w:ascii="Times New Roman" w:hAnsi="Times New Roman" w:cs="宋体"/>
                <w:color w:val="000000"/>
                <w:sz w:val="20"/>
                <w:szCs w:val="20"/>
              </w:rPr>
              <w:t>表</w:t>
            </w:r>
          </w:p>
          <w:p w:rsidR="008630E1" w:rsidRDefault="008630E1" w:rsidP="006A11C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8630E1" w:rsidTr="008630E1">
        <w:trPr>
          <w:trHeight w:val="232"/>
        </w:trPr>
        <w:tc>
          <w:tcPr>
            <w:tcW w:w="2670" w:type="pct"/>
            <w:gridSpan w:val="2"/>
            <w:tcBorders>
              <w:top w:val="nil"/>
              <w:left w:val="nil"/>
              <w:bottom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Arial" w:hint="default"/>
                <w:color w:val="000000"/>
                <w:sz w:val="22"/>
                <w:szCs w:val="22"/>
              </w:rPr>
            </w:pPr>
            <w:r>
              <w:rPr>
                <w:rFonts w:ascii="Times New Roman" w:hAnsi="Times New Roman" w:cs="宋体"/>
                <w:sz w:val="20"/>
                <w:szCs w:val="20"/>
              </w:rPr>
              <w:t>单位：</w:t>
            </w:r>
            <w:r>
              <w:rPr>
                <w:rFonts w:ascii="Times New Roman" w:hAnsi="Times New Roman"/>
                <w:sz w:val="20"/>
              </w:rPr>
              <w:t>丰都县矫正帮教管理服务中心</w:t>
            </w:r>
          </w:p>
        </w:tc>
        <w:tc>
          <w:tcPr>
            <w:tcW w:w="2330" w:type="pct"/>
            <w:gridSpan w:val="2"/>
            <w:vMerge/>
            <w:tcBorders>
              <w:left w:val="nil"/>
              <w:bottom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p>
        </w:tc>
      </w:tr>
      <w:tr w:rsidR="004E37C0" w:rsidTr="008630E1">
        <w:trPr>
          <w:trHeight w:val="243"/>
        </w:trPr>
        <w:tc>
          <w:tcPr>
            <w:tcW w:w="267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收入</w:t>
            </w:r>
          </w:p>
        </w:tc>
        <w:tc>
          <w:tcPr>
            <w:tcW w:w="2330"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支出</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118.54</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一、一般公共服务支出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二、政府性基金预算财政拨款收入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二、外交支出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三、国有资本经营预算财政拨款收入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四、上级补助收入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四、公共安全支出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91.51</w:t>
            </w: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五、事业收入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五、教育支出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六、经营收入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六、科学技术支出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七、附属单位上缴收入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七、文化旅游体育与传媒支出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八、其他收入</w:t>
            </w:r>
          </w:p>
        </w:tc>
        <w:tc>
          <w:tcPr>
            <w:tcW w:w="1101" w:type="pct"/>
            <w:tcBorders>
              <w:top w:val="nil"/>
              <w:left w:val="nil"/>
              <w:bottom w:val="nil"/>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八、社会保障和就业支出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九、卫生健康支出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十、节能环保支出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十一、城乡社区支出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十二、农林水支出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十三、交通运输支出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十四、资源勘探工业信息等支出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十五、商业服务业等支出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十六、金融支出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十七、援助其他地区支出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90"/>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十八、自然资源海洋气象等支出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十九、住房保障支出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二十、粮油物资储备支出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二十一、国有资本经营预算支出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二十二、灾害防治及应急管理支出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二十三、其他支出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二十四、债务还本支出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二十五、债务付息支出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wordWrap w:val="0"/>
              <w:spacing w:line="56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二十六、抗</w:t>
            </w:r>
            <w:proofErr w:type="gramStart"/>
            <w:r>
              <w:rPr>
                <w:rFonts w:ascii="Times New Roman" w:hAnsi="Times New Roman" w:cs="宋体"/>
                <w:b/>
                <w:bCs/>
                <w:color w:val="000000"/>
                <w:sz w:val="20"/>
                <w:szCs w:val="20"/>
              </w:rPr>
              <w:t>疫</w:t>
            </w:r>
            <w:proofErr w:type="gramEnd"/>
            <w:r>
              <w:rPr>
                <w:rFonts w:ascii="Times New Roman" w:hAnsi="Times New Roman" w:cs="宋体"/>
                <w:b/>
                <w:bCs/>
                <w:color w:val="000000"/>
                <w:sz w:val="20"/>
                <w:szCs w:val="20"/>
              </w:rPr>
              <w:t>特别国债安排的支出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本年收入合计</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118.54</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本年支出合计</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118.54</w:t>
            </w: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使用非财政拨款结余（含专用结余）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结余分配</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年初结转和结余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年末结转和结余</w:t>
            </w:r>
          </w:p>
        </w:tc>
        <w:tc>
          <w:tcPr>
            <w:tcW w:w="85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37C0" w:rsidTr="008630E1">
        <w:trPr>
          <w:trHeight w:val="25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118.54</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85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118.54</w:t>
            </w:r>
            <w:r>
              <w:rPr>
                <w:rFonts w:ascii="Times New Roman" w:hAnsi="Times New Roman"/>
                <w:color w:val="000000"/>
                <w:sz w:val="20"/>
              </w:rPr>
              <w:t xml:space="preserve"> </w:t>
            </w:r>
          </w:p>
        </w:tc>
      </w:tr>
    </w:tbl>
    <w:p w:rsidR="004E37C0" w:rsidRDefault="004E37C0">
      <w:pPr>
        <w:spacing w:line="560" w:lineRule="exact"/>
        <w:rPr>
          <w:rFonts w:ascii="Times New Roman" w:hAnsi="Times New Roman" w:cs="宋体" w:hint="default"/>
          <w:sz w:val="21"/>
          <w:szCs w:val="21"/>
        </w:rPr>
      </w:pPr>
    </w:p>
    <w:p w:rsidR="004E37C0" w:rsidRDefault="000F2113">
      <w:pPr>
        <w:spacing w:line="560" w:lineRule="exact"/>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本表反映单位本年度的总收支和年末结转结余情况。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002"/>
        <w:gridCol w:w="2046"/>
        <w:gridCol w:w="1109"/>
        <w:gridCol w:w="1016"/>
        <w:gridCol w:w="881"/>
        <w:gridCol w:w="1007"/>
        <w:gridCol w:w="1024"/>
        <w:gridCol w:w="907"/>
        <w:gridCol w:w="946"/>
        <w:gridCol w:w="935"/>
      </w:tblGrid>
      <w:tr w:rsidR="004E37C0">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收入决算表</w:t>
            </w:r>
          </w:p>
        </w:tc>
      </w:tr>
      <w:tr w:rsidR="008630E1" w:rsidTr="00FA340A">
        <w:trPr>
          <w:trHeight w:val="1135"/>
        </w:trPr>
        <w:tc>
          <w:tcPr>
            <w:tcW w:w="1912" w:type="pct"/>
            <w:gridSpan w:val="3"/>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sz w:val="20"/>
              </w:rPr>
              <w:t>丰都县矫正帮教管理服务中心</w:t>
            </w:r>
          </w:p>
        </w:tc>
        <w:tc>
          <w:tcPr>
            <w:tcW w:w="1" w:type="pct"/>
            <w:gridSpan w:val="7"/>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02</w:t>
            </w:r>
            <w:r>
              <w:rPr>
                <w:rFonts w:ascii="Times New Roman" w:hAnsi="Times New Roman" w:cs="宋体"/>
                <w:color w:val="000000"/>
                <w:sz w:val="20"/>
                <w:szCs w:val="20"/>
              </w:rPr>
              <w:t>表</w:t>
            </w:r>
          </w:p>
          <w:p w:rsidR="008630E1" w:rsidRDefault="008630E1" w:rsidP="00FA340A">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4E37C0" w:rsidTr="008630E1">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附属单位上缴收入</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其他收入</w:t>
            </w:r>
          </w:p>
        </w:tc>
      </w:tr>
      <w:tr w:rsidR="004E37C0" w:rsidTr="008630E1">
        <w:trPr>
          <w:trHeight w:val="560"/>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小计</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118.54</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118.54</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lastRenderedPageBreak/>
              <w:t>2040650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91.51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91.51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E37C0" w:rsidRDefault="000F2113">
      <w:pPr>
        <w:spacing w:line="560" w:lineRule="exact"/>
        <w:ind w:left="600" w:hangingChars="300" w:hanging="600"/>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本表反映单位本年度取得的各项收入情况。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4E37C0" w:rsidRDefault="000F2113">
      <w:pPr>
        <w:spacing w:line="560" w:lineRule="exact"/>
        <w:rPr>
          <w:rFonts w:ascii="Times New Roman" w:hAnsi="Times New Roman" w:cs="宋体" w:hint="default"/>
          <w:sz w:val="20"/>
          <w:szCs w:val="20"/>
        </w:rPr>
      </w:pPr>
      <w:r>
        <w:rPr>
          <w:rFonts w:ascii="Times New Roman" w:hAnsi="Times New Roman"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905"/>
        <w:gridCol w:w="2527"/>
        <w:gridCol w:w="1290"/>
        <w:gridCol w:w="1236"/>
        <w:gridCol w:w="1137"/>
        <w:gridCol w:w="1092"/>
        <w:gridCol w:w="1186"/>
        <w:gridCol w:w="1373"/>
      </w:tblGrid>
      <w:tr w:rsidR="004E37C0">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支出决算表</w:t>
            </w:r>
          </w:p>
        </w:tc>
      </w:tr>
      <w:tr w:rsidR="008630E1" w:rsidTr="00907A84">
        <w:trPr>
          <w:trHeight w:val="1135"/>
        </w:trPr>
        <w:tc>
          <w:tcPr>
            <w:tcW w:w="2197" w:type="pct"/>
            <w:gridSpan w:val="3"/>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丰都县矫正帮教管理服务中心</w:t>
            </w:r>
            <w:r>
              <w:rPr>
                <w:rFonts w:ascii="Times New Roman" w:hAnsi="Times New Roman"/>
                <w:color w:val="000000"/>
                <w:sz w:val="20"/>
              </w:rPr>
              <w:t xml:space="preserve"> </w:t>
            </w:r>
          </w:p>
        </w:tc>
        <w:tc>
          <w:tcPr>
            <w:tcW w:w="1" w:type="pct"/>
            <w:gridSpan w:val="5"/>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03</w:t>
            </w:r>
            <w:r>
              <w:rPr>
                <w:rFonts w:ascii="Times New Roman" w:hAnsi="Times New Roman" w:cs="宋体"/>
                <w:color w:val="000000"/>
                <w:sz w:val="20"/>
                <w:szCs w:val="20"/>
              </w:rPr>
              <w:t>表</w:t>
            </w:r>
          </w:p>
          <w:p w:rsidR="008630E1" w:rsidRDefault="008630E1" w:rsidP="00907A84">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4E37C0" w:rsidTr="008630E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经营支出</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对附属单位补助支出</w:t>
            </w:r>
          </w:p>
        </w:tc>
      </w:tr>
      <w:tr w:rsidR="004E37C0" w:rsidTr="008630E1">
        <w:trPr>
          <w:trHeight w:val="560"/>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118.54</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118.54</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91.51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91.51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E37C0" w:rsidRDefault="000F2113">
      <w:pPr>
        <w:spacing w:line="560" w:lineRule="exact"/>
        <w:rPr>
          <w:rFonts w:ascii="Times New Roman" w:hAnsi="Times New Roman" w:cs="宋体" w:hint="default"/>
          <w:sz w:val="21"/>
          <w:szCs w:val="21"/>
        </w:rPr>
      </w:pPr>
      <w:r>
        <w:rPr>
          <w:rFonts w:ascii="Times New Roman" w:hAnsi="Times New Roman" w:cs="宋体"/>
          <w:sz w:val="20"/>
          <w:szCs w:val="20"/>
        </w:rPr>
        <w:lastRenderedPageBreak/>
        <w:t>备注：</w:t>
      </w:r>
      <w:r>
        <w:rPr>
          <w:rFonts w:ascii="Times New Roman" w:hAnsi="Times New Roman" w:cs="宋体"/>
          <w:sz w:val="20"/>
          <w:szCs w:val="20"/>
        </w:rPr>
        <w:t>1.</w:t>
      </w:r>
      <w:r>
        <w:rPr>
          <w:rFonts w:ascii="Times New Roman" w:hAnsi="Times New Roman" w:cs="宋体"/>
          <w:sz w:val="20"/>
          <w:szCs w:val="20"/>
        </w:rPr>
        <w:t>本表反映单位本年度各项支出情况。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p>
    <w:p w:rsidR="004E37C0" w:rsidRDefault="004E37C0">
      <w:pPr>
        <w:spacing w:line="560" w:lineRule="exact"/>
        <w:rPr>
          <w:rFonts w:ascii="Times New Roman" w:hAnsi="Times New Roman" w:cs="宋体" w:hint="default"/>
          <w:sz w:val="21"/>
          <w:szCs w:val="21"/>
        </w:rPr>
      </w:pPr>
    </w:p>
    <w:tbl>
      <w:tblPr>
        <w:tblW w:w="4790" w:type="pct"/>
        <w:tblCellMar>
          <w:left w:w="0" w:type="dxa"/>
          <w:right w:w="0" w:type="dxa"/>
        </w:tblCellMar>
        <w:tblLook w:val="04A0" w:firstRow="1" w:lastRow="0" w:firstColumn="1" w:lastColumn="0" w:noHBand="0" w:noVBand="1"/>
      </w:tblPr>
      <w:tblGrid>
        <w:gridCol w:w="2560"/>
        <w:gridCol w:w="869"/>
        <w:gridCol w:w="2741"/>
        <w:gridCol w:w="990"/>
        <w:gridCol w:w="990"/>
        <w:gridCol w:w="990"/>
        <w:gridCol w:w="1155"/>
      </w:tblGrid>
      <w:tr w:rsidR="004E37C0">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财政拨款收入支出决算总表</w:t>
            </w:r>
          </w:p>
        </w:tc>
      </w:tr>
      <w:tr w:rsidR="008630E1" w:rsidTr="00FE1938">
        <w:trPr>
          <w:trHeight w:val="1135"/>
        </w:trPr>
        <w:tc>
          <w:tcPr>
            <w:tcW w:w="2612" w:type="pct"/>
            <w:gridSpan w:val="3"/>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丰都县矫正帮教管理服务中心</w:t>
            </w:r>
          </w:p>
        </w:tc>
        <w:tc>
          <w:tcPr>
            <w:tcW w:w="1" w:type="pct"/>
            <w:gridSpan w:val="4"/>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04</w:t>
            </w:r>
            <w:r>
              <w:rPr>
                <w:rFonts w:ascii="Times New Roman" w:hAnsi="Times New Roman" w:cs="宋体"/>
                <w:color w:val="000000"/>
                <w:sz w:val="20"/>
                <w:szCs w:val="20"/>
              </w:rPr>
              <w:t>表</w:t>
            </w:r>
          </w:p>
          <w:p w:rsidR="008630E1" w:rsidRDefault="008630E1" w:rsidP="00FE1938">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4E37C0" w:rsidTr="008630E1">
        <w:trPr>
          <w:trHeight w:val="90"/>
        </w:trPr>
        <w:tc>
          <w:tcPr>
            <w:tcW w:w="166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收</w:t>
            </w:r>
            <w:r>
              <w:rPr>
                <w:rFonts w:ascii="Times New Roman" w:hAnsi="Times New Roman" w:cs="宋体"/>
                <w:b/>
                <w:color w:val="000000"/>
                <w:sz w:val="18"/>
                <w:szCs w:val="18"/>
              </w:rPr>
              <w:t xml:space="preserve">     </w:t>
            </w:r>
            <w:r>
              <w:rPr>
                <w:rFonts w:ascii="Times New Roman" w:hAnsi="Times New Roman" w:cs="宋体"/>
                <w:b/>
                <w:color w:val="000000"/>
                <w:sz w:val="18"/>
                <w:szCs w:val="18"/>
              </w:rPr>
              <w:t>入</w:t>
            </w:r>
          </w:p>
        </w:tc>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支</w:t>
            </w:r>
            <w:r>
              <w:rPr>
                <w:rFonts w:ascii="Times New Roman" w:hAnsi="Times New Roman" w:cs="宋体"/>
                <w:b/>
                <w:color w:val="000000"/>
                <w:sz w:val="18"/>
                <w:szCs w:val="18"/>
              </w:rPr>
              <w:t xml:space="preserve">     </w:t>
            </w:r>
            <w:r>
              <w:rPr>
                <w:rFonts w:ascii="Times New Roman" w:hAnsi="Times New Roman" w:cs="宋体"/>
                <w:b/>
                <w:color w:val="000000"/>
                <w:sz w:val="18"/>
                <w:szCs w:val="18"/>
              </w:rPr>
              <w:t>出</w:t>
            </w:r>
          </w:p>
        </w:tc>
      </w:tr>
      <w:tr w:rsidR="004E37C0" w:rsidTr="008630E1">
        <w:trPr>
          <w:trHeight w:val="90"/>
        </w:trPr>
        <w:tc>
          <w:tcPr>
            <w:tcW w:w="12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项目</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c>
          <w:tcPr>
            <w:tcW w:w="13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功能分类科目</w:t>
            </w:r>
          </w:p>
        </w:tc>
        <w:tc>
          <w:tcPr>
            <w:tcW w:w="2003"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r>
      <w:tr w:rsidR="004E37C0" w:rsidTr="008630E1">
        <w:trPr>
          <w:trHeight w:val="90"/>
        </w:trPr>
        <w:tc>
          <w:tcPr>
            <w:tcW w:w="12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13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小计</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一般公共预算财政拨款</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政府性基金预算财政拨款</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国有资本经营预算财政拨款</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118.54</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一、一般公共服务支出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二、政府性基金预算财政拨款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二、外交支出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三、国有资本经营预算财政拨款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三、国防支出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四、公共安全支出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91.51</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91.51</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五、教育支出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六、科学技术支出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七、文化旅游体育与传媒支出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八、社会保障和就业支出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16.70</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16.70</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九、卫生健康支出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十、节能环保支出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十一、城乡社区支出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十二、农林水支出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十三、交通运输支出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十四、资源勘探工业信息等支出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十五、商业服务业等支出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十六、金融支出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十七、援助其他地区支出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十八、自然资源海洋气象等支出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十九、住房保障支出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二十、粮油物资储备支出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二十一、国有资本经营预算支出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二十二、灾害防治及应急管理支出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二十三、其他支出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二十四、债务还本支出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二十五、债务付息支出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二十六、抗</w:t>
            </w:r>
            <w:proofErr w:type="gramStart"/>
            <w:r>
              <w:rPr>
                <w:rFonts w:ascii="Times New Roman" w:hAnsi="Times New Roman" w:cs="宋体"/>
                <w:b/>
                <w:bCs/>
                <w:color w:val="000000"/>
                <w:sz w:val="18"/>
                <w:szCs w:val="18"/>
              </w:rPr>
              <w:t>疫</w:t>
            </w:r>
            <w:proofErr w:type="gramEnd"/>
            <w:r>
              <w:rPr>
                <w:rFonts w:ascii="Times New Roman" w:hAnsi="Times New Roman" w:cs="宋体"/>
                <w:b/>
                <w:bCs/>
                <w:color w:val="000000"/>
                <w:sz w:val="18"/>
                <w:szCs w:val="18"/>
              </w:rPr>
              <w:t>特别国债安排的支出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本年收入合计</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118.54</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本年支出合计</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118.54</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118.54</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年初财政拨款结转和结余</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年末财政拨款结转和结余</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一般公共预算财政拨款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hint="default"/>
                <w:color w:val="000000"/>
                <w:sz w:val="18"/>
                <w:szCs w:val="18"/>
              </w:rPr>
            </w:pP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政府性基金预算财政拨款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国有资本经营预算财政拨款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r>
      <w:tr w:rsidR="004E37C0" w:rsidTr="008630E1">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118.54</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118.54</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118.54</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E37C0" w:rsidRDefault="000F2113">
      <w:pPr>
        <w:spacing w:line="560" w:lineRule="exact"/>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本表反映单位本年度一般公共预算财政拨款、政府性基金预算财政拨款及国有资本经营预算财政拨款的总收支和年末结转结余情况。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915"/>
        <w:gridCol w:w="2856"/>
        <w:gridCol w:w="2319"/>
        <w:gridCol w:w="2313"/>
        <w:gridCol w:w="2343"/>
      </w:tblGrid>
      <w:tr w:rsidR="004E37C0">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一般公共预算财政拨款支出决算表</w:t>
            </w:r>
          </w:p>
        </w:tc>
      </w:tr>
      <w:tr w:rsidR="008630E1" w:rsidTr="00E61540">
        <w:trPr>
          <w:trHeight w:val="1135"/>
        </w:trPr>
        <w:tc>
          <w:tcPr>
            <w:tcW w:w="2834" w:type="pct"/>
            <w:gridSpan w:val="3"/>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丰都县矫正帮教管理服务中心</w:t>
            </w:r>
          </w:p>
        </w:tc>
        <w:tc>
          <w:tcPr>
            <w:tcW w:w="1" w:type="pct"/>
            <w:gridSpan w:val="2"/>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05</w:t>
            </w:r>
            <w:r>
              <w:rPr>
                <w:rFonts w:ascii="Times New Roman" w:hAnsi="Times New Roman" w:cs="宋体"/>
                <w:color w:val="000000"/>
                <w:sz w:val="20"/>
                <w:szCs w:val="20"/>
              </w:rPr>
              <w:t>表</w:t>
            </w:r>
          </w:p>
          <w:p w:rsidR="008630E1" w:rsidRDefault="008630E1" w:rsidP="00E61540">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4E37C0" w:rsidTr="008630E1">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3245"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4E37C0" w:rsidTr="008630E1">
        <w:trPr>
          <w:trHeight w:val="56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107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109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4E37C0" w:rsidTr="008630E1">
        <w:trPr>
          <w:trHeight w:val="56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09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09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118.54</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91.51</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91.51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91.51</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事业单位离退休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4.85</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37C0" w:rsidTr="008630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E37C0" w:rsidRDefault="000F2113" w:rsidP="008630E1">
      <w:pPr>
        <w:spacing w:line="560" w:lineRule="exact"/>
        <w:ind w:firstLineChars="300" w:firstLine="600"/>
        <w:rPr>
          <w:rFonts w:ascii="Times New Roman" w:hAnsi="Times New Roman" w:cs="宋体" w:hint="default"/>
          <w:sz w:val="21"/>
          <w:szCs w:val="21"/>
        </w:rPr>
      </w:pPr>
      <w:r>
        <w:rPr>
          <w:rFonts w:ascii="Times New Roman" w:hAnsi="Times New Roman" w:cs="宋体"/>
          <w:sz w:val="20"/>
          <w:szCs w:val="20"/>
        </w:rPr>
        <w:lastRenderedPageBreak/>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本表反映单位本年度一般公共预算财政拨款支出情况。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p>
    <w:tbl>
      <w:tblPr>
        <w:tblW w:w="4994" w:type="pct"/>
        <w:tblLayout w:type="fixed"/>
        <w:tblCellMar>
          <w:left w:w="0" w:type="dxa"/>
          <w:right w:w="0" w:type="dxa"/>
        </w:tblCellMar>
        <w:tblLook w:val="04A0" w:firstRow="1" w:lastRow="0" w:firstColumn="1" w:lastColumn="0" w:noHBand="0" w:noVBand="1"/>
      </w:tblPr>
      <w:tblGrid>
        <w:gridCol w:w="559"/>
        <w:gridCol w:w="1973"/>
        <w:gridCol w:w="1080"/>
        <w:gridCol w:w="612"/>
        <w:gridCol w:w="1425"/>
        <w:gridCol w:w="994"/>
        <w:gridCol w:w="612"/>
        <w:gridCol w:w="2428"/>
        <w:gridCol w:w="1050"/>
      </w:tblGrid>
      <w:tr w:rsidR="004E37C0">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一般公共预算财政拨款基本支出决算表</w:t>
            </w:r>
          </w:p>
        </w:tc>
      </w:tr>
      <w:tr w:rsidR="008630E1" w:rsidTr="003E166C">
        <w:trPr>
          <w:trHeight w:val="1135"/>
        </w:trPr>
        <w:tc>
          <w:tcPr>
            <w:tcW w:w="2632" w:type="pct"/>
            <w:gridSpan w:val="5"/>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丰都县矫正帮教管理服务中心</w:t>
            </w:r>
          </w:p>
        </w:tc>
        <w:tc>
          <w:tcPr>
            <w:tcW w:w="1" w:type="pct"/>
            <w:gridSpan w:val="4"/>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06</w:t>
            </w:r>
            <w:r>
              <w:rPr>
                <w:rFonts w:ascii="Times New Roman" w:hAnsi="Times New Roman" w:cs="宋体"/>
                <w:color w:val="000000"/>
                <w:sz w:val="20"/>
                <w:szCs w:val="20"/>
              </w:rPr>
              <w:t>表</w:t>
            </w:r>
          </w:p>
          <w:p w:rsidR="008630E1" w:rsidRDefault="008630E1" w:rsidP="003E166C">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4E37C0" w:rsidTr="008630E1">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人员经费</w:t>
            </w:r>
          </w:p>
        </w:tc>
        <w:tc>
          <w:tcPr>
            <w:tcW w:w="3317"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w:t>
            </w:r>
          </w:p>
        </w:tc>
      </w:tr>
      <w:tr w:rsidR="004E37C0" w:rsidTr="008630E1">
        <w:trPr>
          <w:trHeight w:val="560"/>
        </w:trPr>
        <w:tc>
          <w:tcPr>
            <w:tcW w:w="261"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91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66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48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r>
      <w:tr w:rsidR="004E37C0" w:rsidTr="008630E1">
        <w:trPr>
          <w:trHeight w:val="560"/>
        </w:trPr>
        <w:tc>
          <w:tcPr>
            <w:tcW w:w="261"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91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66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c>
          <w:tcPr>
            <w:tcW w:w="48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18"/>
                <w:szCs w:val="18"/>
              </w:rPr>
            </w:pP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房屋建筑物购建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30102</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办公设备购置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30203</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30106</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基础设施建设</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30107</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30205</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大型修缮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30108</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30206</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信息网络及软件购置更新</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物资储备</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30110</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30208</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土地补偿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安置补助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30112</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地上附着物和青苗补偿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拆迁补偿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lastRenderedPageBreak/>
              <w:t>30114</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30213</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公务用车购置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30199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其他交通工具购置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30215</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文物和陈列品购置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30216</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无形资产购置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30302</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30218</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30304</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资本金注入</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30305</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30225</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政府投资基金股权投资</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30306</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30226</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费用补贴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30307</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利息补贴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30308</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30228</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ind w:firstLineChars="100" w:firstLine="180"/>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其他资本性补助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30310</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30311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国家赔偿费用支出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30399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30240</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对民间非营利组织和群众性自治组织补贴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30299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经常性赠与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资本性赠与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r>
      <w:tr w:rsidR="004E37C0" w:rsidTr="008630E1">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30703</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r>
      <w:tr w:rsidR="004E37C0" w:rsidTr="008630E1">
        <w:trPr>
          <w:trHeight w:val="155"/>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4E37C0">
            <w:pPr>
              <w:spacing w:line="56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国外债务发行</w:t>
            </w:r>
            <w:r>
              <w:rPr>
                <w:rFonts w:ascii="Times New Roman" w:hAnsi="Times New Roman" w:cs="宋体"/>
                <w:color w:val="000000"/>
                <w:sz w:val="18"/>
                <w:szCs w:val="18"/>
              </w:rPr>
              <w:lastRenderedPageBreak/>
              <w:t>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color w:val="000000"/>
                <w:sz w:val="18"/>
              </w:rPr>
              <w:lastRenderedPageBreak/>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color w:val="000000"/>
                <w:sz w:val="18"/>
                <w:szCs w:val="18"/>
              </w:rPr>
            </w:pPr>
          </w:p>
        </w:tc>
      </w:tr>
      <w:tr w:rsidR="004E37C0" w:rsidTr="008630E1">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lastRenderedPageBreak/>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0F2113">
            <w:pPr>
              <w:spacing w:line="56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108.10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公用经费合计</w:t>
            </w:r>
          </w:p>
        </w:tc>
        <w:tc>
          <w:tcPr>
            <w:tcW w:w="48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spacing w:line="56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10.44</w:t>
            </w:r>
            <w:r>
              <w:rPr>
                <w:rFonts w:ascii="Times New Roman" w:hAnsi="Times New Roman"/>
                <w:color w:val="000000"/>
                <w:sz w:val="18"/>
              </w:rPr>
              <w:t xml:space="preserve"> </w:t>
            </w:r>
          </w:p>
        </w:tc>
      </w:tr>
    </w:tbl>
    <w:p w:rsidR="004E37C0" w:rsidRDefault="000F2113">
      <w:pPr>
        <w:spacing w:line="560" w:lineRule="exact"/>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本表反映单位本年度一般公共预算财政拨款基本支出明细情况。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923"/>
        <w:gridCol w:w="2521"/>
        <w:gridCol w:w="1195"/>
        <w:gridCol w:w="1193"/>
        <w:gridCol w:w="1193"/>
        <w:gridCol w:w="1193"/>
        <w:gridCol w:w="1238"/>
        <w:gridCol w:w="1290"/>
      </w:tblGrid>
      <w:tr w:rsidR="004E37C0">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政府性基金预算财政拨款收入支出决算表</w:t>
            </w:r>
          </w:p>
        </w:tc>
      </w:tr>
      <w:tr w:rsidR="008630E1" w:rsidTr="00AC6FC7">
        <w:trPr>
          <w:trHeight w:val="1135"/>
        </w:trPr>
        <w:tc>
          <w:tcPr>
            <w:tcW w:w="2159" w:type="pct"/>
            <w:gridSpan w:val="3"/>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丰都县矫正帮教管理服务中心</w:t>
            </w:r>
          </w:p>
        </w:tc>
        <w:tc>
          <w:tcPr>
            <w:tcW w:w="1" w:type="pct"/>
            <w:gridSpan w:val="5"/>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07</w:t>
            </w:r>
            <w:r>
              <w:rPr>
                <w:rFonts w:ascii="Times New Roman" w:hAnsi="Times New Roman" w:cs="宋体"/>
                <w:color w:val="000000"/>
                <w:sz w:val="20"/>
                <w:szCs w:val="20"/>
              </w:rPr>
              <w:t>表</w:t>
            </w:r>
          </w:p>
          <w:p w:rsidR="008630E1" w:rsidRDefault="008630E1" w:rsidP="00AC6FC7">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4E37C0" w:rsidTr="008630E1">
        <w:trPr>
          <w:trHeight w:val="339"/>
        </w:trPr>
        <w:tc>
          <w:tcPr>
            <w:tcW w:w="160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年末结转和结余</w:t>
            </w:r>
          </w:p>
        </w:tc>
      </w:tr>
      <w:tr w:rsidR="004E37C0" w:rsidTr="008630E1">
        <w:trPr>
          <w:trHeight w:val="560"/>
        </w:trPr>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645"/>
        </w:trPr>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339"/>
        </w:trPr>
        <w:tc>
          <w:tcPr>
            <w:tcW w:w="1603"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37C0" w:rsidTr="008630E1">
        <w:trPr>
          <w:trHeight w:val="349"/>
        </w:trPr>
        <w:tc>
          <w:tcPr>
            <w:tcW w:w="43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both"/>
              <w:textAlignment w:val="center"/>
              <w:rPr>
                <w:rFonts w:ascii="Times New Roman" w:hAnsi="Times New Roman"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both"/>
              <w:textAlignment w:val="center"/>
              <w:rPr>
                <w:rFonts w:ascii="Times New Roman" w:hAnsi="Times New Roman"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E37C0" w:rsidRDefault="000F2113">
      <w:pPr>
        <w:spacing w:line="560" w:lineRule="exact"/>
        <w:rPr>
          <w:rFonts w:ascii="Times New Roman" w:hAnsi="Times New Roman" w:cs="宋体" w:hint="default"/>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r>
      <w:r>
        <w:rPr>
          <w:rFonts w:ascii="Times New Roman" w:hAnsi="Times New Roman" w:cs="宋体"/>
          <w:sz w:val="20"/>
          <w:szCs w:val="20"/>
        </w:rPr>
        <w:br/>
      </w:r>
    </w:p>
    <w:p w:rsidR="004E37C0" w:rsidRDefault="000F2113">
      <w:pPr>
        <w:spacing w:line="560" w:lineRule="exact"/>
        <w:rPr>
          <w:rFonts w:ascii="Times New Roman" w:hAnsi="Times New Roman" w:cs="宋体" w:hint="default"/>
          <w:sz w:val="21"/>
          <w:szCs w:val="21"/>
        </w:rPr>
      </w:pPr>
      <w:r>
        <w:rPr>
          <w:rFonts w:ascii="Times New Roman" w:hAnsi="Times New Roman"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907"/>
        <w:gridCol w:w="2536"/>
        <w:gridCol w:w="2295"/>
        <w:gridCol w:w="133"/>
        <w:gridCol w:w="2429"/>
        <w:gridCol w:w="2446"/>
      </w:tblGrid>
      <w:tr w:rsidR="004E37C0">
        <w:trPr>
          <w:trHeight w:val="650"/>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国有资本经营预算财政拨款支出决算表</w:t>
            </w:r>
          </w:p>
        </w:tc>
      </w:tr>
      <w:tr w:rsidR="008630E1" w:rsidTr="00B57769">
        <w:trPr>
          <w:trHeight w:val="1135"/>
        </w:trPr>
        <w:tc>
          <w:tcPr>
            <w:tcW w:w="2670" w:type="pct"/>
            <w:gridSpan w:val="3"/>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丰都县矫正帮教管理服务中心</w:t>
            </w:r>
          </w:p>
        </w:tc>
        <w:tc>
          <w:tcPr>
            <w:tcW w:w="1" w:type="pct"/>
            <w:gridSpan w:val="3"/>
            <w:tcBorders>
              <w:top w:val="nil"/>
              <w:left w:val="nil"/>
              <w:right w:val="nil"/>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08</w:t>
            </w:r>
            <w:r>
              <w:rPr>
                <w:rFonts w:ascii="Times New Roman" w:hAnsi="Times New Roman" w:cs="宋体"/>
                <w:color w:val="000000"/>
                <w:sz w:val="20"/>
                <w:szCs w:val="20"/>
              </w:rPr>
              <w:t>表</w:t>
            </w:r>
          </w:p>
          <w:p w:rsidR="008630E1" w:rsidRDefault="008630E1" w:rsidP="00B57769">
            <w:pPr>
              <w:spacing w:line="5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4E37C0" w:rsidTr="008630E1">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3398"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4E37C0" w:rsidTr="008630E1">
        <w:trPr>
          <w:trHeight w:val="560"/>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113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4E37C0" w:rsidTr="008630E1">
        <w:trPr>
          <w:trHeight w:val="56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56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c>
          <w:tcPr>
            <w:tcW w:w="113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37C0" w:rsidRDefault="004E37C0">
            <w:pPr>
              <w:spacing w:line="560" w:lineRule="exact"/>
              <w:jc w:val="center"/>
              <w:rPr>
                <w:rFonts w:ascii="Times New Roman" w:hAnsi="Times New Roman" w:cs="宋体" w:hint="default"/>
                <w:b/>
                <w:color w:val="000000"/>
                <w:sz w:val="20"/>
                <w:szCs w:val="20"/>
              </w:rPr>
            </w:pPr>
          </w:p>
        </w:tc>
      </w:tr>
      <w:tr w:rsidR="004E37C0" w:rsidTr="008630E1">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b/>
                <w:color w:val="000000"/>
                <w:sz w:val="20"/>
                <w:szCs w:val="20"/>
              </w:rPr>
            </w:pPr>
          </w:p>
        </w:tc>
        <w:tc>
          <w:tcPr>
            <w:tcW w:w="11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37C0" w:rsidTr="008630E1">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textAlignment w:val="center"/>
              <w:rPr>
                <w:rFonts w:ascii="Times New Roman" w:hAnsi="Times New Roman"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textAlignment w:val="center"/>
              <w:rPr>
                <w:rFonts w:ascii="Times New Roman" w:hAnsi="Times New Roman"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4E37C0">
            <w:pPr>
              <w:spacing w:line="560" w:lineRule="exact"/>
              <w:jc w:val="right"/>
              <w:rPr>
                <w:rFonts w:ascii="Times New Roman" w:hAnsi="Times New Roman" w:hint="default"/>
                <w:b/>
                <w:color w:val="000000"/>
                <w:sz w:val="20"/>
                <w:szCs w:val="20"/>
              </w:rPr>
            </w:pPr>
          </w:p>
        </w:tc>
        <w:tc>
          <w:tcPr>
            <w:tcW w:w="11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37C0" w:rsidRDefault="000F2113">
            <w:pPr>
              <w:wordWrap w:val="0"/>
              <w:spacing w:line="56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E37C0" w:rsidRDefault="000F2113">
      <w:pPr>
        <w:spacing w:line="560" w:lineRule="exact"/>
        <w:rPr>
          <w:rFonts w:ascii="Times New Roman" w:hAnsi="Times New Roman" w:cs="宋体" w:hint="default"/>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r>
      <w:r>
        <w:rPr>
          <w:rFonts w:ascii="Times New Roman" w:hAnsi="Times New Roman" w:cs="宋体"/>
          <w:sz w:val="20"/>
          <w:szCs w:val="20"/>
        </w:rPr>
        <w:br/>
      </w:r>
    </w:p>
    <w:p w:rsidR="004E37C0" w:rsidRDefault="000F2113">
      <w:pPr>
        <w:spacing w:line="560" w:lineRule="exact"/>
        <w:rPr>
          <w:rFonts w:ascii="Times New Roman" w:hAnsi="Times New Roman" w:cs="宋体" w:hint="default"/>
          <w:sz w:val="21"/>
          <w:szCs w:val="21"/>
        </w:rPr>
      </w:pPr>
      <w:r>
        <w:rPr>
          <w:rFonts w:ascii="Times New Roman" w:hAnsi="Times New Roman"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2227"/>
        <w:gridCol w:w="1695"/>
        <w:gridCol w:w="1665"/>
        <w:gridCol w:w="2575"/>
        <w:gridCol w:w="1748"/>
      </w:tblGrid>
      <w:tr w:rsidR="004E37C0">
        <w:trPr>
          <w:trHeight w:val="343"/>
        </w:trPr>
        <w:tc>
          <w:tcPr>
            <w:tcW w:w="5000" w:type="pct"/>
            <w:gridSpan w:val="5"/>
            <w:shd w:val="clear" w:color="auto" w:fill="auto"/>
            <w:noWrap/>
            <w:tcMar>
              <w:top w:w="15" w:type="dxa"/>
              <w:left w:w="15" w:type="dxa"/>
              <w:right w:w="15" w:type="dxa"/>
            </w:tcMar>
            <w:vAlign w:val="bottom"/>
          </w:tcPr>
          <w:p w:rsidR="004E37C0" w:rsidRDefault="000F2113">
            <w:pPr>
              <w:spacing w:line="560" w:lineRule="exact"/>
              <w:jc w:val="center"/>
              <w:textAlignment w:val="bottom"/>
              <w:rPr>
                <w:rFonts w:ascii="Times New Roman" w:hAnsi="Times New Roman" w:cs="宋体" w:hint="default"/>
                <w:b/>
                <w:color w:val="000000"/>
                <w:kern w:val="2"/>
                <w:sz w:val="32"/>
                <w:szCs w:val="32"/>
              </w:rPr>
            </w:pPr>
            <w:r>
              <w:rPr>
                <w:rFonts w:ascii="Times New Roman" w:hAnsi="Times New Roman" w:cs="宋体"/>
                <w:b/>
                <w:color w:val="000000"/>
                <w:kern w:val="2"/>
                <w:sz w:val="32"/>
                <w:szCs w:val="32"/>
              </w:rPr>
              <w:lastRenderedPageBreak/>
              <w:t>机构运行信息表</w:t>
            </w:r>
          </w:p>
        </w:tc>
      </w:tr>
      <w:tr w:rsidR="008630E1" w:rsidTr="005963A2">
        <w:trPr>
          <w:trHeight w:val="244"/>
        </w:trPr>
        <w:tc>
          <w:tcPr>
            <w:tcW w:w="1124" w:type="pct"/>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kern w:val="2"/>
                <w:sz w:val="20"/>
                <w:szCs w:val="20"/>
              </w:rPr>
            </w:pPr>
          </w:p>
        </w:tc>
        <w:tc>
          <w:tcPr>
            <w:tcW w:w="854" w:type="pct"/>
            <w:shd w:val="clear" w:color="auto" w:fill="auto"/>
            <w:noWrap/>
            <w:tcMar>
              <w:top w:w="15" w:type="dxa"/>
              <w:left w:w="15" w:type="dxa"/>
              <w:right w:w="15" w:type="dxa"/>
            </w:tcMar>
            <w:vAlign w:val="bottom"/>
          </w:tcPr>
          <w:p w:rsidR="008630E1" w:rsidRDefault="008630E1">
            <w:pPr>
              <w:spacing w:line="560" w:lineRule="exact"/>
              <w:jc w:val="center"/>
              <w:rPr>
                <w:rFonts w:ascii="Times New Roman" w:hAnsi="Times New Roman" w:cs="宋体" w:hint="default"/>
                <w:color w:val="000000"/>
                <w:kern w:val="2"/>
                <w:sz w:val="20"/>
                <w:szCs w:val="20"/>
              </w:rPr>
            </w:pPr>
          </w:p>
        </w:tc>
        <w:tc>
          <w:tcPr>
            <w:tcW w:w="840" w:type="pct"/>
            <w:shd w:val="clear" w:color="auto" w:fill="auto"/>
            <w:noWrap/>
            <w:tcMar>
              <w:top w:w="15" w:type="dxa"/>
              <w:left w:w="15" w:type="dxa"/>
              <w:right w:w="15" w:type="dxa"/>
            </w:tcMar>
            <w:vAlign w:val="bottom"/>
          </w:tcPr>
          <w:p w:rsidR="008630E1" w:rsidRDefault="008630E1">
            <w:pPr>
              <w:spacing w:line="560" w:lineRule="exact"/>
              <w:jc w:val="right"/>
              <w:rPr>
                <w:rFonts w:ascii="Times New Roman" w:hAnsi="Times New Roman" w:cs="宋体" w:hint="default"/>
                <w:color w:val="000000"/>
                <w:kern w:val="2"/>
                <w:sz w:val="20"/>
                <w:szCs w:val="20"/>
              </w:rPr>
            </w:pPr>
          </w:p>
        </w:tc>
        <w:tc>
          <w:tcPr>
            <w:tcW w:w="1" w:type="pct"/>
            <w:gridSpan w:val="2"/>
            <w:vMerge w:val="restart"/>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公开</w:t>
            </w:r>
            <w:r>
              <w:rPr>
                <w:rFonts w:ascii="Times New Roman" w:hAnsi="Times New Roman" w:hint="default"/>
                <w:color w:val="000000"/>
                <w:kern w:val="2"/>
                <w:sz w:val="20"/>
                <w:szCs w:val="20"/>
              </w:rPr>
              <w:t>09</w:t>
            </w:r>
            <w:r>
              <w:rPr>
                <w:rFonts w:ascii="Times New Roman" w:hAnsi="Times New Roman" w:cs="宋体"/>
                <w:color w:val="000000"/>
                <w:kern w:val="2"/>
                <w:sz w:val="20"/>
                <w:szCs w:val="20"/>
              </w:rPr>
              <w:t>表</w:t>
            </w:r>
          </w:p>
          <w:p w:rsidR="008630E1" w:rsidRDefault="008630E1" w:rsidP="005963A2">
            <w:pPr>
              <w:spacing w:line="56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rsidR="008630E1" w:rsidTr="008630E1">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8630E1" w:rsidRDefault="008630E1">
            <w:pPr>
              <w:spacing w:line="560" w:lineRule="exact"/>
              <w:rPr>
                <w:rFonts w:ascii="Times New Roman" w:hAnsi="Times New Roman" w:cs="宋体" w:hint="default"/>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丰都县矫正帮教管理服务中心</w:t>
            </w:r>
          </w:p>
        </w:tc>
        <w:tc>
          <w:tcPr>
            <w:tcW w:w="840" w:type="pct"/>
            <w:tcBorders>
              <w:top w:val="nil"/>
              <w:left w:val="nil"/>
              <w:bottom w:val="single" w:sz="4" w:space="0" w:color="auto"/>
            </w:tcBorders>
            <w:shd w:val="clear" w:color="auto" w:fill="auto"/>
            <w:noWrap/>
            <w:tcMar>
              <w:top w:w="15" w:type="dxa"/>
              <w:left w:w="15" w:type="dxa"/>
              <w:right w:w="15" w:type="dxa"/>
            </w:tcMar>
            <w:vAlign w:val="bottom"/>
          </w:tcPr>
          <w:p w:rsidR="008630E1" w:rsidRDefault="008630E1">
            <w:pPr>
              <w:spacing w:line="560" w:lineRule="exact"/>
              <w:jc w:val="right"/>
              <w:rPr>
                <w:rFonts w:ascii="Times New Roman" w:hAnsi="Times New Roman" w:cs="宋体" w:hint="default"/>
                <w:color w:val="000000"/>
                <w:kern w:val="2"/>
                <w:sz w:val="20"/>
                <w:szCs w:val="20"/>
              </w:rPr>
            </w:pPr>
          </w:p>
        </w:tc>
        <w:tc>
          <w:tcPr>
            <w:tcW w:w="2181" w:type="pct"/>
            <w:gridSpan w:val="2"/>
            <w:vMerge/>
            <w:tcBorders>
              <w:bottom w:val="single" w:sz="4" w:space="0" w:color="auto"/>
            </w:tcBorders>
            <w:shd w:val="clear" w:color="auto" w:fill="auto"/>
            <w:noWrap/>
            <w:tcMar>
              <w:top w:w="15" w:type="dxa"/>
              <w:left w:w="15" w:type="dxa"/>
              <w:right w:w="15" w:type="dxa"/>
            </w:tcMar>
            <w:vAlign w:val="bottom"/>
          </w:tcPr>
          <w:p w:rsidR="008630E1" w:rsidRDefault="008630E1">
            <w:pPr>
              <w:spacing w:line="560" w:lineRule="exact"/>
              <w:jc w:val="right"/>
              <w:textAlignment w:val="bottom"/>
              <w:rPr>
                <w:rFonts w:ascii="Times New Roman" w:hAnsi="Times New Roman" w:cs="宋体" w:hint="default"/>
                <w:color w:val="000000"/>
                <w:kern w:val="2"/>
                <w:sz w:val="20"/>
                <w:szCs w:val="20"/>
              </w:rPr>
            </w:pPr>
          </w:p>
        </w:tc>
      </w:tr>
      <w:tr w:rsidR="004E37C0" w:rsidTr="008630E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kern w:val="2"/>
                <w:sz w:val="16"/>
                <w:szCs w:val="16"/>
              </w:rPr>
            </w:pPr>
            <w:bookmarkStart w:id="0" w:name="_GoBack" w:colFirst="0" w:colLast="3"/>
            <w:r>
              <w:rPr>
                <w:rFonts w:ascii="Times New Roman" w:hAnsi="Times New Roman" w:cs="宋体"/>
                <w:b/>
                <w:color w:val="000000"/>
                <w:kern w:val="2"/>
                <w:sz w:val="16"/>
                <w:szCs w:val="16"/>
              </w:rPr>
              <w:t>项</w:t>
            </w:r>
            <w:r>
              <w:rPr>
                <w:rFonts w:ascii="Times New Roman" w:hAnsi="Times New Roman" w:cs="宋体"/>
                <w:b/>
                <w:color w:val="000000"/>
                <w:kern w:val="2"/>
                <w:sz w:val="16"/>
                <w:szCs w:val="16"/>
              </w:rPr>
              <w:t xml:space="preserve">  </w:t>
            </w:r>
            <w:r>
              <w:rPr>
                <w:rFonts w:ascii="Times New Roman" w:hAnsi="Times New Roman" w:cs="宋体"/>
                <w:b/>
                <w:color w:val="000000"/>
                <w:kern w:val="2"/>
                <w:sz w:val="16"/>
                <w:szCs w:val="16"/>
              </w:rPr>
              <w:t>目</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项</w:t>
            </w:r>
            <w:r>
              <w:rPr>
                <w:rFonts w:ascii="Times New Roman" w:hAnsi="Times New Roman" w:cs="宋体"/>
                <w:b/>
                <w:color w:val="000000"/>
                <w:kern w:val="2"/>
                <w:sz w:val="16"/>
                <w:szCs w:val="16"/>
              </w:rPr>
              <w:t xml:space="preserve">  </w:t>
            </w:r>
            <w:r>
              <w:rPr>
                <w:rFonts w:ascii="Times New Roman" w:hAnsi="Times New Roman" w:cs="宋体"/>
                <w:b/>
                <w:color w:val="000000"/>
                <w:kern w:val="2"/>
                <w:sz w:val="16"/>
                <w:szCs w:val="16"/>
              </w:rPr>
              <w:t>目</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r>
      <w:tr w:rsidR="004E37C0" w:rsidTr="008630E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一、“三公”经费支出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五、机关运行经费</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（一）支出合计</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（一）行政单位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．因公出国（境）费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（二）参照公务员法管理事业单位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．公务用车购置及运行维护费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六、资产信息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）公务用车购置费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（一）车辆数合计（辆）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）公务用车运行维护费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．副部（省）级及以上领导用车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bookmarkEnd w:id="0"/>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．公务接待费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．主要领导干部用车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）国内接待费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．机要通信用车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4</w:t>
            </w:r>
            <w:r>
              <w:rPr>
                <w:rFonts w:ascii="Times New Roman" w:hAnsi="Times New Roman" w:cs="宋体"/>
                <w:b/>
                <w:bCs/>
                <w:color w:val="000000"/>
                <w:kern w:val="2"/>
                <w:sz w:val="16"/>
                <w:szCs w:val="16"/>
              </w:rPr>
              <w:t>．应急保障用车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）国（境）外接待费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5</w:t>
            </w:r>
            <w:r>
              <w:rPr>
                <w:rFonts w:ascii="Times New Roman" w:hAnsi="Times New Roman" w:cs="宋体"/>
                <w:b/>
                <w:bCs/>
                <w:color w:val="000000"/>
                <w:kern w:val="2"/>
                <w:sz w:val="16"/>
                <w:szCs w:val="16"/>
              </w:rPr>
              <w:t>．执法执勤用车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（二）相关统计数</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6</w:t>
            </w:r>
            <w:r>
              <w:rPr>
                <w:rFonts w:ascii="Times New Roman" w:hAnsi="Times New Roman" w:cs="宋体"/>
                <w:b/>
                <w:bCs/>
                <w:color w:val="000000"/>
                <w:kern w:val="2"/>
                <w:sz w:val="16"/>
                <w:szCs w:val="16"/>
              </w:rPr>
              <w:t>．特种专业技术用车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．因公出国（境）团组数（</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7</w:t>
            </w:r>
            <w:r>
              <w:rPr>
                <w:rFonts w:ascii="Times New Roman" w:hAnsi="Times New Roman" w:cs="宋体"/>
                <w:b/>
                <w:bCs/>
                <w:color w:val="000000"/>
                <w:kern w:val="2"/>
                <w:sz w:val="16"/>
                <w:szCs w:val="16"/>
              </w:rPr>
              <w:t>．离退休干部用车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．因公出国（境）人次数（人）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8</w:t>
            </w:r>
            <w:r>
              <w:rPr>
                <w:rFonts w:ascii="Times New Roman" w:hAnsi="Times New Roman" w:cs="宋体"/>
                <w:b/>
                <w:bCs/>
                <w:color w:val="000000"/>
                <w:kern w:val="2"/>
                <w:sz w:val="16"/>
                <w:szCs w:val="16"/>
              </w:rPr>
              <w:t>．其他用车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．公务用车购置数（辆）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（二）单价</w:t>
            </w:r>
            <w:r>
              <w:rPr>
                <w:rFonts w:ascii="Times New Roman" w:hAnsi="Times New Roman" w:cs="宋体"/>
                <w:b/>
                <w:bCs/>
                <w:color w:val="000000"/>
                <w:kern w:val="2"/>
                <w:sz w:val="16"/>
                <w:szCs w:val="16"/>
              </w:rPr>
              <w:t>100</w:t>
            </w:r>
            <w:r>
              <w:rPr>
                <w:rFonts w:ascii="Times New Roman" w:hAnsi="Times New Roman" w:cs="宋体"/>
                <w:b/>
                <w:bCs/>
                <w:color w:val="000000"/>
                <w:kern w:val="2"/>
                <w:sz w:val="16"/>
                <w:szCs w:val="16"/>
              </w:rPr>
              <w:t>万元（含）以上设备（不含车辆）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4</w:t>
            </w:r>
            <w:r>
              <w:rPr>
                <w:rFonts w:ascii="Times New Roman" w:hAnsi="Times New Roman" w:cs="宋体"/>
                <w:b/>
                <w:bCs/>
                <w:color w:val="000000"/>
                <w:kern w:val="2"/>
                <w:sz w:val="16"/>
                <w:szCs w:val="16"/>
              </w:rPr>
              <w:t>．公务用车保有量（辆）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七、政府采购支出信息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5</w:t>
            </w:r>
            <w:r>
              <w:rPr>
                <w:rFonts w:ascii="Times New Roman" w:hAnsi="Times New Roman" w:cs="宋体"/>
                <w:b/>
                <w:bCs/>
                <w:color w:val="000000"/>
                <w:kern w:val="2"/>
                <w:sz w:val="16"/>
                <w:szCs w:val="16"/>
              </w:rPr>
              <w:t>．国内公务接待批次（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（一）政府采购支出合计</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其中：外事接待批次</w:t>
            </w:r>
            <w:r>
              <w:rPr>
                <w:rFonts w:ascii="Times New Roman" w:hAnsi="Times New Roman" w:cs="宋体"/>
                <w:b/>
                <w:bCs/>
                <w:color w:val="000000"/>
                <w:kern w:val="2"/>
                <w:sz w:val="16"/>
                <w:szCs w:val="16"/>
              </w:rPr>
              <w:lastRenderedPageBreak/>
              <w:t>（</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lastRenderedPageBreak/>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．政府采购货物支出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lastRenderedPageBreak/>
              <w:t xml:space="preserve">     6</w:t>
            </w:r>
            <w:r>
              <w:rPr>
                <w:rFonts w:ascii="Times New Roman" w:hAnsi="Times New Roman" w:cs="宋体"/>
                <w:b/>
                <w:bCs/>
                <w:color w:val="000000"/>
                <w:kern w:val="2"/>
                <w:sz w:val="16"/>
                <w:szCs w:val="16"/>
              </w:rPr>
              <w:t>．国内公务接待人次（人）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．政府采购工程支出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．政府采购服务支出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7</w:t>
            </w:r>
            <w:r>
              <w:rPr>
                <w:rFonts w:ascii="Times New Roman" w:hAnsi="Times New Roman" w:cs="宋体"/>
                <w:b/>
                <w:bCs/>
                <w:color w:val="000000"/>
                <w:kern w:val="2"/>
                <w:sz w:val="16"/>
                <w:szCs w:val="16"/>
              </w:rPr>
              <w:t>．国（境）外公务接待批次（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（二）政府采购授予中小企业合同金额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8</w:t>
            </w:r>
            <w:r>
              <w:rPr>
                <w:rFonts w:ascii="Times New Roman" w:hAnsi="Times New Roman" w:cs="宋体"/>
                <w:b/>
                <w:bCs/>
                <w:color w:val="000000"/>
                <w:kern w:val="2"/>
                <w:sz w:val="16"/>
                <w:szCs w:val="16"/>
              </w:rPr>
              <w:t>．国（境）外公务接待人次（人）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其中：授予小</w:t>
            </w:r>
            <w:proofErr w:type="gramStart"/>
            <w:r>
              <w:rPr>
                <w:rFonts w:ascii="Times New Roman" w:hAnsi="Times New Roman" w:cs="宋体"/>
                <w:b/>
                <w:bCs/>
                <w:color w:val="000000"/>
                <w:kern w:val="2"/>
                <w:sz w:val="16"/>
                <w:szCs w:val="16"/>
              </w:rPr>
              <w:t>微企业</w:t>
            </w:r>
            <w:proofErr w:type="gramEnd"/>
            <w:r>
              <w:rPr>
                <w:rFonts w:ascii="Times New Roman" w:hAnsi="Times New Roman" w:cs="宋体"/>
                <w:b/>
                <w:bCs/>
                <w:color w:val="000000"/>
                <w:kern w:val="2"/>
                <w:sz w:val="16"/>
                <w:szCs w:val="16"/>
              </w:rPr>
              <w:t>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37C0" w:rsidTr="008630E1">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二、会议费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4E37C0">
            <w:pPr>
              <w:spacing w:line="560" w:lineRule="exact"/>
              <w:jc w:val="right"/>
              <w:rPr>
                <w:rFonts w:ascii="Times New Roman" w:hAnsi="Times New Roman" w:cs="宋体" w:hint="default"/>
                <w:color w:val="000000"/>
                <w:kern w:val="2"/>
                <w:sz w:val="16"/>
                <w:szCs w:val="16"/>
              </w:rPr>
            </w:pPr>
          </w:p>
        </w:tc>
      </w:tr>
      <w:tr w:rsidR="004E37C0" w:rsidTr="008630E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三、培训费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4E37C0">
            <w:pPr>
              <w:spacing w:line="560" w:lineRule="exact"/>
              <w:jc w:val="right"/>
              <w:rPr>
                <w:rFonts w:ascii="Times New Roman" w:hAnsi="Times New Roman" w:cs="宋体" w:hint="default"/>
                <w:color w:val="000000"/>
                <w:kern w:val="2"/>
                <w:sz w:val="16"/>
                <w:szCs w:val="16"/>
              </w:rPr>
            </w:pPr>
          </w:p>
        </w:tc>
      </w:tr>
      <w:tr w:rsidR="004E37C0" w:rsidTr="008630E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textAlignment w:val="center"/>
              <w:rPr>
                <w:rFonts w:ascii="Times New Roman" w:hAnsi="Times New Roman" w:cs="宋体" w:hint="default"/>
                <w:b/>
                <w:bCs/>
                <w:color w:val="000000"/>
                <w:sz w:val="16"/>
                <w:szCs w:val="16"/>
              </w:rPr>
            </w:pPr>
            <w:r>
              <w:rPr>
                <w:rFonts w:ascii="Times New Roman" w:hAnsi="Times New Roman" w:cs="宋体"/>
                <w:b/>
                <w:bCs/>
                <w:color w:val="000000"/>
                <w:sz w:val="16"/>
                <w:szCs w:val="16"/>
              </w:rPr>
              <w:t>四、差旅费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0F2113">
            <w:pPr>
              <w:spacing w:line="56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0F2113">
            <w:pPr>
              <w:spacing w:line="56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2.44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37C0" w:rsidRDefault="004E37C0">
            <w:pPr>
              <w:spacing w:line="560" w:lineRule="exact"/>
              <w:rPr>
                <w:rFonts w:ascii="Times New Roman" w:hAnsi="Times New Roman" w:cs="宋体" w:hint="default"/>
                <w:color w:val="000000"/>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37C0" w:rsidRDefault="004E37C0">
            <w:pPr>
              <w:spacing w:line="560" w:lineRule="exact"/>
              <w:jc w:val="right"/>
              <w:rPr>
                <w:rFonts w:ascii="Times New Roman" w:hAnsi="Times New Roman" w:cs="宋体" w:hint="default"/>
                <w:color w:val="000000"/>
                <w:sz w:val="16"/>
                <w:szCs w:val="16"/>
              </w:rPr>
            </w:pPr>
          </w:p>
        </w:tc>
      </w:tr>
    </w:tbl>
    <w:p w:rsidR="004E37C0" w:rsidRDefault="000F2113">
      <w:pPr>
        <w:spacing w:line="560" w:lineRule="exact"/>
        <w:rPr>
          <w:rFonts w:ascii="Times New Roman" w:hAnsi="Times New Roman" w:hint="default"/>
          <w:sz w:val="18"/>
          <w:szCs w:val="18"/>
        </w:rPr>
      </w:pPr>
      <w:r>
        <w:rPr>
          <w:rFonts w:ascii="Times New Roman" w:hAnsi="Times New Roman" w:cs="宋体"/>
          <w:sz w:val="18"/>
          <w:szCs w:val="18"/>
        </w:rPr>
        <w:t>备注：</w:t>
      </w:r>
      <w:r>
        <w:rPr>
          <w:rFonts w:ascii="Times New Roman" w:hAnsi="Times New Roman" w:cs="宋体"/>
          <w:sz w:val="18"/>
          <w:szCs w:val="18"/>
        </w:rPr>
        <w:t>1.</w:t>
      </w:r>
      <w:r>
        <w:rPr>
          <w:rFonts w:ascii="Times New Roman" w:hAnsi="Times New Roman"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 xml:space="preserve">      2.</w:t>
      </w:r>
      <w:r>
        <w:rPr>
          <w:rFonts w:ascii="Times New Roman" w:hAnsi="Times New Roman" w:cs="宋体"/>
          <w:sz w:val="18"/>
          <w:szCs w:val="18"/>
        </w:rPr>
        <w:t>本套报表金额单位转换时可能存在尾数误差。</w:t>
      </w:r>
      <w:r>
        <w:rPr>
          <w:rFonts w:ascii="Times New Roman" w:hAnsi="Times New Roman" w:cs="宋体"/>
          <w:sz w:val="18"/>
          <w:szCs w:val="18"/>
        </w:rPr>
        <w:br/>
      </w:r>
      <w:r>
        <w:rPr>
          <w:rFonts w:ascii="Times New Roman" w:hAnsi="Times New Roman" w:cs="宋体"/>
          <w:sz w:val="18"/>
          <w:szCs w:val="18"/>
        </w:rPr>
        <w:br/>
      </w:r>
    </w:p>
    <w:sectPr w:rsidR="004E37C0" w:rsidSect="008630E1">
      <w:headerReference w:type="default" r:id="rId9"/>
      <w:footerReference w:type="default" r:id="rId10"/>
      <w:type w:val="continuous"/>
      <w:pgSz w:w="11850" w:h="16783"/>
      <w:pgMar w:top="454" w:right="567" w:bottom="1037" w:left="56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9E" w:rsidRDefault="0034049E">
      <w:pPr>
        <w:rPr>
          <w:rFonts w:hint="default"/>
        </w:rPr>
      </w:pPr>
      <w:r>
        <w:separator/>
      </w:r>
    </w:p>
  </w:endnote>
  <w:endnote w:type="continuationSeparator" w:id="0">
    <w:p w:rsidR="0034049E" w:rsidRDefault="0034049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C0" w:rsidRDefault="000F2113">
    <w:pPr>
      <w:pStyle w:val="a6"/>
      <w:rPr>
        <w:rFonts w:hint="default"/>
      </w:rPr>
    </w:pPr>
    <w:r>
      <w:rPr>
        <w:rFonts w:hint="default"/>
        <w:noProof/>
      </w:rPr>
      <mc:AlternateContent>
        <mc:Choice Requires="wps">
          <w:drawing>
            <wp:anchor distT="0" distB="0" distL="114300" distR="114300" simplePos="0" relativeHeight="251657728" behindDoc="0" locked="0" layoutInCell="1" allowOverlap="1" wp14:anchorId="58070328" wp14:editId="2010FF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E37C0" w:rsidRDefault="000F2113">
                          <w:pPr>
                            <w:pStyle w:val="a6"/>
                            <w:rPr>
                              <w:rFonts w:hint="default"/>
                            </w:rPr>
                          </w:pPr>
                          <w:r>
                            <w:fldChar w:fldCharType="begin"/>
                          </w:r>
                          <w:r>
                            <w:instrText xml:space="preserve"> PAGE  \* MERGEFORMAT </w:instrText>
                          </w:r>
                          <w:r>
                            <w:fldChar w:fldCharType="separate"/>
                          </w:r>
                          <w:r w:rsidR="008630E1">
                            <w:rPr>
                              <w:rFonts w:hint="default"/>
                              <w:noProof/>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E37C0" w:rsidRDefault="000F2113">
                    <w:pPr>
                      <w:pStyle w:val="a6"/>
                      <w:rPr>
                        <w:rFonts w:hint="default"/>
                      </w:rPr>
                    </w:pPr>
                    <w:r>
                      <w:fldChar w:fldCharType="begin"/>
                    </w:r>
                    <w:r>
                      <w:instrText xml:space="preserve"> PAGE  \* MERGEFORMAT </w:instrText>
                    </w:r>
                    <w:r>
                      <w:fldChar w:fldCharType="separate"/>
                    </w:r>
                    <w:r w:rsidR="008630E1">
                      <w:rPr>
                        <w:rFonts w:hint="default"/>
                        <w:noProof/>
                      </w:rPr>
                      <w:t>- 8 -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C0" w:rsidRDefault="000F2113">
    <w:pPr>
      <w:pStyle w:val="a6"/>
      <w:jc w:val="both"/>
      <w:rPr>
        <w:rFonts w:hint="default"/>
      </w:rPr>
    </w:pPr>
    <w:r>
      <w:rPr>
        <w:rFonts w:hint="default"/>
        <w:noProof/>
      </w:rPr>
      <mc:AlternateContent>
        <mc:Choice Requires="wps">
          <w:drawing>
            <wp:anchor distT="0" distB="0" distL="114300" distR="114300" simplePos="0" relativeHeight="251658752" behindDoc="0" locked="0" layoutInCell="1" allowOverlap="0" wp14:anchorId="77CCB2E5" wp14:editId="02F7F208">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E37C0" w:rsidRDefault="000F2113">
                          <w:pPr>
                            <w:pStyle w:val="a6"/>
                            <w:rPr>
                              <w:rFonts w:hint="default"/>
                            </w:rPr>
                          </w:pPr>
                          <w:r>
                            <w:t xml:space="preserve"> </w:t>
                          </w:r>
                          <w:r>
                            <w:fldChar w:fldCharType="begin"/>
                          </w:r>
                          <w:r>
                            <w:instrText>PAGE   \* MERGEFORMAT</w:instrText>
                          </w:r>
                          <w:r>
                            <w:fldChar w:fldCharType="separate"/>
                          </w:r>
                          <w:r w:rsidR="008630E1" w:rsidRPr="008630E1">
                            <w:rPr>
                              <w:rFonts w:hint="default"/>
                              <w:noProof/>
                              <w:lang w:val="zh-CN"/>
                            </w:rPr>
                            <w:t>-</w:t>
                          </w:r>
                          <w:r w:rsidR="008630E1">
                            <w:rPr>
                              <w:rFonts w:hint="default"/>
                              <w:noProof/>
                            </w:rPr>
                            <w:t xml:space="preserve"> 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4E37C0" w:rsidRDefault="000F2113">
                    <w:pPr>
                      <w:pStyle w:val="a6"/>
                      <w:rPr>
                        <w:rFonts w:hint="default"/>
                      </w:rPr>
                    </w:pPr>
                    <w:r>
                      <w:t xml:space="preserve"> </w:t>
                    </w:r>
                    <w:r>
                      <w:fldChar w:fldCharType="begin"/>
                    </w:r>
                    <w:r>
                      <w:instrText>PAGE   \* MERGEFORMAT</w:instrText>
                    </w:r>
                    <w:r>
                      <w:fldChar w:fldCharType="separate"/>
                    </w:r>
                    <w:r w:rsidR="008630E1" w:rsidRPr="008630E1">
                      <w:rPr>
                        <w:rFonts w:hint="default"/>
                        <w:noProof/>
                        <w:lang w:val="zh-CN"/>
                      </w:rPr>
                      <w:t>-</w:t>
                    </w:r>
                    <w:r w:rsidR="008630E1">
                      <w:rPr>
                        <w:rFonts w:hint="default"/>
                        <w:noProof/>
                      </w:rPr>
                      <w:t xml:space="preserve"> 9 -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6704" behindDoc="0" locked="0" layoutInCell="1" allowOverlap="0" wp14:anchorId="7D0CD387" wp14:editId="701BCBD7">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E37C0" w:rsidRDefault="000F2113">
                          <w:pPr>
                            <w:pStyle w:val="a6"/>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670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4E37C0" w:rsidRDefault="000F2113">
                    <w:pPr>
                      <w:pStyle w:val="a6"/>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9E" w:rsidRDefault="0034049E">
      <w:pPr>
        <w:rPr>
          <w:rFonts w:hint="default"/>
        </w:rPr>
      </w:pPr>
      <w:r>
        <w:separator/>
      </w:r>
    </w:p>
  </w:footnote>
  <w:footnote w:type="continuationSeparator" w:id="0">
    <w:p w:rsidR="0034049E" w:rsidRDefault="0034049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C0" w:rsidRDefault="004E37C0">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bordersDoNotSurroundFooter/>
  <w:proofState w:spelling="clean" w:grammar="clean"/>
  <w:defaultTabStop w:val="420"/>
  <w:drawingGridHorizontalSpacing w:val="120"/>
  <w:drawingGridVerticalSpacing w:val="163"/>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OTY4MWQ2YzA4NjFkNDU1NTRjNjY1Y2EwYzQ4ZjcifQ=="/>
  </w:docVars>
  <w:rsids>
    <w:rsidRoot w:val="00B03CCD"/>
    <w:rsid w:val="000239C6"/>
    <w:rsid w:val="000F2113"/>
    <w:rsid w:val="001D3BB7"/>
    <w:rsid w:val="002B254B"/>
    <w:rsid w:val="0034049E"/>
    <w:rsid w:val="0034050A"/>
    <w:rsid w:val="0044504F"/>
    <w:rsid w:val="00466C9B"/>
    <w:rsid w:val="00486CFC"/>
    <w:rsid w:val="00491DDD"/>
    <w:rsid w:val="004E37C0"/>
    <w:rsid w:val="00550ABE"/>
    <w:rsid w:val="00623A85"/>
    <w:rsid w:val="00770383"/>
    <w:rsid w:val="007819D4"/>
    <w:rsid w:val="007B419D"/>
    <w:rsid w:val="007B7C4B"/>
    <w:rsid w:val="007D3D39"/>
    <w:rsid w:val="008630E1"/>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E7A31"/>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5C4B81"/>
    <w:rsid w:val="0D673E11"/>
    <w:rsid w:val="0DDA54E4"/>
    <w:rsid w:val="0E3A5F83"/>
    <w:rsid w:val="0F443798"/>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9D6686"/>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E453EB"/>
    <w:rsid w:val="2E792D2D"/>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575497"/>
    <w:rsid w:val="426C1EA8"/>
    <w:rsid w:val="42736402"/>
    <w:rsid w:val="42E86A87"/>
    <w:rsid w:val="43307B09"/>
    <w:rsid w:val="439A3EB9"/>
    <w:rsid w:val="43BB152F"/>
    <w:rsid w:val="44C37687"/>
    <w:rsid w:val="4596154B"/>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0D0EFA"/>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CD1CCD"/>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4C0A6B"/>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1852</Words>
  <Characters>10558</Characters>
  <Application>Microsoft Office Word</Application>
  <DocSecurity>0</DocSecurity>
  <Lines>87</Lines>
  <Paragraphs>24</Paragraphs>
  <ScaleCrop>false</ScaleCrop>
  <Company>HP Inc.</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丰都县司法局内勤</cp:lastModifiedBy>
  <cp:revision>24</cp:revision>
  <dcterms:created xsi:type="dcterms:W3CDTF">2024-07-11T02:00:00Z</dcterms:created>
  <dcterms:modified xsi:type="dcterms:W3CDTF">2025-09-16T08:14:00Z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0016CC9E4D1D4638B8200C332D9DF7D2_13</vt:lpwstr>
  </property>
  <property fmtid="{D5CDD505-2E9C-101B-9397-08002B2CF9AE}" pid="4" name="KSOTemplateDocerSaveRecord">
    <vt:lpwstr>eyJoZGlkIjoiZWM5ZGVjZTEzMGQyOGQ5NWZiZjc1NTgwMGUxZTI5MjgiLCJ1c2VySWQiOiIzNzQ5NTk3MjgifQ==</vt:lpwstr>
  </property>
</Properties>
</file>