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DB" w:rsidRPr="005806DB" w:rsidRDefault="005806DB" w:rsidP="005806DB">
      <w:pPr>
        <w:widowControl/>
        <w:spacing w:before="240" w:after="240" w:line="420" w:lineRule="atLeast"/>
        <w:ind w:firstLine="480"/>
        <w:rPr>
          <w:rFonts w:ascii="宋体" w:eastAsia="宋体" w:hAnsi="宋体" w:cs="Arial"/>
          <w:kern w:val="0"/>
          <w:sz w:val="24"/>
          <w:szCs w:val="24"/>
        </w:rPr>
      </w:pPr>
      <w:r w:rsidRPr="005806DB">
        <w:rPr>
          <w:rFonts w:ascii="宋体" w:eastAsia="宋体" w:hAnsi="宋体" w:cs="Arial" w:hint="eastAsia"/>
          <w:kern w:val="0"/>
          <w:sz w:val="24"/>
          <w:szCs w:val="24"/>
        </w:rPr>
        <w:t> </w:t>
      </w:r>
    </w:p>
    <w:tbl>
      <w:tblPr>
        <w:tblW w:w="5000" w:type="pct"/>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592"/>
        <w:gridCol w:w="1223"/>
        <w:gridCol w:w="3153"/>
        <w:gridCol w:w="1192"/>
        <w:gridCol w:w="979"/>
        <w:gridCol w:w="1317"/>
      </w:tblGrid>
      <w:tr w:rsidR="005806DB" w:rsidRPr="005806DB" w:rsidTr="005806DB">
        <w:tc>
          <w:tcPr>
            <w:tcW w:w="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序号</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抽查计划名称</w:t>
            </w:r>
          </w:p>
        </w:tc>
        <w:tc>
          <w:tcPr>
            <w:tcW w:w="54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具体抽查内容</w:t>
            </w:r>
          </w:p>
        </w:tc>
        <w:tc>
          <w:tcPr>
            <w:tcW w:w="19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抽查对象范围</w:t>
            </w:r>
          </w:p>
        </w:tc>
        <w:tc>
          <w:tcPr>
            <w:tcW w:w="14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抽查比例</w:t>
            </w:r>
          </w:p>
        </w:tc>
        <w:tc>
          <w:tcPr>
            <w:tcW w:w="21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抽查时间</w:t>
            </w:r>
          </w:p>
        </w:tc>
      </w:tr>
      <w:tr w:rsidR="005806DB" w:rsidRPr="005806DB" w:rsidTr="005806DB">
        <w:tc>
          <w:tcPr>
            <w:tcW w:w="78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w:t>
            </w:r>
          </w:p>
        </w:tc>
        <w:tc>
          <w:tcPr>
            <w:tcW w:w="199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年度丰都县司法局随机抽查律师事务所</w:t>
            </w:r>
            <w:r w:rsidRPr="005806DB">
              <w:rPr>
                <w:rFonts w:ascii="Arial" w:eastAsia="宋体" w:hAnsi="Arial" w:cs="Arial"/>
                <w:kern w:val="0"/>
                <w:sz w:val="24"/>
                <w:szCs w:val="24"/>
              </w:rPr>
              <w:t>001</w:t>
            </w:r>
          </w:p>
        </w:tc>
        <w:tc>
          <w:tcPr>
            <w:tcW w:w="54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w:t>
            </w:r>
            <w:r w:rsidRPr="005806DB">
              <w:rPr>
                <w:rFonts w:ascii="Arial" w:eastAsia="宋体" w:hAnsi="Arial" w:cs="Arial"/>
                <w:kern w:val="0"/>
                <w:sz w:val="24"/>
                <w:szCs w:val="24"/>
              </w:rPr>
              <w:t>律师事务所保持法定设立条件的情况；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w:t>
            </w:r>
            <w:r w:rsidRPr="005806DB">
              <w:rPr>
                <w:rFonts w:ascii="Arial" w:eastAsia="宋体" w:hAnsi="Arial" w:cs="Arial"/>
                <w:kern w:val="0"/>
                <w:sz w:val="24"/>
                <w:szCs w:val="24"/>
              </w:rPr>
              <w:t>律师事务所是否存在统一接受委托、签订书面委托合同、统一收费情况、未开具发票等情况；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w:t>
            </w:r>
            <w:r w:rsidRPr="005806DB">
              <w:rPr>
                <w:rFonts w:ascii="Arial" w:eastAsia="宋体" w:hAnsi="Arial" w:cs="Arial"/>
                <w:kern w:val="0"/>
                <w:sz w:val="24"/>
                <w:szCs w:val="24"/>
              </w:rPr>
              <w:t>律师事务所是否按规定建立健全档案管理制度，及时立卷归档</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4.</w:t>
            </w:r>
            <w:r w:rsidRPr="005806DB">
              <w:rPr>
                <w:rFonts w:ascii="Arial" w:eastAsia="宋体" w:hAnsi="Arial" w:cs="Arial"/>
                <w:kern w:val="0"/>
                <w:sz w:val="24"/>
                <w:szCs w:val="24"/>
              </w:rPr>
              <w:t>是否建立利益冲突审查机制、收费与财务管理、投诉查处、档案管理等制度；</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5.</w:t>
            </w:r>
            <w:r w:rsidRPr="005806DB">
              <w:rPr>
                <w:rFonts w:ascii="Arial" w:eastAsia="宋体" w:hAnsi="Arial" w:cs="Arial"/>
                <w:kern w:val="0"/>
                <w:sz w:val="24"/>
                <w:szCs w:val="24"/>
              </w:rPr>
              <w:t>律师事务所是否有违反公平竞争、低价收费、以不正当手段承揽业务等情况；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6.</w:t>
            </w:r>
            <w:r w:rsidRPr="005806DB">
              <w:rPr>
                <w:rFonts w:ascii="Arial" w:eastAsia="宋体" w:hAnsi="Arial" w:cs="Arial"/>
                <w:kern w:val="0"/>
                <w:sz w:val="24"/>
                <w:szCs w:val="24"/>
              </w:rPr>
              <w:t>律师事务所是否存在违反规定接受委托、收取费用的违法行为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7.</w:t>
            </w:r>
            <w:r w:rsidRPr="005806DB">
              <w:rPr>
                <w:rFonts w:ascii="Arial" w:eastAsia="宋体" w:hAnsi="Arial" w:cs="Arial"/>
                <w:kern w:val="0"/>
                <w:sz w:val="24"/>
                <w:szCs w:val="24"/>
              </w:rPr>
              <w:t>律师事务所是否存在违反法定程序办理变更名称、负责人、章程、合伙协议、住所、合伙人等重大事项的违法行为；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8.</w:t>
            </w:r>
            <w:r w:rsidRPr="005806DB">
              <w:rPr>
                <w:rFonts w:ascii="Arial" w:eastAsia="宋体" w:hAnsi="Arial" w:cs="Arial"/>
                <w:kern w:val="0"/>
                <w:sz w:val="24"/>
                <w:szCs w:val="24"/>
              </w:rPr>
              <w:t>律师事务所是否存在从事法律服务以外的经营活动的违法行为；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9.</w:t>
            </w:r>
            <w:r w:rsidRPr="005806DB">
              <w:rPr>
                <w:rFonts w:ascii="Arial" w:eastAsia="宋体" w:hAnsi="Arial" w:cs="Arial"/>
                <w:kern w:val="0"/>
                <w:sz w:val="24"/>
                <w:szCs w:val="24"/>
              </w:rPr>
              <w:t>律师事务所是否存在以诋毁其他律师事务所、律师或者支付介绍费等不正当手段承揽业务的违法行为；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10.</w:t>
            </w:r>
            <w:r w:rsidRPr="005806DB">
              <w:rPr>
                <w:rFonts w:ascii="Arial" w:eastAsia="宋体" w:hAnsi="Arial" w:cs="Arial"/>
                <w:kern w:val="0"/>
                <w:sz w:val="24"/>
                <w:szCs w:val="24"/>
              </w:rPr>
              <w:t>律师事务所是否存在违反规定接受有利益冲突的案件的违法行为；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lastRenderedPageBreak/>
              <w:t>11.</w:t>
            </w:r>
            <w:r w:rsidRPr="005806DB">
              <w:rPr>
                <w:rFonts w:ascii="Arial" w:eastAsia="宋体" w:hAnsi="Arial" w:cs="Arial"/>
                <w:kern w:val="0"/>
                <w:sz w:val="24"/>
                <w:szCs w:val="24"/>
              </w:rPr>
              <w:t>律师事务所是否存在拒绝履行法律援助义务的违法行为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12.</w:t>
            </w:r>
            <w:r w:rsidRPr="005806DB">
              <w:rPr>
                <w:rFonts w:ascii="Arial" w:eastAsia="宋体" w:hAnsi="Arial" w:cs="Arial"/>
                <w:kern w:val="0"/>
                <w:sz w:val="24"/>
                <w:szCs w:val="24"/>
              </w:rPr>
              <w:t>律师事务所是否存在向司法行政部门提供虚假材料或者有其他弄虚作假行为的违法行为；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13.</w:t>
            </w:r>
            <w:r w:rsidRPr="005806DB">
              <w:rPr>
                <w:rFonts w:ascii="Arial" w:eastAsia="宋体" w:hAnsi="Arial" w:cs="Arial"/>
                <w:kern w:val="0"/>
                <w:sz w:val="24"/>
                <w:szCs w:val="24"/>
              </w:rPr>
              <w:t>律师事务所是否存在对本所律师疏于管理，造成严重后果的违法行为；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14.</w:t>
            </w:r>
            <w:r w:rsidRPr="005806DB">
              <w:rPr>
                <w:rFonts w:ascii="Arial" w:eastAsia="宋体" w:hAnsi="Arial" w:cs="Arial"/>
                <w:kern w:val="0"/>
                <w:sz w:val="24"/>
                <w:szCs w:val="24"/>
              </w:rPr>
              <w:t>律师对代理案件是否存在代理不尽责等有关情况；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15.</w:t>
            </w:r>
            <w:r w:rsidRPr="005806DB">
              <w:rPr>
                <w:rFonts w:ascii="Arial" w:eastAsia="宋体" w:hAnsi="Arial" w:cs="Arial"/>
                <w:kern w:val="0"/>
                <w:sz w:val="24"/>
                <w:szCs w:val="24"/>
              </w:rPr>
              <w:t>律师针对代理案件是否违反利益冲突；</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16.</w:t>
            </w:r>
            <w:r w:rsidRPr="005806DB">
              <w:rPr>
                <w:rFonts w:ascii="Arial" w:eastAsia="宋体" w:hAnsi="Arial" w:cs="Arial"/>
                <w:kern w:val="0"/>
                <w:sz w:val="24"/>
                <w:szCs w:val="24"/>
              </w:rPr>
              <w:t>律师是否存在私自收案、收费、接受委托人财物等情况；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17.</w:t>
            </w:r>
            <w:r w:rsidRPr="005806DB">
              <w:rPr>
                <w:rFonts w:ascii="Arial" w:eastAsia="宋体" w:hAnsi="Arial" w:cs="Arial"/>
                <w:kern w:val="0"/>
                <w:sz w:val="24"/>
                <w:szCs w:val="24"/>
              </w:rPr>
              <w:t>律师是否存在同时在两个律师事务所执业的违法行为；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18.</w:t>
            </w:r>
            <w:r w:rsidRPr="005806DB">
              <w:rPr>
                <w:rFonts w:ascii="Arial" w:eastAsia="宋体" w:hAnsi="Arial" w:cs="Arial"/>
                <w:kern w:val="0"/>
                <w:sz w:val="24"/>
                <w:szCs w:val="24"/>
              </w:rPr>
              <w:t>律师是否存在以不正当手段承揽业务的违法行为；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19.</w:t>
            </w:r>
            <w:r w:rsidRPr="005806DB">
              <w:rPr>
                <w:rFonts w:ascii="Arial" w:eastAsia="宋体" w:hAnsi="Arial" w:cs="Arial"/>
                <w:kern w:val="0"/>
                <w:sz w:val="24"/>
                <w:szCs w:val="24"/>
              </w:rPr>
              <w:t>律师是否存在同一案件中为双方当事人担任代理人，或者代理与本人及其近亲属有利益冲突的法律事务的违法行为；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w:t>
            </w:r>
            <w:r w:rsidRPr="005806DB">
              <w:rPr>
                <w:rFonts w:ascii="Arial" w:eastAsia="宋体" w:hAnsi="Arial" w:cs="Arial"/>
                <w:kern w:val="0"/>
                <w:sz w:val="24"/>
                <w:szCs w:val="24"/>
              </w:rPr>
              <w:t>律师是否存在从人民法院、人民检察院离任后二年内担任诉讼代理人或者辩护人的违法行为；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21.</w:t>
            </w:r>
            <w:r w:rsidRPr="005806DB">
              <w:rPr>
                <w:rFonts w:ascii="Arial" w:eastAsia="宋体" w:hAnsi="Arial" w:cs="Arial"/>
                <w:kern w:val="0"/>
                <w:sz w:val="24"/>
                <w:szCs w:val="24"/>
              </w:rPr>
              <w:t>律师是否存在拒绝履行法律援助义务的违法行为；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22.</w:t>
            </w:r>
            <w:r w:rsidRPr="005806DB">
              <w:rPr>
                <w:rFonts w:ascii="Arial" w:eastAsia="宋体" w:hAnsi="Arial" w:cs="Arial"/>
                <w:kern w:val="0"/>
                <w:sz w:val="24"/>
                <w:szCs w:val="24"/>
              </w:rPr>
              <w:t>律师是否存在私自接受委托、收取费用，接受委托人财物或者其他利益的违法行为；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23.</w:t>
            </w:r>
            <w:r w:rsidRPr="005806DB">
              <w:rPr>
                <w:rFonts w:ascii="Arial" w:eastAsia="宋体" w:hAnsi="Arial" w:cs="Arial"/>
                <w:kern w:val="0"/>
                <w:sz w:val="24"/>
                <w:szCs w:val="24"/>
              </w:rPr>
              <w:t>律师是否存在《律师法》第四十八条第二项规定的违法行为；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lastRenderedPageBreak/>
              <w:t>24.</w:t>
            </w:r>
            <w:r w:rsidRPr="005806DB">
              <w:rPr>
                <w:rFonts w:ascii="Arial" w:eastAsia="宋体" w:hAnsi="Arial" w:cs="Arial"/>
                <w:kern w:val="0"/>
                <w:sz w:val="24"/>
                <w:szCs w:val="24"/>
              </w:rPr>
              <w:t>律师是否存在利用提供法律服务的便利牟取当事人争议的权益的违法行为；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25.</w:t>
            </w:r>
            <w:r w:rsidRPr="005806DB">
              <w:rPr>
                <w:rFonts w:ascii="Arial" w:eastAsia="宋体" w:hAnsi="Arial" w:cs="Arial"/>
                <w:kern w:val="0"/>
                <w:sz w:val="24"/>
                <w:szCs w:val="24"/>
              </w:rPr>
              <w:t>律师是否存在泄露商业秘密或者个人隐私的违法行为；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26.</w:t>
            </w:r>
            <w:r w:rsidRPr="005806DB">
              <w:rPr>
                <w:rFonts w:ascii="Arial" w:eastAsia="宋体" w:hAnsi="Arial" w:cs="Arial"/>
                <w:kern w:val="0"/>
                <w:sz w:val="24"/>
                <w:szCs w:val="24"/>
              </w:rPr>
              <w:t>律师是否存在违反规定会见法官、检察官、仲裁员以及其他有关工作人员，或者以其他不正当方式影响依法办理案件的违法行为；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27.</w:t>
            </w:r>
            <w:r w:rsidRPr="005806DB">
              <w:rPr>
                <w:rFonts w:ascii="Arial" w:eastAsia="宋体" w:hAnsi="Arial" w:cs="Arial"/>
                <w:kern w:val="0"/>
                <w:sz w:val="24"/>
                <w:szCs w:val="24"/>
              </w:rPr>
              <w:t>律师是否存在向法官、检察官、仲裁员以及其他有关工作人员行贿，介绍贿赂或者指使、诱导当事人行贿的违法行为；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28.</w:t>
            </w:r>
            <w:r w:rsidRPr="005806DB">
              <w:rPr>
                <w:rFonts w:ascii="Arial" w:eastAsia="宋体" w:hAnsi="Arial" w:cs="Arial"/>
                <w:kern w:val="0"/>
                <w:sz w:val="24"/>
                <w:szCs w:val="24"/>
              </w:rPr>
              <w:t>律师是否存在向司法行政部门提供虚假材料或者有其他弄虚作假行为的违法行为；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29.</w:t>
            </w:r>
            <w:r w:rsidRPr="005806DB">
              <w:rPr>
                <w:rFonts w:ascii="Arial" w:eastAsia="宋体" w:hAnsi="Arial" w:cs="Arial"/>
                <w:kern w:val="0"/>
                <w:sz w:val="24"/>
                <w:szCs w:val="24"/>
              </w:rPr>
              <w:t>律师是否存在故意提供虚假证据或者威胁、利诱他人提供虚假证据，妨碍对方当事人合法取得证据的违法行为；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30.</w:t>
            </w:r>
            <w:r w:rsidRPr="005806DB">
              <w:rPr>
                <w:rFonts w:ascii="Arial" w:eastAsia="宋体" w:hAnsi="Arial" w:cs="Arial"/>
                <w:kern w:val="0"/>
                <w:sz w:val="24"/>
                <w:szCs w:val="24"/>
              </w:rPr>
              <w:t>律师是否存在接受对方当事人财物或者其他利益，与对方当事人或者第三人恶意串通，侵害委托人权益的违法行为；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31.</w:t>
            </w:r>
            <w:r w:rsidRPr="005806DB">
              <w:rPr>
                <w:rFonts w:ascii="Arial" w:eastAsia="宋体" w:hAnsi="Arial" w:cs="Arial"/>
                <w:kern w:val="0"/>
                <w:sz w:val="24"/>
                <w:szCs w:val="24"/>
              </w:rPr>
              <w:t>律师是否存在扰乱法庭、仲裁庭秩序，干扰诉讼、仲裁活动的正常进行的违法行为；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32.</w:t>
            </w:r>
            <w:r w:rsidRPr="005806DB">
              <w:rPr>
                <w:rFonts w:ascii="Arial" w:eastAsia="宋体" w:hAnsi="Arial" w:cs="Arial"/>
                <w:kern w:val="0"/>
                <w:sz w:val="24"/>
                <w:szCs w:val="24"/>
              </w:rPr>
              <w:t>律师是否存在煽动、教唆当事人采取扰乱公共秩序、危害公共安全等非法手段解决争议的违法行为；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33.</w:t>
            </w:r>
            <w:r w:rsidRPr="005806DB">
              <w:rPr>
                <w:rFonts w:ascii="Arial" w:eastAsia="宋体" w:hAnsi="Arial" w:cs="Arial"/>
                <w:kern w:val="0"/>
                <w:sz w:val="24"/>
                <w:szCs w:val="24"/>
              </w:rPr>
              <w:t>律师是否存在发表危害国家安全、恶意诽谤他人、严重扰乱法庭秩序的言论的违法行为；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lastRenderedPageBreak/>
              <w:t>34.</w:t>
            </w:r>
            <w:r w:rsidRPr="005806DB">
              <w:rPr>
                <w:rFonts w:ascii="Arial" w:eastAsia="宋体" w:hAnsi="Arial" w:cs="Arial"/>
                <w:kern w:val="0"/>
                <w:sz w:val="24"/>
                <w:szCs w:val="24"/>
              </w:rPr>
              <w:t>律师是否存在泄露国家秘密的违法行为；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35.</w:t>
            </w:r>
            <w:r w:rsidRPr="005806DB">
              <w:rPr>
                <w:rFonts w:ascii="Arial" w:eastAsia="宋体" w:hAnsi="Arial" w:cs="Arial"/>
                <w:kern w:val="0"/>
                <w:sz w:val="24"/>
                <w:szCs w:val="24"/>
              </w:rPr>
              <w:t>律师是否存在违反规定接受委托、收取费用的违法行为；</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36.</w:t>
            </w:r>
            <w:r w:rsidRPr="005806DB">
              <w:rPr>
                <w:rFonts w:ascii="Arial" w:eastAsia="宋体" w:hAnsi="Arial" w:cs="Arial"/>
                <w:kern w:val="0"/>
                <w:sz w:val="24"/>
                <w:szCs w:val="24"/>
              </w:rPr>
              <w:t>法律、法规和规章规定的其他情形。</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 </w:t>
            </w:r>
          </w:p>
        </w:tc>
        <w:tc>
          <w:tcPr>
            <w:tcW w:w="19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lastRenderedPageBreak/>
              <w:t>全县律师事务所</w:t>
            </w:r>
          </w:p>
        </w:tc>
        <w:tc>
          <w:tcPr>
            <w:tcW w:w="14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w:t>
            </w:r>
          </w:p>
        </w:tc>
        <w:tc>
          <w:tcPr>
            <w:tcW w:w="21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w:t>
            </w:r>
            <w:r w:rsidRPr="005806DB">
              <w:rPr>
                <w:rFonts w:ascii="Arial" w:eastAsia="宋体" w:hAnsi="Arial" w:cs="Arial"/>
                <w:kern w:val="0"/>
                <w:sz w:val="24"/>
                <w:szCs w:val="24"/>
              </w:rPr>
              <w:t>6—7</w:t>
            </w:r>
            <w:r w:rsidRPr="005806DB">
              <w:rPr>
                <w:rFonts w:ascii="Arial" w:eastAsia="宋体" w:hAnsi="Arial" w:cs="Arial"/>
                <w:kern w:val="0"/>
                <w:sz w:val="24"/>
                <w:szCs w:val="24"/>
              </w:rPr>
              <w:t>月</w:t>
            </w:r>
          </w:p>
        </w:tc>
      </w:tr>
      <w:tr w:rsidR="005806DB" w:rsidRPr="005806DB" w:rsidTr="005806DB">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14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w:t>
            </w:r>
          </w:p>
        </w:tc>
        <w:tc>
          <w:tcPr>
            <w:tcW w:w="21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w:t>
            </w:r>
            <w:r w:rsidRPr="005806DB">
              <w:rPr>
                <w:rFonts w:ascii="Arial" w:eastAsia="宋体" w:hAnsi="Arial" w:cs="Arial"/>
                <w:kern w:val="0"/>
                <w:sz w:val="24"/>
                <w:szCs w:val="24"/>
              </w:rPr>
              <w:t>11—12</w:t>
            </w:r>
            <w:r w:rsidRPr="005806DB">
              <w:rPr>
                <w:rFonts w:ascii="Arial" w:eastAsia="宋体" w:hAnsi="Arial" w:cs="Arial"/>
                <w:kern w:val="0"/>
                <w:sz w:val="24"/>
                <w:szCs w:val="24"/>
              </w:rPr>
              <w:t>月</w:t>
            </w:r>
          </w:p>
        </w:tc>
      </w:tr>
      <w:tr w:rsidR="005806DB" w:rsidRPr="005806DB" w:rsidTr="005806DB">
        <w:tc>
          <w:tcPr>
            <w:tcW w:w="78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lastRenderedPageBreak/>
              <w:t>2</w:t>
            </w:r>
          </w:p>
        </w:tc>
        <w:tc>
          <w:tcPr>
            <w:tcW w:w="199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年度丰都县司法局随机抽查基层法律服务所</w:t>
            </w:r>
            <w:r w:rsidRPr="005806DB">
              <w:rPr>
                <w:rFonts w:ascii="Arial" w:eastAsia="宋体" w:hAnsi="Arial" w:cs="Arial"/>
                <w:kern w:val="0"/>
                <w:sz w:val="24"/>
                <w:szCs w:val="24"/>
              </w:rPr>
              <w:t>002</w:t>
            </w:r>
          </w:p>
        </w:tc>
        <w:tc>
          <w:tcPr>
            <w:tcW w:w="54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1.</w:t>
            </w:r>
            <w:r w:rsidRPr="005806DB">
              <w:rPr>
                <w:rFonts w:ascii="Arial" w:eastAsia="宋体" w:hAnsi="Arial" w:cs="Arial"/>
                <w:kern w:val="0"/>
                <w:sz w:val="24"/>
                <w:szCs w:val="24"/>
              </w:rPr>
              <w:t>基层法律服务所实际住所地与登记信息是否一致的情况；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w:t>
            </w:r>
            <w:r w:rsidRPr="005806DB">
              <w:rPr>
                <w:rFonts w:ascii="Arial" w:eastAsia="宋体" w:hAnsi="Arial" w:cs="Arial"/>
                <w:kern w:val="0"/>
                <w:sz w:val="24"/>
                <w:szCs w:val="24"/>
              </w:rPr>
              <w:t>基层法律服务所内部管理制度建立和执行情况；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3.</w:t>
            </w:r>
            <w:r w:rsidRPr="005806DB">
              <w:rPr>
                <w:rFonts w:ascii="Arial" w:eastAsia="宋体" w:hAnsi="Arial" w:cs="Arial"/>
                <w:kern w:val="0"/>
                <w:sz w:val="24"/>
                <w:szCs w:val="24"/>
              </w:rPr>
              <w:t>基层法律服务所执业活动情况；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4.</w:t>
            </w:r>
            <w:r w:rsidRPr="005806DB">
              <w:rPr>
                <w:rFonts w:ascii="Arial" w:eastAsia="宋体" w:hAnsi="Arial" w:cs="Arial"/>
                <w:kern w:val="0"/>
                <w:sz w:val="24"/>
                <w:szCs w:val="24"/>
              </w:rPr>
              <w:t>对本所基层法律服务工作者监督管理情况；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5.</w:t>
            </w:r>
            <w:r w:rsidRPr="005806DB">
              <w:rPr>
                <w:rFonts w:ascii="Arial" w:eastAsia="宋体" w:hAnsi="Arial" w:cs="Arial"/>
                <w:kern w:val="0"/>
                <w:sz w:val="24"/>
                <w:szCs w:val="24"/>
              </w:rPr>
              <w:t>履行基层法律服务工作者协会会员义务的情况；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6.</w:t>
            </w:r>
            <w:r w:rsidRPr="005806DB">
              <w:rPr>
                <w:rFonts w:ascii="Arial" w:eastAsia="宋体" w:hAnsi="Arial" w:cs="Arial"/>
                <w:kern w:val="0"/>
                <w:sz w:val="24"/>
                <w:szCs w:val="24"/>
              </w:rPr>
              <w:t>基层法律服务工作者执业活动情况；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7.</w:t>
            </w:r>
            <w:r w:rsidRPr="005806DB">
              <w:rPr>
                <w:rFonts w:ascii="Arial" w:eastAsia="宋体" w:hAnsi="Arial" w:cs="Arial"/>
                <w:kern w:val="0"/>
                <w:sz w:val="24"/>
                <w:szCs w:val="24"/>
              </w:rPr>
              <w:t>基层法律服务工作者履行基层法律服务工作者协会会员义务的情况；</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8.</w:t>
            </w:r>
            <w:r w:rsidRPr="005806DB">
              <w:rPr>
                <w:rFonts w:ascii="Arial" w:eastAsia="宋体" w:hAnsi="Arial" w:cs="Arial"/>
                <w:kern w:val="0"/>
                <w:sz w:val="24"/>
                <w:szCs w:val="24"/>
              </w:rPr>
              <w:t>法律、法规和规章规定的其他情形。</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 </w:t>
            </w:r>
          </w:p>
        </w:tc>
        <w:tc>
          <w:tcPr>
            <w:tcW w:w="19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全县基层法律</w:t>
            </w:r>
          </w:p>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服务所</w:t>
            </w:r>
          </w:p>
        </w:tc>
        <w:tc>
          <w:tcPr>
            <w:tcW w:w="14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w:t>
            </w:r>
          </w:p>
        </w:tc>
        <w:tc>
          <w:tcPr>
            <w:tcW w:w="21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w:t>
            </w:r>
            <w:r w:rsidRPr="005806DB">
              <w:rPr>
                <w:rFonts w:ascii="Arial" w:eastAsia="宋体" w:hAnsi="Arial" w:cs="Arial"/>
                <w:kern w:val="0"/>
                <w:sz w:val="24"/>
                <w:szCs w:val="24"/>
              </w:rPr>
              <w:t>6—7</w:t>
            </w:r>
            <w:r w:rsidRPr="005806DB">
              <w:rPr>
                <w:rFonts w:ascii="Arial" w:eastAsia="宋体" w:hAnsi="Arial" w:cs="Arial"/>
                <w:kern w:val="0"/>
                <w:sz w:val="24"/>
                <w:szCs w:val="24"/>
              </w:rPr>
              <w:t>月</w:t>
            </w:r>
          </w:p>
        </w:tc>
      </w:tr>
      <w:tr w:rsidR="005806DB" w:rsidRPr="005806DB" w:rsidTr="005806DB">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06DB" w:rsidRPr="005806DB" w:rsidRDefault="005806DB" w:rsidP="005806DB">
            <w:pPr>
              <w:widowControl/>
              <w:jc w:val="left"/>
              <w:rPr>
                <w:rFonts w:ascii="Arial" w:eastAsia="宋体" w:hAnsi="Arial" w:cs="Arial"/>
                <w:kern w:val="0"/>
                <w:sz w:val="24"/>
                <w:szCs w:val="24"/>
              </w:rPr>
            </w:pPr>
          </w:p>
        </w:tc>
        <w:tc>
          <w:tcPr>
            <w:tcW w:w="14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w:t>
            </w:r>
          </w:p>
        </w:tc>
        <w:tc>
          <w:tcPr>
            <w:tcW w:w="21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806DB" w:rsidRPr="005806DB" w:rsidRDefault="005806DB" w:rsidP="005806DB">
            <w:pPr>
              <w:widowControl/>
              <w:wordWrap w:val="0"/>
              <w:spacing w:line="360" w:lineRule="atLeast"/>
              <w:jc w:val="left"/>
              <w:rPr>
                <w:rFonts w:ascii="Arial" w:eastAsia="宋体" w:hAnsi="Arial" w:cs="Arial"/>
                <w:kern w:val="0"/>
                <w:sz w:val="24"/>
                <w:szCs w:val="24"/>
              </w:rPr>
            </w:pPr>
            <w:r w:rsidRPr="005806DB">
              <w:rPr>
                <w:rFonts w:ascii="Arial" w:eastAsia="宋体" w:hAnsi="Arial" w:cs="Arial"/>
                <w:kern w:val="0"/>
                <w:sz w:val="24"/>
                <w:szCs w:val="24"/>
              </w:rPr>
              <w:t>2024</w:t>
            </w:r>
            <w:r w:rsidRPr="005806DB">
              <w:rPr>
                <w:rFonts w:ascii="Arial" w:eastAsia="宋体" w:hAnsi="Arial" w:cs="Arial"/>
                <w:kern w:val="0"/>
                <w:sz w:val="24"/>
                <w:szCs w:val="24"/>
              </w:rPr>
              <w:t>年</w:t>
            </w:r>
            <w:r w:rsidRPr="005806DB">
              <w:rPr>
                <w:rFonts w:ascii="Arial" w:eastAsia="宋体" w:hAnsi="Arial" w:cs="Arial"/>
                <w:kern w:val="0"/>
                <w:sz w:val="24"/>
                <w:szCs w:val="24"/>
              </w:rPr>
              <w:t>11—12</w:t>
            </w:r>
            <w:r w:rsidRPr="005806DB">
              <w:rPr>
                <w:rFonts w:ascii="Arial" w:eastAsia="宋体" w:hAnsi="Arial" w:cs="Arial"/>
                <w:kern w:val="0"/>
                <w:sz w:val="24"/>
                <w:szCs w:val="24"/>
              </w:rPr>
              <w:t>月</w:t>
            </w:r>
          </w:p>
        </w:tc>
      </w:tr>
    </w:tbl>
    <w:p w:rsidR="005806DB" w:rsidRPr="005806DB" w:rsidRDefault="005806DB" w:rsidP="005806DB">
      <w:pPr>
        <w:widowControl/>
        <w:spacing w:before="240" w:after="240" w:line="420" w:lineRule="atLeast"/>
        <w:jc w:val="left"/>
        <w:rPr>
          <w:rFonts w:ascii="宋体" w:eastAsia="宋体" w:hAnsi="宋体" w:cs="Arial" w:hint="eastAsia"/>
          <w:kern w:val="0"/>
          <w:sz w:val="24"/>
          <w:szCs w:val="24"/>
        </w:rPr>
      </w:pPr>
      <w:r w:rsidRPr="005806DB">
        <w:rPr>
          <w:rFonts w:ascii="宋体" w:eastAsia="宋体" w:hAnsi="宋体" w:cs="Arial" w:hint="eastAsia"/>
          <w:kern w:val="0"/>
          <w:sz w:val="24"/>
          <w:szCs w:val="24"/>
        </w:rPr>
        <w:t> </w:t>
      </w:r>
    </w:p>
    <w:p w:rsidR="00A0208F" w:rsidRPr="005806DB" w:rsidRDefault="00A0208F" w:rsidP="005806DB">
      <w:bookmarkStart w:id="0" w:name="_GoBack"/>
      <w:bookmarkEnd w:id="0"/>
    </w:p>
    <w:sectPr w:rsidR="00A0208F" w:rsidRPr="00580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244A67"/>
    <w:rsid w:val="0025273F"/>
    <w:rsid w:val="002C68DD"/>
    <w:rsid w:val="00516243"/>
    <w:rsid w:val="00571439"/>
    <w:rsid w:val="005806DB"/>
    <w:rsid w:val="005D3494"/>
    <w:rsid w:val="00A0208F"/>
    <w:rsid w:val="00A56F66"/>
    <w:rsid w:val="00AC488B"/>
    <w:rsid w:val="00AD20C2"/>
    <w:rsid w:val="00C0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080953504">
      <w:bodyDiv w:val="1"/>
      <w:marLeft w:val="0"/>
      <w:marRight w:val="0"/>
      <w:marTop w:val="0"/>
      <w:marBottom w:val="0"/>
      <w:divBdr>
        <w:top w:val="none" w:sz="0" w:space="0" w:color="auto"/>
        <w:left w:val="none" w:sz="0" w:space="0" w:color="auto"/>
        <w:bottom w:val="none" w:sz="0" w:space="0" w:color="auto"/>
        <w:right w:val="none" w:sz="0" w:space="0" w:color="auto"/>
      </w:divBdr>
      <w:divsChild>
        <w:div w:id="490684309">
          <w:marLeft w:val="0"/>
          <w:marRight w:val="0"/>
          <w:marTop w:val="0"/>
          <w:marBottom w:val="0"/>
          <w:divBdr>
            <w:top w:val="none" w:sz="0" w:space="0" w:color="auto"/>
            <w:left w:val="none" w:sz="0" w:space="0" w:color="auto"/>
            <w:bottom w:val="none" w:sz="0" w:space="0" w:color="auto"/>
            <w:right w:val="none" w:sz="0" w:space="0" w:color="auto"/>
          </w:divBdr>
        </w:div>
      </w:divsChild>
    </w:div>
    <w:div w:id="1381785527">
      <w:bodyDiv w:val="1"/>
      <w:marLeft w:val="0"/>
      <w:marRight w:val="0"/>
      <w:marTop w:val="0"/>
      <w:marBottom w:val="0"/>
      <w:divBdr>
        <w:top w:val="none" w:sz="0" w:space="0" w:color="auto"/>
        <w:left w:val="none" w:sz="0" w:space="0" w:color="auto"/>
        <w:bottom w:val="none" w:sz="0" w:space="0" w:color="auto"/>
        <w:right w:val="none" w:sz="0" w:space="0" w:color="auto"/>
      </w:divBdr>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40329730">
      <w:bodyDiv w:val="1"/>
      <w:marLeft w:val="0"/>
      <w:marRight w:val="0"/>
      <w:marTop w:val="0"/>
      <w:marBottom w:val="0"/>
      <w:divBdr>
        <w:top w:val="none" w:sz="0" w:space="0" w:color="auto"/>
        <w:left w:val="none" w:sz="0" w:space="0" w:color="auto"/>
        <w:bottom w:val="none" w:sz="0" w:space="0" w:color="auto"/>
        <w:right w:val="none" w:sz="0" w:space="0" w:color="auto"/>
      </w:divBdr>
      <w:divsChild>
        <w:div w:id="1411346092">
          <w:marLeft w:val="0"/>
          <w:marRight w:val="0"/>
          <w:marTop w:val="240"/>
          <w:marBottom w:val="240"/>
          <w:divBdr>
            <w:top w:val="none" w:sz="0" w:space="0" w:color="auto"/>
            <w:left w:val="none" w:sz="0" w:space="0" w:color="auto"/>
            <w:bottom w:val="none" w:sz="0" w:space="0" w:color="auto"/>
            <w:right w:val="none" w:sz="0" w:space="0" w:color="auto"/>
          </w:divBdr>
          <w:divsChild>
            <w:div w:id="1716006841">
              <w:marLeft w:val="0"/>
              <w:marRight w:val="0"/>
              <w:marTop w:val="0"/>
              <w:marBottom w:val="0"/>
              <w:divBdr>
                <w:top w:val="none" w:sz="0" w:space="0" w:color="auto"/>
                <w:left w:val="none" w:sz="0" w:space="0" w:color="auto"/>
                <w:bottom w:val="none" w:sz="0" w:space="0" w:color="auto"/>
                <w:right w:val="none" w:sz="0" w:space="0" w:color="auto"/>
              </w:divBdr>
              <w:divsChild>
                <w:div w:id="736363229">
                  <w:marLeft w:val="0"/>
                  <w:marRight w:val="0"/>
                  <w:marTop w:val="0"/>
                  <w:marBottom w:val="0"/>
                  <w:divBdr>
                    <w:top w:val="none" w:sz="0" w:space="0" w:color="auto"/>
                    <w:left w:val="none" w:sz="0" w:space="0" w:color="auto"/>
                    <w:bottom w:val="none" w:sz="0" w:space="0" w:color="auto"/>
                    <w:right w:val="none" w:sz="0" w:space="0" w:color="auto"/>
                  </w:divBdr>
                </w:div>
                <w:div w:id="1595937092">
                  <w:marLeft w:val="0"/>
                  <w:marRight w:val="0"/>
                  <w:marTop w:val="0"/>
                  <w:marBottom w:val="0"/>
                  <w:divBdr>
                    <w:top w:val="none" w:sz="0" w:space="0" w:color="auto"/>
                    <w:left w:val="none" w:sz="0" w:space="0" w:color="auto"/>
                    <w:bottom w:val="none" w:sz="0" w:space="0" w:color="auto"/>
                    <w:right w:val="none" w:sz="0" w:space="0" w:color="auto"/>
                  </w:divBdr>
                </w:div>
                <w:div w:id="2029988869">
                  <w:marLeft w:val="0"/>
                  <w:marRight w:val="0"/>
                  <w:marTop w:val="0"/>
                  <w:marBottom w:val="0"/>
                  <w:divBdr>
                    <w:top w:val="none" w:sz="0" w:space="0" w:color="auto"/>
                    <w:left w:val="none" w:sz="0" w:space="0" w:color="auto"/>
                    <w:bottom w:val="none" w:sz="0" w:space="0" w:color="auto"/>
                    <w:right w:val="none" w:sz="0" w:space="0" w:color="auto"/>
                  </w:divBdr>
                </w:div>
                <w:div w:id="1371615541">
                  <w:marLeft w:val="0"/>
                  <w:marRight w:val="0"/>
                  <w:marTop w:val="0"/>
                  <w:marBottom w:val="0"/>
                  <w:divBdr>
                    <w:top w:val="none" w:sz="0" w:space="0" w:color="auto"/>
                    <w:left w:val="none" w:sz="0" w:space="0" w:color="auto"/>
                    <w:bottom w:val="none" w:sz="0" w:space="0" w:color="auto"/>
                    <w:right w:val="none" w:sz="0" w:space="0" w:color="auto"/>
                  </w:divBdr>
                </w:div>
                <w:div w:id="1623337781">
                  <w:marLeft w:val="0"/>
                  <w:marRight w:val="0"/>
                  <w:marTop w:val="0"/>
                  <w:marBottom w:val="0"/>
                  <w:divBdr>
                    <w:top w:val="none" w:sz="0" w:space="0" w:color="auto"/>
                    <w:left w:val="none" w:sz="0" w:space="0" w:color="auto"/>
                    <w:bottom w:val="none" w:sz="0" w:space="0" w:color="auto"/>
                    <w:right w:val="none" w:sz="0" w:space="0" w:color="auto"/>
                  </w:divBdr>
                </w:div>
                <w:div w:id="616109363">
                  <w:marLeft w:val="0"/>
                  <w:marRight w:val="0"/>
                  <w:marTop w:val="0"/>
                  <w:marBottom w:val="0"/>
                  <w:divBdr>
                    <w:top w:val="none" w:sz="0" w:space="0" w:color="auto"/>
                    <w:left w:val="none" w:sz="0" w:space="0" w:color="auto"/>
                    <w:bottom w:val="none" w:sz="0" w:space="0" w:color="auto"/>
                    <w:right w:val="none" w:sz="0" w:space="0" w:color="auto"/>
                  </w:divBdr>
                </w:div>
                <w:div w:id="1229654960">
                  <w:marLeft w:val="0"/>
                  <w:marRight w:val="0"/>
                  <w:marTop w:val="0"/>
                  <w:marBottom w:val="0"/>
                  <w:divBdr>
                    <w:top w:val="none" w:sz="0" w:space="0" w:color="auto"/>
                    <w:left w:val="none" w:sz="0" w:space="0" w:color="auto"/>
                    <w:bottom w:val="none" w:sz="0" w:space="0" w:color="auto"/>
                    <w:right w:val="none" w:sz="0" w:space="0" w:color="auto"/>
                  </w:divBdr>
                </w:div>
                <w:div w:id="1682201346">
                  <w:marLeft w:val="0"/>
                  <w:marRight w:val="0"/>
                  <w:marTop w:val="0"/>
                  <w:marBottom w:val="0"/>
                  <w:divBdr>
                    <w:top w:val="none" w:sz="0" w:space="0" w:color="auto"/>
                    <w:left w:val="none" w:sz="0" w:space="0" w:color="auto"/>
                    <w:bottom w:val="none" w:sz="0" w:space="0" w:color="auto"/>
                    <w:right w:val="none" w:sz="0" w:space="0" w:color="auto"/>
                  </w:divBdr>
                </w:div>
                <w:div w:id="2125879148">
                  <w:marLeft w:val="0"/>
                  <w:marRight w:val="0"/>
                  <w:marTop w:val="0"/>
                  <w:marBottom w:val="0"/>
                  <w:divBdr>
                    <w:top w:val="none" w:sz="0" w:space="0" w:color="auto"/>
                    <w:left w:val="none" w:sz="0" w:space="0" w:color="auto"/>
                    <w:bottom w:val="none" w:sz="0" w:space="0" w:color="auto"/>
                    <w:right w:val="none" w:sz="0" w:space="0" w:color="auto"/>
                  </w:divBdr>
                </w:div>
                <w:div w:id="1503203136">
                  <w:marLeft w:val="0"/>
                  <w:marRight w:val="0"/>
                  <w:marTop w:val="0"/>
                  <w:marBottom w:val="0"/>
                  <w:divBdr>
                    <w:top w:val="none" w:sz="0" w:space="0" w:color="auto"/>
                    <w:left w:val="none" w:sz="0" w:space="0" w:color="auto"/>
                    <w:bottom w:val="none" w:sz="0" w:space="0" w:color="auto"/>
                    <w:right w:val="none" w:sz="0" w:space="0" w:color="auto"/>
                  </w:divBdr>
                </w:div>
                <w:div w:id="663437980">
                  <w:marLeft w:val="0"/>
                  <w:marRight w:val="0"/>
                  <w:marTop w:val="0"/>
                  <w:marBottom w:val="0"/>
                  <w:divBdr>
                    <w:top w:val="none" w:sz="0" w:space="0" w:color="auto"/>
                    <w:left w:val="none" w:sz="0" w:space="0" w:color="auto"/>
                    <w:bottom w:val="none" w:sz="0" w:space="0" w:color="auto"/>
                    <w:right w:val="none" w:sz="0" w:space="0" w:color="auto"/>
                  </w:divBdr>
                </w:div>
                <w:div w:id="45833886">
                  <w:marLeft w:val="0"/>
                  <w:marRight w:val="0"/>
                  <w:marTop w:val="0"/>
                  <w:marBottom w:val="0"/>
                  <w:divBdr>
                    <w:top w:val="none" w:sz="0" w:space="0" w:color="auto"/>
                    <w:left w:val="none" w:sz="0" w:space="0" w:color="auto"/>
                    <w:bottom w:val="none" w:sz="0" w:space="0" w:color="auto"/>
                    <w:right w:val="none" w:sz="0" w:space="0" w:color="auto"/>
                  </w:divBdr>
                </w:div>
                <w:div w:id="648942915">
                  <w:marLeft w:val="0"/>
                  <w:marRight w:val="0"/>
                  <w:marTop w:val="0"/>
                  <w:marBottom w:val="0"/>
                  <w:divBdr>
                    <w:top w:val="none" w:sz="0" w:space="0" w:color="auto"/>
                    <w:left w:val="none" w:sz="0" w:space="0" w:color="auto"/>
                    <w:bottom w:val="none" w:sz="0" w:space="0" w:color="auto"/>
                    <w:right w:val="none" w:sz="0" w:space="0" w:color="auto"/>
                  </w:divBdr>
                </w:div>
                <w:div w:id="966014263">
                  <w:marLeft w:val="0"/>
                  <w:marRight w:val="0"/>
                  <w:marTop w:val="0"/>
                  <w:marBottom w:val="0"/>
                  <w:divBdr>
                    <w:top w:val="none" w:sz="0" w:space="0" w:color="auto"/>
                    <w:left w:val="none" w:sz="0" w:space="0" w:color="auto"/>
                    <w:bottom w:val="none" w:sz="0" w:space="0" w:color="auto"/>
                    <w:right w:val="none" w:sz="0" w:space="0" w:color="auto"/>
                  </w:divBdr>
                </w:div>
                <w:div w:id="523636764">
                  <w:marLeft w:val="0"/>
                  <w:marRight w:val="0"/>
                  <w:marTop w:val="0"/>
                  <w:marBottom w:val="0"/>
                  <w:divBdr>
                    <w:top w:val="none" w:sz="0" w:space="0" w:color="auto"/>
                    <w:left w:val="none" w:sz="0" w:space="0" w:color="auto"/>
                    <w:bottom w:val="none" w:sz="0" w:space="0" w:color="auto"/>
                    <w:right w:val="none" w:sz="0" w:space="0" w:color="auto"/>
                  </w:divBdr>
                </w:div>
                <w:div w:id="9843417">
                  <w:marLeft w:val="0"/>
                  <w:marRight w:val="0"/>
                  <w:marTop w:val="0"/>
                  <w:marBottom w:val="0"/>
                  <w:divBdr>
                    <w:top w:val="none" w:sz="0" w:space="0" w:color="auto"/>
                    <w:left w:val="none" w:sz="0" w:space="0" w:color="auto"/>
                    <w:bottom w:val="none" w:sz="0" w:space="0" w:color="auto"/>
                    <w:right w:val="none" w:sz="0" w:space="0" w:color="auto"/>
                  </w:divBdr>
                </w:div>
                <w:div w:id="1121151223">
                  <w:marLeft w:val="0"/>
                  <w:marRight w:val="0"/>
                  <w:marTop w:val="0"/>
                  <w:marBottom w:val="0"/>
                  <w:divBdr>
                    <w:top w:val="none" w:sz="0" w:space="0" w:color="auto"/>
                    <w:left w:val="none" w:sz="0" w:space="0" w:color="auto"/>
                    <w:bottom w:val="none" w:sz="0" w:space="0" w:color="auto"/>
                    <w:right w:val="none" w:sz="0" w:space="0" w:color="auto"/>
                  </w:divBdr>
                </w:div>
                <w:div w:id="1811244457">
                  <w:marLeft w:val="0"/>
                  <w:marRight w:val="0"/>
                  <w:marTop w:val="0"/>
                  <w:marBottom w:val="0"/>
                  <w:divBdr>
                    <w:top w:val="none" w:sz="0" w:space="0" w:color="auto"/>
                    <w:left w:val="none" w:sz="0" w:space="0" w:color="auto"/>
                    <w:bottom w:val="none" w:sz="0" w:space="0" w:color="auto"/>
                    <w:right w:val="none" w:sz="0" w:space="0" w:color="auto"/>
                  </w:divBdr>
                </w:div>
                <w:div w:id="882980061">
                  <w:marLeft w:val="0"/>
                  <w:marRight w:val="0"/>
                  <w:marTop w:val="0"/>
                  <w:marBottom w:val="0"/>
                  <w:divBdr>
                    <w:top w:val="none" w:sz="0" w:space="0" w:color="auto"/>
                    <w:left w:val="none" w:sz="0" w:space="0" w:color="auto"/>
                    <w:bottom w:val="none" w:sz="0" w:space="0" w:color="auto"/>
                    <w:right w:val="none" w:sz="0" w:space="0" w:color="auto"/>
                  </w:divBdr>
                </w:div>
                <w:div w:id="222450919">
                  <w:marLeft w:val="0"/>
                  <w:marRight w:val="0"/>
                  <w:marTop w:val="0"/>
                  <w:marBottom w:val="0"/>
                  <w:divBdr>
                    <w:top w:val="none" w:sz="0" w:space="0" w:color="auto"/>
                    <w:left w:val="none" w:sz="0" w:space="0" w:color="auto"/>
                    <w:bottom w:val="none" w:sz="0" w:space="0" w:color="auto"/>
                    <w:right w:val="none" w:sz="0" w:space="0" w:color="auto"/>
                  </w:divBdr>
                </w:div>
                <w:div w:id="1705979366">
                  <w:marLeft w:val="0"/>
                  <w:marRight w:val="0"/>
                  <w:marTop w:val="0"/>
                  <w:marBottom w:val="0"/>
                  <w:divBdr>
                    <w:top w:val="none" w:sz="0" w:space="0" w:color="auto"/>
                    <w:left w:val="none" w:sz="0" w:space="0" w:color="auto"/>
                    <w:bottom w:val="none" w:sz="0" w:space="0" w:color="auto"/>
                    <w:right w:val="none" w:sz="0" w:space="0" w:color="auto"/>
                  </w:divBdr>
                </w:div>
                <w:div w:id="14275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1454</Characters>
  <Application>Microsoft Office Word</Application>
  <DocSecurity>0</DocSecurity>
  <Lines>12</Lines>
  <Paragraphs>3</Paragraphs>
  <ScaleCrop>false</ScaleCrop>
  <Company>HP Inc.</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2024-10-18T04:58:00Z</dcterms:created>
  <dcterms:modified xsi:type="dcterms:W3CDTF">2024-10-18T04:58:00Z</dcterms:modified>
</cp:coreProperties>
</file>