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43" w:rsidRPr="00516243" w:rsidRDefault="00516243" w:rsidP="00516243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516243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0"/>
        <w:gridCol w:w="1018"/>
        <w:gridCol w:w="1547"/>
        <w:gridCol w:w="2585"/>
        <w:gridCol w:w="1378"/>
        <w:gridCol w:w="1468"/>
      </w:tblGrid>
      <w:tr w:rsidR="00516243" w:rsidRPr="00516243" w:rsidTr="00516243">
        <w:trPr>
          <w:trHeight w:val="66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审核的具体执法决定项目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审核依据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应提交审核的材料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审核要点</w:t>
            </w:r>
          </w:p>
        </w:tc>
      </w:tr>
      <w:tr w:rsidR="00516243" w:rsidRPr="00516243" w:rsidTr="00516243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律师违反《中华人民共和国律师法》需要给予较大数额罚款、停止执业的处罚。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《中华人民共和国行政处罚法》；《中华人民共和国律师法》第四十七条、第四十八条、第四十九条、第五十一条、第五十二条；《律师和律师事务所违法行为处罚办法》第三十二条、第四十条。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拟作出重大行政执法决定建议或者意见及其情况说明；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2.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相关证据资料；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执法主体是否合法，执法人员是否具备执法资格；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是否有超越本机关职权范围或滥用职权的情形；当事人的基本情况是否查清；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3.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本机关对该案是否具有管辖权；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4.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事实是否清楚，证据是否确凿、充分，材料是否齐全；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5.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违法行为是否超过追责时效；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6.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案件定性是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否准确，适用法律法规、规章是否正确；行政决定是否适当；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7.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程序是否合法；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8.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行政执法文书是否完备；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9.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违法行为是否需要转为刑事案件办理；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10.</w:t>
            </w: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其他依法应当审核的事项。</w:t>
            </w:r>
          </w:p>
        </w:tc>
      </w:tr>
      <w:tr w:rsidR="00516243" w:rsidRPr="00516243" w:rsidTr="00516243">
        <w:trPr>
          <w:trHeight w:val="13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律师事务所违反《中华人民共和国律师法》需要给予较大数额罚款、停业整顿的处罚。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《中华人民共和国行政处罚法》；《中华人民共和国律师法》第五十条；《律师和律师事务所违法行为处罚办法》第三十三条。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1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非律师人员违反《中华人民共和国律师法》需要给予较大数额罚款的处罚。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《中华人民共和国行政处罚法》；《中华人民共和国律师法》第五十五条。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3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律师事务所、基层法律服务所违反《中华人民共和国法律援助法》需要依法给予处罚。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《中华人民共和国行政处罚法》；《中华人民共和国法律援助法》第六十二条。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律师、基层法律服务工作者违反《中华人民共和国法律援助法》需要依法给予处罚。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《中华人民共和国行政处罚法》；《中华人民共和国法律援助法》第六十三条。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受援人违反《中华人民共和国法律援助法》需要依法给予处罚的。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《中华人民共和国行政处罚法》；《中华人民共和国法律援助法》第六十四条。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3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基层法律服务所违反《基层法律服务所管理办法》需要给予没收违法所得、罚款的处罚。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《中华人民共和国行政处罚法》；《基层法律服务所管理办法》第三十六条。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基层法律服务工作者违反《基层法律服务工作者管理办法》需要给予较大数额罚款的处罚。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《中华人民共和国行政处罚法》；《基层法律服务工作者管理办法》第四十六条。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律师违反《律师事务所年度检查考核办法》需要给予相应的处罚。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《中华人民共和国行政处罚法》；《律师事务所年度检查考核办法》第二十五条。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律师事务所违反《律师事务所年度检查考核办法》需要给予停业整顿处的罚。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《中华人民共和国行政处罚法》；《律师事务所年度检查考核办法》第二十五条。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律师事务所违反《律师事务所名称管理办法》需要给予相应的行政处罚。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《中华人民共和国行政处罚法》；《律师事务所名称管理办法》第二十五条。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0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律师违反《律师执业管理办法》需要给予相应的处罚。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《中华人民共和国行政处罚法》；《律师执业管理办法》第五十三条。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公证机构违反《中华人民共和国公证法》需要给予较大数额罚款、停业整顿的处罚。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《中华人民共和国行政处罚法》；《中华人民共和国公证法》第四十一条、第四十二条。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6243" w:rsidRPr="00516243" w:rsidTr="00516243">
        <w:trPr>
          <w:trHeight w:val="1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公证员违反《中华人民共和国公证法》需要给予较大数额罚款、停止执业的处罚。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16243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《中华人民共和国行政处罚法》；《中华人民共和国公证法》第四十一条、第四十二条。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243" w:rsidRPr="00516243" w:rsidRDefault="00516243" w:rsidP="0051624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16243" w:rsidRPr="00516243" w:rsidRDefault="00516243" w:rsidP="00516243">
      <w:pPr>
        <w:widowControl/>
        <w:spacing w:before="240" w:after="240"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516243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A0208F" w:rsidRDefault="00A0208F">
      <w:bookmarkStart w:id="0" w:name="_GoBack"/>
      <w:bookmarkEnd w:id="0"/>
    </w:p>
    <w:sectPr w:rsidR="00A0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516243"/>
    <w:rsid w:val="005D3494"/>
    <w:rsid w:val="00A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丰都县司法局内勤</dc:creator>
  <cp:keywords/>
  <dc:description/>
  <cp:lastModifiedBy>丰都县司法局内勤</cp:lastModifiedBy>
  <cp:revision>2</cp:revision>
  <dcterms:created xsi:type="dcterms:W3CDTF">2024-10-18T04:50:00Z</dcterms:created>
  <dcterms:modified xsi:type="dcterms:W3CDTF">2024-10-18T04:50:00Z</dcterms:modified>
</cp:coreProperties>
</file>