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丰都县移民服务中心</w:t>
      </w:r>
    </w:p>
    <w:p>
      <w:pPr>
        <w:pStyle w:val="9"/>
        <w:spacing w:before="0" w:beforeAutospacing="0" w:after="0" w:afterAutospacing="0" w:line="596" w:lineRule="exact"/>
        <w:jc w:val="center"/>
        <w:rPr>
          <w:rFonts w:hint="default"/>
          <w:sz w:val="27"/>
          <w:szCs w:val="27"/>
          <w:shd w:val="clear" w:color="auto" w:fill="FFFF00"/>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shd w:val="clear" w:color="auto" w:fill="FFFFFF"/>
        <w:spacing w:before="0" w:beforeAutospacing="0" w:after="0" w:afterAutospacing="0" w:line="596" w:lineRule="exact"/>
        <w:ind w:firstLine="641"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一、单位基本情况</w:t>
      </w:r>
    </w:p>
    <w:p>
      <w:pPr>
        <w:pStyle w:val="9"/>
        <w:shd w:val="clear" w:color="auto" w:fill="FFFFFF"/>
        <w:spacing w:before="0" w:beforeAutospacing="0" w:after="0" w:afterAutospacing="0" w:line="596" w:lineRule="exact"/>
        <w:ind w:firstLine="641" w:firstLineChars="200"/>
        <w:rPr>
          <w:rFonts w:hint="default" w:ascii="Times New Roman" w:hAnsi="Times New Roman" w:eastAsia="方正仿宋_GBK"/>
          <w:sz w:val="32"/>
          <w:szCs w:val="32"/>
        </w:rPr>
      </w:pPr>
      <w:r>
        <w:rPr>
          <w:rStyle w:val="13"/>
          <w:rFonts w:hint="default" w:ascii="Times New Roman" w:hAnsi="Times New Roman" w:eastAsia="楷体"/>
          <w:sz w:val="32"/>
          <w:szCs w:val="32"/>
          <w:shd w:val="clear" w:color="auto" w:fill="FFFFFF"/>
        </w:rPr>
        <w:t>（一）职能职责</w:t>
      </w:r>
    </w:p>
    <w:p>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（1）承担水库移民后期扶持项目库建设的事务性工作；</w:t>
      </w:r>
    </w:p>
    <w:p>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（2）承担水库移民后期扶持项目绩效评价、咨询评估、实施情况监测、验收等事务性工作；</w:t>
      </w:r>
    </w:p>
    <w:p>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（3）承担水库移民资产登记服务工作；</w:t>
      </w:r>
    </w:p>
    <w:p>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（4）承担水库移民后期扶持的其他技术服务工作；</w:t>
      </w:r>
    </w:p>
    <w:p>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（5）承办上级交办的其他相关工作。</w:t>
      </w:r>
    </w:p>
    <w:p>
      <w:pPr>
        <w:pStyle w:val="9"/>
        <w:shd w:val="clear" w:color="auto" w:fill="FFFFFF"/>
        <w:spacing w:before="0" w:beforeAutospacing="0" w:after="0" w:afterAutospacing="0" w:line="596" w:lineRule="exact"/>
        <w:ind w:firstLine="641" w:firstLineChars="200"/>
        <w:rPr>
          <w:rFonts w:hint="default" w:ascii="Times New Roman" w:hAnsi="Times New Roman" w:eastAsia="楷体"/>
          <w:sz w:val="32"/>
          <w:szCs w:val="32"/>
        </w:rPr>
      </w:pPr>
      <w:r>
        <w:rPr>
          <w:rStyle w:val="13"/>
          <w:rFonts w:hint="default" w:ascii="Times New Roman" w:hAnsi="Times New Roman" w:eastAsia="楷体"/>
          <w:sz w:val="32"/>
          <w:szCs w:val="32"/>
          <w:shd w:val="clear" w:color="auto" w:fill="FFFFFF"/>
        </w:rPr>
        <w:t>（二）机构设置</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我单位为按副科级管理的财政全额拨款公益一类事业单位，无内设机构。</w:t>
      </w:r>
    </w:p>
    <w:p>
      <w:pPr>
        <w:pStyle w:val="9"/>
        <w:shd w:val="clear" w:color="auto" w:fill="FFFFFF"/>
        <w:spacing w:before="0" w:beforeAutospacing="0" w:after="0" w:afterAutospacing="0" w:line="596" w:lineRule="exact"/>
        <w:ind w:firstLine="641" w:firstLineChars="200"/>
        <w:rPr>
          <w:rStyle w:val="13"/>
          <w:rFonts w:hint="default" w:ascii="Times New Roman" w:hAnsi="Times New Roman" w:eastAsia="黑体"/>
          <w:sz w:val="32"/>
          <w:szCs w:val="32"/>
          <w:shd w:val="clear" w:color="auto" w:fill="FFFFFF"/>
        </w:rPr>
      </w:pPr>
      <w:r>
        <w:rPr>
          <w:rStyle w:val="13"/>
          <w:rFonts w:hint="default" w:ascii="Times New Roman" w:hAnsi="Times New Roman" w:eastAsia="黑体"/>
          <w:sz w:val="32"/>
          <w:szCs w:val="32"/>
          <w:shd w:val="clear" w:color="auto" w:fill="FFFFFF"/>
        </w:rPr>
        <w:t>二、</w:t>
      </w:r>
      <w:r>
        <w:rPr>
          <w:rStyle w:val="13"/>
          <w:rFonts w:ascii="Times New Roman" w:hAnsi="Times New Roman" w:eastAsia="黑体"/>
          <w:sz w:val="32"/>
          <w:szCs w:val="32"/>
          <w:shd w:val="clear" w:color="auto" w:fill="FFFFFF"/>
        </w:rPr>
        <w:t>单位</w:t>
      </w:r>
      <w:r>
        <w:rPr>
          <w:rStyle w:val="13"/>
          <w:rFonts w:hint="default" w:ascii="Times New Roman" w:hAnsi="Times New Roman" w:eastAsia="黑体"/>
          <w:sz w:val="32"/>
          <w:szCs w:val="32"/>
          <w:shd w:val="clear" w:color="auto" w:fill="FFFFFF"/>
        </w:rPr>
        <w:t>决算收支情况说明</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（一）收入支出决算总体情况说明</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2024年度收、支总计均为119.91万元。收、支与2023年度相比，增加39.37万元，增长48.9%，</w:t>
      </w:r>
      <w:r>
        <w:rPr>
          <w:rFonts w:hint="default" w:ascii="Times New Roman" w:hAnsi="Times New Roman" w:eastAsia="仿宋_GB2312"/>
          <w:sz w:val="32"/>
          <w:szCs w:val="32"/>
        </w:rPr>
        <w:t>主要原因是我单位本年度新增了人员，导致相关预算支出均增加。</w:t>
      </w:r>
    </w:p>
    <w:p>
      <w:pPr>
        <w:pStyle w:val="9"/>
        <w:shd w:val="clear" w:color="auto" w:fill="FFFFFF"/>
        <w:spacing w:before="0" w:beforeAutospacing="0" w:after="0" w:afterAutospacing="0" w:line="596" w:lineRule="exact"/>
        <w:ind w:firstLine="641" w:firstLineChars="200"/>
        <w:jc w:val="both"/>
        <w:rPr>
          <w:rFonts w:hint="default" w:ascii="Times New Roman" w:hAnsi="Times New Roman" w:eastAsia="方正仿宋_GBK"/>
          <w:sz w:val="32"/>
          <w:szCs w:val="32"/>
          <w:shd w:val="clear" w:color="auto" w:fill="FFFFFF"/>
        </w:rPr>
      </w:pPr>
      <w:r>
        <w:rPr>
          <w:rStyle w:val="13"/>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2024年度收入合计119.91万元，与2023年度相比，增加39.37万元，增长48.9%，</w:t>
      </w:r>
      <w:r>
        <w:rPr>
          <w:rFonts w:hint="default" w:ascii="Times New Roman" w:hAnsi="Times New Roman" w:eastAsia="仿宋_GB2312"/>
          <w:sz w:val="32"/>
          <w:szCs w:val="32"/>
        </w:rPr>
        <w:t>主要原因是我单位本年度新增了人员，导致相关预算支出均增加。</w:t>
      </w:r>
      <w:r>
        <w:rPr>
          <w:rFonts w:hint="default" w:ascii="Times New Roman" w:hAnsi="Times New Roman" w:eastAsia="方正仿宋_GBK"/>
          <w:sz w:val="32"/>
          <w:szCs w:val="32"/>
          <w:shd w:val="clear" w:color="auto" w:fill="FFFFFF"/>
        </w:rPr>
        <w:t>其中：财政拨款收入119.91万元，占100.0%；事业收入0.00万元，占0.0%；经营收入0.00万元，占0.0%；其他收入0.00万元，占0.0%。此外，使用非财政拨款结余（含专用结余）0.00万元，年初结转和结余0.00万元。</w:t>
      </w:r>
    </w:p>
    <w:p>
      <w:pPr>
        <w:pStyle w:val="9"/>
        <w:snapToGrid w:val="0"/>
        <w:spacing w:before="0" w:beforeAutospacing="0" w:after="0" w:afterAutospacing="0" w:line="596" w:lineRule="exact"/>
        <w:ind w:firstLine="641" w:firstLineChars="200"/>
        <w:jc w:val="both"/>
        <w:rPr>
          <w:rFonts w:hint="default" w:ascii="Times New Roman" w:hAnsi="Times New Roman" w:eastAsia="方正仿宋_GBK"/>
          <w:sz w:val="32"/>
          <w:szCs w:val="32"/>
          <w:shd w:val="clear" w:color="auto" w:fill="FFFFFF"/>
        </w:rPr>
      </w:pPr>
      <w:r>
        <w:rPr>
          <w:rStyle w:val="13"/>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2024年度支出合计119.91万元，与2023年度相比，增加39.37万元，增长48.9%，</w:t>
      </w:r>
      <w:r>
        <w:rPr>
          <w:rFonts w:hint="default" w:ascii="Times New Roman" w:hAnsi="Times New Roman" w:eastAsia="仿宋_GB2312"/>
          <w:sz w:val="32"/>
          <w:szCs w:val="32"/>
        </w:rPr>
        <w:t>主要原因是我单位本年度新增了人员，导致相关预算支出均增加。</w:t>
      </w:r>
      <w:r>
        <w:rPr>
          <w:rFonts w:hint="default" w:ascii="Times New Roman" w:hAnsi="Times New Roman" w:eastAsia="方正仿宋_GBK"/>
          <w:sz w:val="32"/>
          <w:szCs w:val="32"/>
          <w:shd w:val="clear" w:color="auto" w:fill="FFFFFF"/>
        </w:rPr>
        <w:t>其中：基本支出119.91万元，占100.0%；项目支出0.00万元，占0.0%；经营支出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万元，占0.0%。此外，结余分配0.00万元。</w:t>
      </w:r>
    </w:p>
    <w:p>
      <w:pPr>
        <w:pStyle w:val="9"/>
        <w:snapToGrid w:val="0"/>
        <w:spacing w:before="0" w:beforeAutospacing="0" w:after="0" w:afterAutospacing="0" w:line="596" w:lineRule="exact"/>
        <w:ind w:firstLine="641" w:firstLineChars="200"/>
        <w:jc w:val="both"/>
        <w:rPr>
          <w:rFonts w:hint="default" w:ascii="Times New Roman" w:hAnsi="Times New Roman" w:eastAsia="方正仿宋_GBK"/>
          <w:sz w:val="32"/>
          <w:szCs w:val="32"/>
        </w:rPr>
      </w:pPr>
      <w:r>
        <w:rPr>
          <w:rStyle w:val="13"/>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2024年度年末结转和结余0.00万元，与2023年度相比，无增减，主要原因是无结转结余。</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（二）财政拨款收入支出决算总体情况说明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2024年度财政拨款收、支总计均为119.91万元。与2023年度相比，财政拨款收、支总计各增加39.37万元，增长48.9%。</w:t>
      </w:r>
      <w:r>
        <w:rPr>
          <w:rFonts w:hint="default" w:ascii="Times New Roman" w:hAnsi="Times New Roman" w:eastAsia="仿宋_GB2312"/>
          <w:sz w:val="32"/>
          <w:szCs w:val="32"/>
        </w:rPr>
        <w:t>主要原因是我单位本年度新增了人员，导致相关预算支出均增加。</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（三）一般公共预算财政拨款收入支出决算情况说明</w:t>
      </w:r>
    </w:p>
    <w:p>
      <w:pPr>
        <w:pStyle w:val="9"/>
        <w:snapToGrid w:val="0"/>
        <w:spacing w:before="0" w:beforeAutospacing="0" w:after="0" w:afterAutospacing="0" w:line="596" w:lineRule="exact"/>
        <w:ind w:firstLine="641" w:firstLineChars="200"/>
        <w:jc w:val="both"/>
        <w:rPr>
          <w:rFonts w:hint="default" w:ascii="Times New Roman" w:hAnsi="Times New Roman" w:eastAsia="方正仿宋_GBK"/>
          <w:sz w:val="32"/>
          <w:szCs w:val="32"/>
        </w:rPr>
      </w:pPr>
      <w:r>
        <w:rPr>
          <w:rStyle w:val="13"/>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2024年度一般公共预算财政拨款收入119.91万元，与2023年度相比，增加39.37万元，增长48.9%。</w:t>
      </w:r>
      <w:r>
        <w:rPr>
          <w:rFonts w:hint="default" w:ascii="Times New Roman" w:hAnsi="Times New Roman" w:eastAsia="仿宋_GB2312"/>
          <w:sz w:val="32"/>
          <w:szCs w:val="32"/>
        </w:rPr>
        <w:t>主要原因是我单位本年度新增了人员，导致相关预算支出均增加。</w:t>
      </w:r>
      <w:r>
        <w:rPr>
          <w:rFonts w:hint="default" w:ascii="Times New Roman" w:hAnsi="Times New Roman" w:eastAsia="方正仿宋_GBK"/>
          <w:sz w:val="32"/>
          <w:szCs w:val="32"/>
          <w:shd w:val="clear" w:color="auto" w:fill="FFFFFF"/>
        </w:rPr>
        <w:t>较年初预算数增加33.06万元，增长38.1%。</w:t>
      </w:r>
      <w:r>
        <w:rPr>
          <w:rFonts w:hint="default" w:ascii="Times New Roman" w:hAnsi="Times New Roman" w:eastAsia="仿宋_GB2312"/>
          <w:sz w:val="32"/>
          <w:szCs w:val="32"/>
        </w:rPr>
        <w:t>主要原因是我单位本年度新增了人员，导致相关预算支出均增加。</w:t>
      </w:r>
      <w:r>
        <w:rPr>
          <w:rFonts w:hint="default" w:ascii="Times New Roman" w:hAnsi="Times New Roman" w:eastAsia="方正仿宋_GBK"/>
          <w:sz w:val="32"/>
          <w:szCs w:val="32"/>
          <w:shd w:val="clear" w:color="auto" w:fill="FFFFFF"/>
        </w:rPr>
        <w:t>此外，年初财政拨款结转和结余0.00万元。</w:t>
      </w:r>
    </w:p>
    <w:p>
      <w:pPr>
        <w:pStyle w:val="9"/>
        <w:snapToGrid w:val="0"/>
        <w:spacing w:before="0" w:beforeAutospacing="0" w:after="0" w:afterAutospacing="0" w:line="596" w:lineRule="exact"/>
        <w:ind w:firstLine="641" w:firstLineChars="200"/>
        <w:jc w:val="both"/>
        <w:rPr>
          <w:rFonts w:hint="default" w:ascii="Times New Roman" w:hAnsi="Times New Roman" w:eastAsia="方正仿宋_GBK"/>
          <w:sz w:val="32"/>
          <w:szCs w:val="32"/>
          <w:shd w:val="clear" w:color="auto" w:fill="FFFFFF"/>
        </w:rPr>
      </w:pPr>
      <w:r>
        <w:rPr>
          <w:rStyle w:val="13"/>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2024年度一般公共预算财政拨款支出119.91万元，与2023年度相比，增加39.37万元，增长48.9%。</w:t>
      </w:r>
      <w:r>
        <w:rPr>
          <w:rFonts w:hint="default" w:ascii="Times New Roman" w:hAnsi="Times New Roman" w:eastAsia="仿宋_GB2312"/>
          <w:sz w:val="32"/>
          <w:szCs w:val="32"/>
        </w:rPr>
        <w:t>主要原因是我单位本年度新增了人员，导致相关预算支出均增加。</w:t>
      </w:r>
      <w:r>
        <w:rPr>
          <w:rFonts w:hint="default" w:ascii="Times New Roman" w:hAnsi="Times New Roman" w:eastAsia="方正仿宋_GBK"/>
          <w:sz w:val="32"/>
          <w:szCs w:val="32"/>
          <w:shd w:val="clear" w:color="auto" w:fill="FFFFFF"/>
        </w:rPr>
        <w:t>较年初预算数增加33.06万元，增长38.1%。</w:t>
      </w:r>
      <w:r>
        <w:rPr>
          <w:rFonts w:hint="default" w:ascii="Times New Roman" w:hAnsi="Times New Roman" w:eastAsia="仿宋_GB2312"/>
          <w:sz w:val="32"/>
          <w:szCs w:val="32"/>
        </w:rPr>
        <w:t>主要原因是我单位本年度新增了人员，导致相关预算支出均增加。</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一般公共预算财政拨款支出主要用途如下：</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（8）社会保障和就业支出15.50万元，占12.9%，较年初预算数增加6.85万元，增长79.2%，</w:t>
      </w:r>
      <w:r>
        <w:rPr>
          <w:rFonts w:hint="default" w:ascii="Times New Roman" w:hAnsi="Times New Roman" w:eastAsia="仿宋_GB2312"/>
          <w:sz w:val="32"/>
          <w:szCs w:val="32"/>
        </w:rPr>
        <w:t>主要原因是人员增加，人员调资，重新核定养老保险、职业年金缴费基数，社会保障和就业支出增加。</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（9）卫生健康支出4.89万元，占4.1%，较年初预算数增加0.54万元，增长12.4%，</w:t>
      </w:r>
      <w:r>
        <w:rPr>
          <w:rFonts w:hint="default" w:ascii="Times New Roman" w:hAnsi="Times New Roman" w:eastAsia="仿宋_GB2312"/>
          <w:sz w:val="32"/>
          <w:szCs w:val="32"/>
        </w:rPr>
        <w:t>主要原因是人员增加、调资晋级增加工资福利待遇支出。</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（12）农林水支出94.55万元，占78.9%，较年初预算数增加25.04万元，增长36.0%，</w:t>
      </w:r>
      <w:r>
        <w:rPr>
          <w:rFonts w:hint="default" w:ascii="Times New Roman" w:hAnsi="Times New Roman" w:eastAsia="仿宋_GB2312"/>
          <w:sz w:val="32"/>
          <w:szCs w:val="32"/>
        </w:rPr>
        <w:t>主要原因是人员增加、调资晋级增加工资福利待遇支出。</w:t>
      </w:r>
    </w:p>
    <w:p>
      <w:pPr>
        <w:snapToGrid w:val="0"/>
        <w:spacing w:line="520"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（19）</w:t>
      </w:r>
      <w:r>
        <w:rPr>
          <w:rFonts w:hint="default" w:ascii="Times New Roman" w:hAnsi="Times New Roman" w:eastAsia="方正仿宋_GBK"/>
          <w:sz w:val="32"/>
          <w:szCs w:val="32"/>
        </w:rPr>
        <w:t>住房保障支出</w:t>
      </w:r>
      <w:r>
        <w:rPr>
          <w:rFonts w:hint="default" w:ascii="Times New Roman" w:hAnsi="Times New Roman" w:eastAsia="方正仿宋_GBK"/>
          <w:sz w:val="32"/>
          <w:szCs w:val="32"/>
          <w:shd w:val="clear" w:color="auto" w:fill="FFFFFF"/>
        </w:rPr>
        <w:t>4.96万元，占4.1%，较年初预算数增加0.63万元，增长14.6%，</w:t>
      </w:r>
      <w:r>
        <w:rPr>
          <w:rFonts w:hint="default" w:ascii="Times New Roman" w:hAnsi="Times New Roman" w:eastAsia="仿宋_GB2312"/>
          <w:sz w:val="32"/>
          <w:szCs w:val="32"/>
        </w:rPr>
        <w:t>主要原因2024年度新增加2人，导致住房保障支出增加。</w:t>
      </w:r>
    </w:p>
    <w:p>
      <w:pPr>
        <w:pStyle w:val="9"/>
        <w:snapToGrid w:val="0"/>
        <w:spacing w:before="0" w:beforeAutospacing="0" w:after="0" w:afterAutospacing="0" w:line="596" w:lineRule="exact"/>
        <w:ind w:firstLine="641" w:firstLineChars="200"/>
        <w:jc w:val="both"/>
        <w:rPr>
          <w:rFonts w:hint="default" w:ascii="Times New Roman" w:hAnsi="Times New Roman" w:eastAsia="方正仿宋_GBK"/>
          <w:sz w:val="32"/>
          <w:szCs w:val="32"/>
          <w:shd w:val="clear" w:color="auto" w:fill="FFFFFF"/>
        </w:rPr>
      </w:pPr>
      <w:r>
        <w:rPr>
          <w:rStyle w:val="13"/>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2024年度年末一般公共预算财政拨款结转和结余0.00万元，与2023年度相比，无增减，主要原因是无结转结余。</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（四）一般公共预算财政拨款基本支出决算情况说明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2024年度一般公共财政拨款基本支出119.91万元。</w:t>
      </w:r>
    </w:p>
    <w:p>
      <w:pPr>
        <w:pStyle w:val="9"/>
        <w:snapToGrid w:val="0"/>
        <w:spacing w:before="0" w:beforeAutospacing="0" w:after="0" w:afterAutospacing="0" w:line="596" w:lineRule="exact"/>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其中：</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人员经费106.60万元，与2023年度相比，增加37.76万元，增长54.9%，</w:t>
      </w:r>
      <w:r>
        <w:rPr>
          <w:rFonts w:hint="default" w:ascii="Times New Roman" w:hAnsi="Times New Roman" w:eastAsia="方正仿宋_GBK"/>
          <w:sz w:val="32"/>
          <w:szCs w:val="32"/>
          <w:highlight w:val="none"/>
          <w:shd w:val="clear" w:color="auto" w:fill="FFFFFF"/>
        </w:rPr>
        <w:t>主要原因是我单位人员</w:t>
      </w:r>
      <w:r>
        <w:rPr>
          <w:rFonts w:hint="default" w:ascii="Times New Roman" w:hAnsi="Times New Roman" w:eastAsia="方正仿宋_GBK"/>
          <w:sz w:val="32"/>
          <w:szCs w:val="32"/>
          <w:highlight w:val="none"/>
          <w:shd w:val="clear" w:color="auto" w:fill="FFFFFF"/>
          <w:woUserID w:val="1"/>
        </w:rPr>
        <w:t>增加、</w:t>
      </w:r>
      <w:r>
        <w:rPr>
          <w:rFonts w:hint="default" w:ascii="Times New Roman" w:hAnsi="Times New Roman" w:eastAsia="方正仿宋_GBK"/>
          <w:sz w:val="32"/>
          <w:szCs w:val="32"/>
          <w:highlight w:val="none"/>
          <w:shd w:val="clear" w:color="auto" w:fill="FFFFFF"/>
        </w:rPr>
        <w:t>晋级调资</w:t>
      </w:r>
      <w:r>
        <w:rPr>
          <w:rFonts w:hint="default" w:ascii="Times New Roman" w:hAnsi="Times New Roman" w:eastAsia="方正仿宋_GBK"/>
          <w:sz w:val="32"/>
          <w:szCs w:val="32"/>
          <w:highlight w:val="none"/>
          <w:shd w:val="clear" w:color="auto" w:fill="FFFFFF"/>
          <w:woUserID w:val="1"/>
        </w:rPr>
        <w:t>等，工资、</w:t>
      </w:r>
      <w:r>
        <w:rPr>
          <w:rFonts w:hint="default" w:ascii="Times New Roman" w:hAnsi="Times New Roman" w:eastAsia="方正仿宋_GBK"/>
          <w:sz w:val="32"/>
          <w:szCs w:val="32"/>
          <w:highlight w:val="none"/>
          <w:shd w:val="clear" w:color="auto" w:fill="FFFFFF"/>
        </w:rPr>
        <w:t>社保、职业年</w:t>
      </w:r>
      <w:r>
        <w:rPr>
          <w:rFonts w:hint="default" w:ascii="Times New Roman" w:hAnsi="Times New Roman" w:eastAsia="方正仿宋_GBK"/>
          <w:sz w:val="32"/>
          <w:szCs w:val="32"/>
          <w:shd w:val="clear" w:color="auto" w:fill="FFFFFF"/>
        </w:rPr>
        <w:t>金等增加相关经费。人员经费用途主要包括五险两金、工资绩效等。</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公用经费13.31万元，与2023年度相比，增加1.61万元，增长13.8%，主要原因是我单位人员增加，因此增加相关经费。公用经费用途主要包括公务接待、公车运行、办公开支等。</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（五）政府性基金预算收支决算情况说明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2024年度无政府性基金预算财政拨款收支。</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（六）国有资本经营预算财政拨款支出决算情况说明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2024年度无国有资本经营预算财政拨款支出。</w:t>
      </w:r>
    </w:p>
    <w:p>
      <w:pPr>
        <w:pStyle w:val="9"/>
        <w:shd w:val="clear" w:color="auto" w:fill="FFFFFF"/>
        <w:spacing w:before="0" w:beforeAutospacing="0" w:after="0" w:afterAutospacing="0" w:line="596" w:lineRule="exact"/>
        <w:ind w:firstLine="641" w:firstLineChars="200"/>
        <w:rPr>
          <w:rStyle w:val="13"/>
          <w:rFonts w:hint="default" w:ascii="Times New Roman" w:hAnsi="Times New Roman" w:eastAsia="黑体"/>
          <w:sz w:val="32"/>
          <w:szCs w:val="32"/>
          <w:shd w:val="clear" w:color="auto" w:fill="FFFFFF"/>
        </w:rPr>
      </w:pPr>
      <w:r>
        <w:rPr>
          <w:rStyle w:val="13"/>
          <w:rFonts w:hint="default" w:ascii="Times New Roman" w:hAnsi="Times New Roman" w:eastAsia="黑体"/>
          <w:sz w:val="32"/>
          <w:szCs w:val="32"/>
          <w:shd w:val="clear" w:color="auto" w:fill="FFFFFF"/>
        </w:rPr>
        <w:t>三、财政拨款“三公”经费情况说明</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（一）“三公”经费支出总体情况说明</w:t>
      </w:r>
    </w:p>
    <w:p>
      <w:pPr>
        <w:pStyle w:val="14"/>
        <w:autoSpaceDE w:val="0"/>
        <w:spacing w:line="596" w:lineRule="exac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2024年度“三公”经费支出共计0.00万元，较年初预算数无增减，主要原因是严格按照预算执行。较上年支出数减少0.5万元，下降100.0%，主要原因是未单独预算。</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（二）“三公”经费分项支出情况</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2024年度本</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因公出国（境）费用0.00万元。费用支出较年初预算数无增减，主要原因是无相关支出。较上年支出数无增减，主要原因是无相关支出。</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公务用车购置费0.00万元。费用支出较年初预算数无增减，主要原因是未购置公车。较上年支出数无增减，主要原因是未购置公车。</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公务用车运行维护费0.00万元。费用支出较年初预算数无增减，主要原因是未购置公车。较上年支出数无增减，主要原因是未购置公车。</w:t>
      </w:r>
    </w:p>
    <w:p>
      <w:pPr>
        <w:pStyle w:val="14"/>
        <w:autoSpaceDE w:val="0"/>
        <w:spacing w:line="596" w:lineRule="exac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公务接待费0.00万元。费用支出较年初预算数无增减，主要原因是严格按照预算执行。较上年支出数减少0.5万元，下降100.0%，主要原因是未单独预算。</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（三）“三公”经费实物量情况</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2024年度本</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因公出国（境）共计0个团组，0人；公务用车购置0辆，公务车保有量为0辆；国内公务接待0批次0人，其中：国内外事接待0批次，0人；国（境）外公务接待0批次，0人。2024年本</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人均接待费0元，车均购置费0万元，车均维护费0万元。</w:t>
      </w:r>
    </w:p>
    <w:p>
      <w:pPr>
        <w:pStyle w:val="9"/>
        <w:shd w:val="clear" w:color="auto" w:fill="FFFFFF"/>
        <w:spacing w:before="0" w:beforeAutospacing="0" w:after="0" w:afterAutospacing="0" w:line="596" w:lineRule="exact"/>
        <w:ind w:firstLine="641" w:firstLineChars="200"/>
        <w:rPr>
          <w:rStyle w:val="13"/>
          <w:rFonts w:hint="default" w:ascii="Times New Roman" w:hAnsi="Times New Roman" w:eastAsia="黑体"/>
          <w:sz w:val="32"/>
          <w:szCs w:val="32"/>
          <w:shd w:val="clear" w:color="auto" w:fill="FFFFFF"/>
        </w:rPr>
      </w:pPr>
      <w:r>
        <w:rPr>
          <w:rStyle w:val="13"/>
          <w:rFonts w:hint="default" w:ascii="Times New Roman" w:hAnsi="Times New Roman" w:eastAsia="黑体"/>
          <w:sz w:val="32"/>
          <w:szCs w:val="32"/>
          <w:shd w:val="clear" w:color="auto" w:fill="FFFFFF"/>
        </w:rPr>
        <w:t>四、其他需要说明的事项</w:t>
      </w:r>
    </w:p>
    <w:p>
      <w:pPr>
        <w:pStyle w:val="9"/>
        <w:shd w:val="clear" w:color="auto" w:fill="FFFFFF"/>
        <w:spacing w:before="0" w:beforeAutospacing="0" w:after="0" w:afterAutospacing="0" w:line="596" w:lineRule="exact"/>
        <w:ind w:firstLine="641" w:firstLineChars="200"/>
        <w:jc w:val="both"/>
        <w:rPr>
          <w:rFonts w:hint="default" w:ascii="Times New Roman" w:hAnsi="Times New Roman" w:eastAsia="楷体"/>
          <w:b/>
          <w:bCs/>
          <w:sz w:val="32"/>
          <w:szCs w:val="32"/>
          <w:shd w:val="clear" w:color="auto" w:fill="FFFFFF"/>
        </w:rPr>
      </w:pPr>
      <w:r>
        <w:rPr>
          <w:rFonts w:hint="default" w:ascii="Times New Roman" w:hAnsi="Times New Roman" w:eastAsia="楷体"/>
          <w:b/>
          <w:bCs/>
          <w:sz w:val="32"/>
          <w:szCs w:val="32"/>
          <w:shd w:val="clear" w:color="auto" w:fill="FFFFFF"/>
        </w:rPr>
        <w:t>（一）财政拨款会议费、培训费和差旅费情况说明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highlight w:val="yellow"/>
        </w:rPr>
      </w:pPr>
      <w:r>
        <w:rPr>
          <w:rFonts w:hint="default" w:ascii="Times New Roman" w:hAnsi="Times New Roman" w:eastAsia="方正仿宋_GBK"/>
          <w:sz w:val="32"/>
          <w:szCs w:val="32"/>
          <w:shd w:val="clear" w:color="auto" w:fill="FFFFFF"/>
        </w:rPr>
        <w:t>本年度会议费支出0.00万元，与2023年度相比，无增减，主要原因是未单独预算。本年度培训费支出0.24万元，与2023年度相比，减少0.02万元，下降7.7%，主要原因是专技人员继续教育培训减少。本年度差旅费支出3.52</w:t>
      </w:r>
      <w:r>
        <w:rPr>
          <w:rFonts w:hint="default" w:ascii="Times New Roman" w:hAnsi="Times New Roman" w:eastAsia="方正仿宋_GBK"/>
          <w:sz w:val="32"/>
          <w:szCs w:val="32"/>
        </w:rPr>
        <w:t>万元，</w:t>
      </w:r>
      <w:r>
        <w:rPr>
          <w:rFonts w:hint="default" w:ascii="Times New Roman" w:hAnsi="Times New Roman" w:eastAsia="方正仿宋_GBK"/>
          <w:sz w:val="32"/>
          <w:szCs w:val="32"/>
          <w:shd w:val="clear" w:color="auto" w:fill="FFFFFF"/>
        </w:rPr>
        <w:t>与2023年度相比，减少3.81万元，下降52.0%，主要原因是职工出差减少。</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（二）机关运行经费情况说明</w:t>
      </w:r>
    </w:p>
    <w:p>
      <w:pPr>
        <w:pStyle w:val="14"/>
        <w:autoSpaceDE w:val="0"/>
        <w:spacing w:line="596" w:lineRule="exac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按照</w:t>
      </w:r>
      <w:r>
        <w:rPr>
          <w:rFonts w:hint="eastAsia" w:ascii="Times New Roman" w:hAnsi="Times New Roman" w:eastAsia="方正仿宋_GBK"/>
          <w:sz w:val="32"/>
          <w:szCs w:val="32"/>
          <w:shd w:val="clear" w:color="auto" w:fill="FFFFFF"/>
        </w:rPr>
        <w:t>单位</w:t>
      </w:r>
      <w:r>
        <w:rPr>
          <w:rFonts w:ascii="Times New Roman" w:hAnsi="Times New Roman" w:eastAsia="方正仿宋_GBK"/>
          <w:sz w:val="32"/>
          <w:szCs w:val="32"/>
          <w:shd w:val="clear" w:color="auto" w:fill="FFFFFF"/>
        </w:rPr>
        <w:t>决算列报口径，我</w:t>
      </w:r>
      <w:r>
        <w:rPr>
          <w:rFonts w:hint="eastAsia" w:ascii="Times New Roman" w:hAnsi="Times New Roman" w:eastAsia="方正仿宋_GBK"/>
          <w:sz w:val="32"/>
          <w:szCs w:val="32"/>
          <w:shd w:val="clear" w:color="auto" w:fill="FFFFFF"/>
        </w:rPr>
        <w:t>单位</w:t>
      </w:r>
      <w:r>
        <w:rPr>
          <w:rFonts w:ascii="Times New Roman" w:hAnsi="Times New Roman" w:eastAsia="方正仿宋_GBK"/>
          <w:sz w:val="32"/>
          <w:szCs w:val="32"/>
          <w:shd w:val="clear" w:color="auto" w:fill="FFFFFF"/>
        </w:rPr>
        <w:t>不在机关运行经费统计范围之内。</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（三）国有资产占用情况说明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截至2024年12月31日，本</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共有车辆0辆，其中，副部（省）级及以上领导用车0辆、主要负责人用车0辆、机要通信用车0辆、应急保障用车0辆、执法执勤用车0辆，特种专业技术用车0辆，离退休干部用车0辆。单价100万元（含）以上专用设备0台（套）。</w:t>
      </w:r>
    </w:p>
    <w:p>
      <w:pPr>
        <w:pStyle w:val="14"/>
        <w:autoSpaceDE w:val="0"/>
        <w:spacing w:line="596"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（四）政府采购支出情况说明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yellow"/>
        </w:rPr>
      </w:pPr>
      <w:r>
        <w:rPr>
          <w:rFonts w:hint="default" w:ascii="Times New Roman" w:hAnsi="Times New Roman" w:eastAsia="方正仿宋_GBK"/>
          <w:sz w:val="32"/>
          <w:szCs w:val="32"/>
          <w:shd w:val="clear" w:color="auto" w:fill="FFFFFF"/>
        </w:rPr>
        <w:t>2024年度我</w:t>
      </w:r>
      <w:r>
        <w:rPr>
          <w:rFonts w:ascii="Times New Roman" w:hAnsi="Times New Roman" w:eastAsia="方正仿宋_GBK"/>
          <w:sz w:val="32"/>
          <w:szCs w:val="32"/>
          <w:shd w:val="clear" w:color="auto" w:fill="FFFFFF"/>
        </w:rPr>
        <w:t>单位</w:t>
      </w:r>
      <w:r>
        <w:rPr>
          <w:rFonts w:hint="default" w:ascii="Times New Roman" w:hAnsi="Times New Roman" w:eastAsia="方正仿宋_GBK"/>
          <w:sz w:val="32"/>
          <w:szCs w:val="32"/>
          <w:shd w:val="clear" w:color="auto" w:fill="FFFFFF"/>
        </w:rPr>
        <w:t>未发生政府采购事项，无相关经费支出</w:t>
      </w:r>
      <w:r>
        <w:rPr>
          <w:rFonts w:ascii="Times New Roman" w:hAnsi="Times New Roman" w:eastAsia="方正仿宋_GBK"/>
          <w:sz w:val="32"/>
          <w:szCs w:val="32"/>
          <w:shd w:val="clear" w:color="auto" w:fill="FFFFFF"/>
        </w:rPr>
        <w:t>。</w:t>
      </w:r>
    </w:p>
    <w:p>
      <w:pPr>
        <w:pStyle w:val="15"/>
        <w:spacing w:before="0" w:beforeAutospacing="0" w:after="0" w:afterAutospacing="0" w:line="596" w:lineRule="exact"/>
        <w:ind w:firstLine="641" w:firstLineChars="200"/>
        <w:rPr>
          <w:rStyle w:val="13"/>
          <w:rFonts w:ascii="黑体" w:hAnsi="黑体" w:eastAsia="黑体" w:cs="黑体"/>
          <w:sz w:val="32"/>
          <w:szCs w:val="32"/>
          <w:shd w:val="clear" w:color="auto" w:fill="FFFFFF"/>
        </w:rPr>
      </w:pPr>
      <w:r>
        <w:rPr>
          <w:rStyle w:val="13"/>
          <w:rFonts w:hint="eastAsia" w:ascii="黑体" w:hAnsi="黑体" w:eastAsia="黑体" w:cs="黑体"/>
          <w:sz w:val="32"/>
          <w:szCs w:val="32"/>
          <w:shd w:val="clear" w:color="auto" w:fill="FFFFFF"/>
        </w:rPr>
        <w:t>五、2024年度预算绩效管理情况说明</w:t>
      </w:r>
    </w:p>
    <w:p>
      <w:pPr>
        <w:pStyle w:val="15"/>
        <w:autoSpaceDE w:val="0"/>
        <w:spacing w:before="0" w:beforeAutospacing="0" w:after="0" w:afterAutospacing="0" w:line="596" w:lineRule="exact"/>
        <w:ind w:firstLine="641"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5"/>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我单位无项目支出，未开展绩效评价。</w:t>
      </w:r>
    </w:p>
    <w:p>
      <w:pPr>
        <w:pStyle w:val="15"/>
        <w:autoSpaceDE w:val="0"/>
        <w:spacing w:before="0" w:beforeAutospacing="0" w:after="0" w:afterAutospacing="0" w:line="596" w:lineRule="exact"/>
        <w:ind w:firstLine="641"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pPr>
        <w:pStyle w:val="19"/>
        <w:autoSpaceDE w:val="0"/>
        <w:spacing w:line="596" w:lineRule="exac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我单位无项目支出，未开展绩效评价。</w:t>
      </w:r>
    </w:p>
    <w:p>
      <w:pPr>
        <w:pStyle w:val="19"/>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pPr>
        <w:pStyle w:val="19"/>
        <w:autoSpaceDE w:val="0"/>
        <w:spacing w:line="596" w:lineRule="exac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pStyle w:val="15"/>
        <w:autoSpaceDE w:val="0"/>
        <w:spacing w:before="0" w:beforeAutospacing="0" w:after="0" w:afterAutospacing="0" w:line="596" w:lineRule="exact"/>
        <w:rPr>
          <w:rFonts w:ascii="方正仿宋_GBK" w:hAnsi="方正仿宋_GBK" w:eastAsia="方正仿宋_GBK" w:cs="方正仿宋_GBK"/>
          <w:sz w:val="32"/>
          <w:szCs w:val="32"/>
        </w:rPr>
      </w:pPr>
      <w:r>
        <w:rPr>
          <w:rStyle w:val="16"/>
          <w:rFonts w:hint="eastAsia" w:ascii="方正仿宋_GBK" w:hAnsi="方正仿宋_GBK" w:eastAsia="方正仿宋_GBK" w:cs="方正仿宋_GBK"/>
          <w:sz w:val="32"/>
          <w:szCs w:val="32"/>
          <w:shd w:val="clear" w:color="auto" w:fill="FFFFFF"/>
        </w:rPr>
        <w:t xml:space="preserve">   </w:t>
      </w:r>
      <w:r>
        <w:rPr>
          <w:rStyle w:val="13"/>
          <w:rFonts w:hint="eastAsia" w:ascii="黑体" w:hAnsi="黑体" w:eastAsia="黑体" w:cs="黑体"/>
          <w:sz w:val="32"/>
          <w:szCs w:val="32"/>
          <w:shd w:val="clear" w:color="auto" w:fill="FFFFFF"/>
        </w:rPr>
        <w:t xml:space="preserve"> 六、专业名词解释</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（五）使用非财政拨款结余（含专用结余）：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5"/>
        <w:spacing w:before="0" w:beforeAutospacing="0" w:after="0" w:afterAutospacing="0" w:line="596" w:lineRule="exact"/>
        <w:ind w:firstLine="641" w:firstLineChars="200"/>
        <w:rPr>
          <w:rFonts w:ascii="方正仿宋_GBK" w:hAnsi="方正仿宋_GBK" w:eastAsia="方正仿宋_GBK" w:cs="方正仿宋_GBK"/>
          <w:sz w:val="32"/>
          <w:szCs w:val="32"/>
        </w:rPr>
      </w:pPr>
      <w:r>
        <w:rPr>
          <w:rStyle w:val="13"/>
          <w:rFonts w:hint="eastAsia" w:ascii="黑体" w:hAnsi="黑体" w:eastAsia="黑体" w:cs="黑体"/>
          <w:sz w:val="32"/>
          <w:szCs w:val="32"/>
          <w:shd w:val="clear" w:color="auto" w:fill="FFFFFF"/>
        </w:rPr>
        <w:t>七、决算公开联系方式及信息反馈渠道</w:t>
      </w:r>
    </w:p>
    <w:p>
      <w:pPr>
        <w:pStyle w:val="15"/>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4"/>
        <w:autoSpaceDE w:val="0"/>
        <w:spacing w:line="596" w:lineRule="exact"/>
        <w:ind w:firstLine="640"/>
        <w:jc w:val="both"/>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rPr>
        <w:t xml:space="preserve">汪锐  </w:t>
      </w:r>
      <w:r>
        <w:rPr>
          <w:rFonts w:ascii="Times New Roman" w:hAnsi="Times New Roman" w:eastAsia="方正仿宋_GBK"/>
          <w:sz w:val="32"/>
          <w:szCs w:val="32"/>
          <w:shd w:val="clear" w:color="auto" w:fill="FFFFFF"/>
        </w:rPr>
        <w:t xml:space="preserve"> 023-70701623</w:t>
      </w: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丰都县移民服务中心</w:t>
            </w:r>
          </w:p>
        </w:tc>
        <w:tc>
          <w:tcPr>
            <w:tcW w:w="404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119.91</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4.89</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94.55</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119.91</w:t>
            </w: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119.91</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4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119.91</w:t>
            </w:r>
            <w:r>
              <w:rPr>
                <w:rFonts w:ascii="Times New Roman" w:hAnsi="Times New Roman"/>
                <w:color w:val="000000"/>
                <w:sz w:val="20"/>
              </w:rPr>
              <w:t xml:space="preserve"> </w:t>
            </w:r>
          </w:p>
        </w:tc>
        <w:tc>
          <w:tcPr>
            <w:tcW w:w="4044"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119.91</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28"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丰都县移民服务中心</w:t>
            </w: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2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4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4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34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2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2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291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3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119.91</w:t>
            </w:r>
            <w:r>
              <w:rPr>
                <w:rFonts w:ascii="Times New Roman" w:hAnsi="Times New Roman"/>
                <w:b/>
                <w:color w:val="000000"/>
                <w:sz w:val="20"/>
              </w:rPr>
              <w:t xml:space="preserve"> </w:t>
            </w:r>
          </w:p>
        </w:tc>
        <w:tc>
          <w:tcPr>
            <w:tcW w:w="1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119.91</w:t>
            </w:r>
            <w:r>
              <w:rPr>
                <w:rFonts w:ascii="Times New Roman" w:hAnsi="Times New Roman"/>
                <w:b/>
                <w:color w:val="000000"/>
                <w:sz w:val="20"/>
              </w:rPr>
              <w:t xml:space="preserve"> </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3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15.50</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15.50</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10.33</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10.33</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5.17</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5.17</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4.89</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4.89</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4.89</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3.51</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3.51</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94.55</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94.55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94.55</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94.55</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2130304</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水利行业业务管理</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94.55</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94.55</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w:t>
            </w:r>
            <w:r>
              <w:rPr>
                <w:rFonts w:ascii="Times New Roman" w:hAnsi="Times New Roman"/>
                <w:b/>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w:t>
            </w:r>
            <w:r>
              <w:rPr>
                <w:rFonts w:ascii="Times New Roman" w:hAnsi="Times New Roman"/>
                <w:b/>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4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w:t>
            </w:r>
            <w:r>
              <w:rPr>
                <w:rFonts w:ascii="Times New Roman" w:hAnsi="Times New Roman"/>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w:t>
            </w:r>
            <w:r>
              <w:rPr>
                <w:rFonts w:ascii="Times New Roman" w:hAnsi="Times New Roman"/>
                <w:color w:val="000000"/>
                <w:sz w:val="20"/>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丰都县移民服务中心 </w:t>
            </w: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89"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89"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8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119.91</w:t>
            </w:r>
            <w:r>
              <w:rPr>
                <w:rFonts w:ascii="Times New Roman" w:hAnsi="Times New Roman"/>
                <w:b/>
                <w:color w:val="000000"/>
                <w:sz w:val="20"/>
              </w:rPr>
              <w:t xml:space="preserve"> </w:t>
            </w:r>
          </w:p>
        </w:tc>
        <w:tc>
          <w:tcPr>
            <w:tcW w:w="17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119.91</w:t>
            </w:r>
            <w:r>
              <w:rPr>
                <w:rFonts w:ascii="Times New Roman" w:hAnsi="Times New Roman"/>
                <w:b/>
                <w:color w:val="000000"/>
                <w:sz w:val="20"/>
              </w:rPr>
              <w:t xml:space="preserve"> </w:t>
            </w:r>
          </w:p>
        </w:tc>
        <w:tc>
          <w:tcPr>
            <w:tcW w:w="1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5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15.50</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15.50</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10.33</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10.33</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5.17</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5.17</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4.89</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4.89</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4.89</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4.89</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3.51</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3.51</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94.55</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94.55</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94.55</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94.55</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2130304</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水利行业业务管理</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94.55</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94.55</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w:t>
            </w:r>
            <w:r>
              <w:rPr>
                <w:rFonts w:ascii="Times New Roman" w:hAnsi="Times New Roman"/>
                <w:b/>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w:t>
            </w:r>
            <w:r>
              <w:rPr>
                <w:rFonts w:ascii="Times New Roman" w:hAnsi="Times New Roman"/>
                <w:b/>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2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w:t>
            </w:r>
            <w:r>
              <w:rPr>
                <w:rFonts w:ascii="Times New Roman" w:hAnsi="Times New Roman"/>
                <w:color w:val="000000"/>
                <w:sz w:val="20"/>
              </w:rPr>
              <w:t xml:space="preserve"> </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w:t>
            </w:r>
            <w:r>
              <w:rPr>
                <w:rFonts w:ascii="Times New Roman" w:hAnsi="Times New Roman"/>
                <w:color w:val="000000"/>
                <w:sz w:val="20"/>
              </w:rPr>
              <w:t xml:space="preserve"> </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丰都县移民服务中心</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119.91</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15.50</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4.89</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94.55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94.55</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4.96</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119.91</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119.91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119.91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119.91</w:t>
            </w:r>
            <w:r>
              <w:rPr>
                <w:rFonts w:ascii="Times New Roman" w:hAnsi="Times New Roman"/>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119.91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119.91</w:t>
            </w:r>
            <w:r>
              <w:rPr>
                <w:rFonts w:ascii="Times New Roman" w:hAnsi="Times New Roman"/>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6"/>
        <w:gridCol w:w="4073"/>
        <w:gridCol w:w="3306"/>
        <w:gridCol w:w="3297"/>
        <w:gridCol w:w="3340"/>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丰都县移民服务中心</w:t>
            </w: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7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119.91</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119.91</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15.50</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15.50</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10.33</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10.33</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5.17</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5.17</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4.89</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4.89</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4.89</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3.51</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3.51</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94.55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94.55</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94.55</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94.55</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2130304</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水利行业业务管理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94.55</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94.55</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4.96</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4.96</w:t>
            </w:r>
            <w:r>
              <w:rPr>
                <w:rFonts w:ascii="Times New Roman" w:hAnsi="Times New Roman"/>
                <w:b/>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4.96</w:t>
            </w:r>
            <w:r>
              <w:rPr>
                <w:rFonts w:ascii="Times New Roman" w:hAnsi="Times New Roman"/>
                <w:b/>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4.96</w:t>
            </w:r>
            <w:r>
              <w:rPr>
                <w:rFonts w:ascii="Times New Roman" w:hAnsi="Times New Roman"/>
                <w:color w:val="000000"/>
                <w:sz w:val="20"/>
              </w:rPr>
              <w:t xml:space="preserve">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4.96</w:t>
            </w:r>
            <w:r>
              <w:rPr>
                <w:rFonts w:ascii="Times New Roman" w:hAnsi="Times New Roman"/>
                <w:color w:val="000000"/>
                <w:sz w:val="20"/>
              </w:rPr>
              <w:t xml:space="preserve"> </w:t>
            </w:r>
          </w:p>
        </w:tc>
        <w:tc>
          <w:tcPr>
            <w:tcW w:w="3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丰都县移民服务中心</w:t>
            </w: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1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7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6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49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106.60</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23.65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56.83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10.33</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5.17</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3.52</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0.24</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3.56</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w:t>
            </w: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106.60</w:t>
            </w:r>
            <w:r>
              <w:rPr>
                <w:rFonts w:ascii="Times New Roman" w:hAnsi="Times New Roman"/>
                <w:color w:val="000000"/>
                <w:sz w:val="18"/>
              </w:rPr>
              <w:t xml:space="preserve"> </w:t>
            </w:r>
          </w:p>
        </w:tc>
        <w:tc>
          <w:tcPr>
            <w:tcW w:w="8655"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13.31</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丰都县移民服务中心</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丰都县移民服务中心</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14130" w:type="dxa"/>
        <w:tblInd w:w="0" w:type="dxa"/>
        <w:tblLayout w:type="fixed"/>
        <w:tblCellMar>
          <w:top w:w="0" w:type="dxa"/>
          <w:left w:w="170" w:type="dxa"/>
          <w:bottom w:w="0" w:type="dxa"/>
          <w:right w:w="170" w:type="dxa"/>
        </w:tblCellMar>
      </w:tblPr>
      <w:tblGrid>
        <w:gridCol w:w="3176"/>
        <w:gridCol w:w="2416"/>
        <w:gridCol w:w="2374"/>
        <w:gridCol w:w="3671"/>
        <w:gridCol w:w="2493"/>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6"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2"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丰都县移民服务中心</w:t>
            </w:r>
          </w:p>
        </w:tc>
        <w:tc>
          <w:tcPr>
            <w:tcW w:w="237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92"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Layout w:type="fixed"/>
          <w:tblCellMar>
            <w:top w:w="0" w:type="dxa"/>
            <w:left w:w="170" w:type="dxa"/>
            <w:bottom w:w="0" w:type="dxa"/>
            <w:right w:w="170" w:type="dxa"/>
          </w:tblCellMar>
        </w:tblPrEx>
        <w:trPr>
          <w:trHeight w:val="286"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0.24</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3.52</w:t>
            </w:r>
            <w:r>
              <w:rPr>
                <w:rFonts w:ascii="Times New Roman" w:hAnsi="Times New Roman"/>
                <w:color w:val="000000"/>
                <w:sz w:val="18"/>
              </w:rPr>
              <w:t xml:space="preserve"> </w:t>
            </w:r>
          </w:p>
        </w:tc>
        <w:tc>
          <w:tcPr>
            <w:tcW w:w="36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_GBK">
    <w:altName w:val="汉仪书宋二KW"/>
    <w:panose1 w:val="03000509000000000000"/>
    <w:charset w:val="86"/>
    <w:family w:val="script"/>
    <w:pitch w:val="default"/>
    <w:sig w:usb0="00000000" w:usb1="00000000" w:usb2="00000010" w:usb3="00000000" w:csb0="00040000" w:csb1="00000000"/>
  </w:font>
  <w:font w:name="方正仿宋_GBK">
    <w:altName w:val="汉仪仿宋KW"/>
    <w:panose1 w:val="03000509000000000000"/>
    <w:charset w:val="86"/>
    <w:family w:val="script"/>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仿宋_GB2312">
    <w:altName w:val="汉仪仿宋KW"/>
    <w:panose1 w:val="00000000000000000000"/>
    <w:charset w:val="86"/>
    <w:family w:val="modern"/>
    <w:pitch w:val="default"/>
    <w:sig w:usb0="00000000" w:usb1="0000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w:pict>
        <v:shape id="_x0000_s2056" o:spid="_x0000_s205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17 -</w:t>
                </w:r>
                <w:r>
                  <w:fldChar w:fldCharType="end"/>
                </w:r>
                <w:r>
                  <w:t xml:space="preserve"> </w:t>
                </w:r>
              </w:p>
            </w:txbxContent>
          </v:textbox>
        </v:shape>
      </w:pict>
    </w:r>
    <w:bookmarkStart w:id="0" w:name="_GoBack"/>
    <w:r>
      <w:rPr>
        <w:rFonts w:hint="default"/>
      </w:rPr>
      <w:pict>
        <v:shape id="_x0000_s2055" o:spid="_x0000_s2055"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6"/>
                  <w:jc w:val="both"/>
                  <w:rPr>
                    <w:rFonts w:hint="default" w:cs="宋体"/>
                  </w:rPr>
                </w:pPr>
                <w:r>
                  <w:rPr>
                    <w:rFonts w:cs="宋体"/>
                  </w:rPr>
                  <w:t>— 27.1 —</w:t>
                </w:r>
              </w:p>
            </w:txbxContent>
          </v:textbox>
        </v:shape>
      </w:pict>
    </w:r>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C1025"/>
    <w:rsid w:val="001D3BB7"/>
    <w:rsid w:val="002B254B"/>
    <w:rsid w:val="0034050A"/>
    <w:rsid w:val="0044504F"/>
    <w:rsid w:val="00466C9B"/>
    <w:rsid w:val="00486CFC"/>
    <w:rsid w:val="00491DDD"/>
    <w:rsid w:val="00550ABE"/>
    <w:rsid w:val="005C1D24"/>
    <w:rsid w:val="00623A85"/>
    <w:rsid w:val="00770383"/>
    <w:rsid w:val="007819D4"/>
    <w:rsid w:val="007B419D"/>
    <w:rsid w:val="007B7C4B"/>
    <w:rsid w:val="007D3D39"/>
    <w:rsid w:val="008B742F"/>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7E95E68"/>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0EA268D"/>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3F67DDE"/>
    <w:rsid w:val="750837F0"/>
    <w:rsid w:val="754758CF"/>
    <w:rsid w:val="75595ECD"/>
    <w:rsid w:val="76397B56"/>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footnote text"/>
    <w:basedOn w:val="1"/>
    <w:next w:val="3"/>
    <w:semiHidden/>
    <w:qFormat/>
    <w:uiPriority w:val="0"/>
    <w:pPr>
      <w:snapToGrid w:val="0"/>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2"/>
    <w:link w:val="5"/>
    <w:qFormat/>
    <w:uiPriority w:val="0"/>
    <w:rPr>
      <w:rFonts w:ascii="宋体" w:hAnsi="宋体"/>
      <w:sz w:val="18"/>
      <w:szCs w:val="18"/>
    </w:rPr>
  </w:style>
  <w:style w:type="paragraph" w:customStyle="1" w:styleId="1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Micorosoft</Company>
  <Pages>1</Pages>
  <Words>1940</Words>
  <Characters>11063</Characters>
  <Lines>92</Lines>
  <Paragraphs>25</Paragraphs>
  <TotalTime>2</TotalTime>
  <ScaleCrop>false</ScaleCrop>
  <LinksUpToDate>false</LinksUpToDate>
  <CharactersWithSpaces>12978</CharactersWithSpaces>
  <Application>WWO_openplatform_20210902171309-902389ccc8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Micorosoft</cp:lastModifiedBy>
  <dcterms:modified xsi:type="dcterms:W3CDTF">2025-09-16T09:42:09Z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BB46EABDBB2749749395447164B066B3_12</vt:lpwstr>
  </property>
  <property fmtid="{D5CDD505-2E9C-101B-9397-08002B2CF9AE}" pid="4" name="KSOTemplateDocerSaveRecord">
    <vt:lpwstr>eyJoZGlkIjoiOTRkMzRlMDE5ZDQyNjdiYWY3MjBhMzE1NzZhMDk5YjMiLCJ1c2VySWQiOiIzMjAwODgxNDkifQ==</vt:lpwstr>
  </property>
</Properties>
</file>