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丰都县水资源综合事务中心</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1"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（1）承担水资源利用、节约、保护与管理的技术服务工作，负责取水单位的日常巡查工作；</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 承担村镇供水工程规划、建设、运行的技术服务工作；</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 承担村镇供水工程运行业务指导和统计工作；</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（4）承担水资源、村镇供水信息平台技术服务工作；</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（5）承办上级交办的其他相关工作。</w:t>
      </w:r>
    </w:p>
    <w:p>
      <w:pPr>
        <w:pStyle w:val="9"/>
        <w:shd w:val="clear" w:color="auto" w:fill="FFFFFF"/>
        <w:spacing w:before="0" w:beforeAutospacing="0" w:after="0" w:afterAutospacing="0" w:line="596" w:lineRule="exact"/>
        <w:ind w:firstLine="641"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bookmarkStart w:id="0" w:name="OLE_LINK1"/>
      <w:bookmarkStart w:id="1" w:name="OLE_LINK2"/>
      <w:r>
        <w:rPr>
          <w:rFonts w:ascii="方正仿宋_GBK" w:hAnsi="方正仿宋_GBK" w:eastAsia="方正仿宋_GBK" w:cs="方正仿宋_GBK"/>
          <w:sz w:val="32"/>
          <w:szCs w:val="32"/>
          <w:shd w:val="clear" w:color="auto" w:fill="FFFFFF"/>
        </w:rPr>
        <w:t>我单位为按副科级管理的财政全额拨款公益一类事业单位，无内设机构。</w:t>
      </w:r>
      <w:bookmarkEnd w:id="0"/>
      <w:bookmarkEnd w:id="1"/>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308.99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收、支与2023年度相比，增加56.48万元，增长22.4%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highlight w:val="none"/>
          <w:shd w:val="clear" w:color="auto" w:fill="FFFFFF"/>
        </w:rPr>
        <w:t>主要原因是我单位人员</w:t>
      </w:r>
      <w:r>
        <w:rPr>
          <w:rFonts w:ascii="方正仿宋_GBK" w:hAnsi="方正仿宋_GBK" w:eastAsia="方正仿宋_GBK" w:cs="方正仿宋_GBK"/>
          <w:sz w:val="32"/>
          <w:szCs w:val="32"/>
          <w:highlight w:val="none"/>
          <w:shd w:val="clear" w:color="auto" w:fill="FFFFFF"/>
          <w:woUserID w:val="2"/>
        </w:rPr>
        <w:t>增加、</w:t>
      </w:r>
      <w:r>
        <w:rPr>
          <w:rFonts w:ascii="方正仿宋_GBK" w:hAnsi="方正仿宋_GBK" w:eastAsia="方正仿宋_GBK" w:cs="方正仿宋_GBK"/>
          <w:sz w:val="32"/>
          <w:szCs w:val="32"/>
          <w:highlight w:val="none"/>
          <w:shd w:val="clear" w:color="auto" w:fill="FFFFFF"/>
        </w:rPr>
        <w:t>晋级调资</w:t>
      </w:r>
      <w:r>
        <w:rPr>
          <w:rFonts w:ascii="方正仿宋_GBK" w:hAnsi="方正仿宋_GBK" w:eastAsia="方正仿宋_GBK" w:cs="方正仿宋_GBK"/>
          <w:sz w:val="32"/>
          <w:szCs w:val="32"/>
          <w:highlight w:val="none"/>
          <w:shd w:val="clear" w:color="auto" w:fill="FFFFFF"/>
          <w:woUserID w:val="2"/>
        </w:rPr>
        <w:t>等，</w:t>
      </w:r>
      <w:r>
        <w:rPr>
          <w:rFonts w:ascii="方正仿宋_GBK" w:hAnsi="方正仿宋_GBK" w:eastAsia="方正仿宋_GBK" w:cs="方正仿宋_GBK"/>
          <w:sz w:val="32"/>
          <w:szCs w:val="32"/>
          <w:highlight w:val="none"/>
          <w:shd w:val="clear" w:color="auto" w:fill="FFFFFF"/>
        </w:rPr>
        <w:t>社保、职业年金等</w:t>
      </w:r>
      <w:r>
        <w:rPr>
          <w:rFonts w:ascii="方正仿宋_GBK" w:hAnsi="方正仿宋_GBK" w:eastAsia="方正仿宋_GBK" w:cs="方正仿宋_GBK"/>
          <w:sz w:val="32"/>
          <w:szCs w:val="32"/>
          <w:highlight w:val="none"/>
          <w:shd w:val="clear" w:color="auto" w:fill="FFFFFF"/>
          <w:woUserID w:val="2"/>
        </w:rPr>
        <w:t>经费增加</w:t>
      </w:r>
      <w:r>
        <w:rPr>
          <w:rFonts w:ascii="方正仿宋_GBK" w:hAnsi="方正仿宋_GBK" w:eastAsia="方正仿宋_GBK" w:cs="方正仿宋_GBK"/>
          <w:sz w:val="32"/>
          <w:szCs w:val="32"/>
          <w:highlight w:val="none"/>
          <w:shd w:val="clear" w:color="auto" w:fill="FFFFFF"/>
        </w:rPr>
        <w:t>，因此增加相关开支。</w:t>
      </w:r>
    </w:p>
    <w:p>
      <w:pPr>
        <w:pStyle w:val="9"/>
        <w:shd w:val="clear" w:color="auto" w:fill="FFFFFF"/>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rPr>
      </w:pPr>
      <w:r>
        <w:rPr>
          <w:rStyle w:val="13"/>
          <w:rFonts w:ascii="Times New Roman" w:hAnsi="Times New Roman" w:eastAsia="方正仿宋_GBK"/>
          <w:sz w:val="32"/>
          <w:szCs w:val="32"/>
          <w:highlight w:val="none"/>
          <w:shd w:val="clear" w:color="auto" w:fill="FFFFFF"/>
        </w:rPr>
        <w:t>1</w:t>
      </w:r>
      <w:r>
        <w:rPr>
          <w:rStyle w:val="13"/>
          <w:rFonts w:ascii="方正仿宋_GBK" w:hAnsi="方正仿宋_GBK" w:eastAsia="方正仿宋_GBK" w:cs="方正仿宋_GBK"/>
          <w:sz w:val="32"/>
          <w:szCs w:val="32"/>
          <w:highlight w:val="none"/>
          <w:shd w:val="clear" w:color="auto" w:fill="FFFFFF"/>
        </w:rPr>
        <w:t>.收入情况。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年度收入合计</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与2023年度相比，增加57.80万元，增长23.0%</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r>
        <w:rPr>
          <w:rFonts w:ascii="方正仿宋_GBK" w:hAnsi="方正仿宋_GBK" w:eastAsia="方正仿宋_GBK" w:cs="方正仿宋_GBK"/>
          <w:sz w:val="32"/>
          <w:szCs w:val="32"/>
          <w:highlight w:val="none"/>
          <w:shd w:val="clear" w:color="auto" w:fill="FFFFFF"/>
        </w:rPr>
        <w:t>其中：财政拨款收入</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100.0%</w:t>
      </w:r>
      <w:r>
        <w:rPr>
          <w:rFonts w:ascii="方正仿宋_GBK" w:hAnsi="方正仿宋_GBK" w:eastAsia="方正仿宋_GBK" w:cs="方正仿宋_GBK"/>
          <w:sz w:val="32"/>
          <w:szCs w:val="32"/>
          <w:highlight w:val="none"/>
          <w:shd w:val="clear" w:color="auto" w:fill="FFFFFF"/>
        </w:rPr>
        <w:t>；事业收入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；经营收入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；其他收入</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。此外，使用非财政拨款结余（含专用结余）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万元，年初结转和结余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rPr>
      </w:pPr>
      <w:r>
        <w:rPr>
          <w:rStyle w:val="13"/>
          <w:rFonts w:ascii="Times New Roman" w:hAnsi="Times New Roman" w:eastAsia="方正仿宋_GBK"/>
          <w:sz w:val="32"/>
          <w:szCs w:val="32"/>
          <w:highlight w:val="none"/>
          <w:shd w:val="clear" w:color="auto" w:fill="FFFFFF"/>
        </w:rPr>
        <w:t>2</w:t>
      </w:r>
      <w:r>
        <w:rPr>
          <w:rStyle w:val="13"/>
          <w:rFonts w:ascii="方正仿宋_GBK" w:hAnsi="方正仿宋_GBK" w:eastAsia="方正仿宋_GBK" w:cs="方正仿宋_GBK"/>
          <w:sz w:val="32"/>
          <w:szCs w:val="32"/>
          <w:highlight w:val="none"/>
          <w:shd w:val="clear" w:color="auto" w:fill="FFFFFF"/>
        </w:rPr>
        <w:t>.支出情况。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年度支出合计</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与2023年度相比，增加56.48万元，增长22.4%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r>
        <w:rPr>
          <w:rFonts w:ascii="方正仿宋_GBK" w:hAnsi="方正仿宋_GBK" w:eastAsia="方正仿宋_GBK" w:cs="方正仿宋_GBK"/>
          <w:sz w:val="32"/>
          <w:szCs w:val="32"/>
          <w:highlight w:val="none"/>
          <w:shd w:val="clear" w:color="auto" w:fill="FFFFFF"/>
        </w:rPr>
        <w:t>其中：基本支出</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100.0%</w:t>
      </w:r>
      <w:r>
        <w:rPr>
          <w:rFonts w:ascii="方正仿宋_GBK" w:hAnsi="方正仿宋_GBK" w:eastAsia="方正仿宋_GBK" w:cs="方正仿宋_GBK"/>
          <w:sz w:val="32"/>
          <w:szCs w:val="32"/>
          <w:highlight w:val="none"/>
          <w:shd w:val="clear" w:color="auto" w:fill="FFFFFF"/>
        </w:rPr>
        <w:t>；项目支出</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；经营支出</w:t>
      </w:r>
      <w:r>
        <w:rPr>
          <w:rFonts w:hint="default" w:ascii="Times New Roman" w:hAnsi="Times New Roman" w:eastAsia="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0.0%</w:t>
      </w:r>
      <w:r>
        <w:rPr>
          <w:rFonts w:ascii="方正仿宋_GBK" w:hAnsi="方正仿宋_GBK" w:eastAsia="方正仿宋_GBK" w:cs="方正仿宋_GBK"/>
          <w:sz w:val="32"/>
          <w:szCs w:val="32"/>
          <w:highlight w:val="none"/>
          <w:shd w:val="clear" w:color="auto" w:fill="FFFFFF"/>
        </w:rPr>
        <w:t>。此外，结余分配</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rPr>
      </w:pPr>
      <w:r>
        <w:rPr>
          <w:rStyle w:val="13"/>
          <w:rFonts w:ascii="Times New Roman" w:hAnsi="Times New Roman" w:eastAsia="方正仿宋_GBK"/>
          <w:sz w:val="32"/>
          <w:szCs w:val="32"/>
          <w:highlight w:val="none"/>
          <w:shd w:val="clear" w:color="auto" w:fill="FFFFFF"/>
        </w:rPr>
        <w:t>3</w:t>
      </w:r>
      <w:r>
        <w:rPr>
          <w:rStyle w:val="13"/>
          <w:rFonts w:ascii="方正仿宋_GBK" w:hAnsi="方正仿宋_GBK" w:eastAsia="方正仿宋_GBK" w:cs="方正仿宋_GBK"/>
          <w:sz w:val="32"/>
          <w:szCs w:val="32"/>
          <w:highlight w:val="none"/>
          <w:shd w:val="clear" w:color="auto" w:fill="FFFFFF"/>
        </w:rPr>
        <w:t>.结转结余情况。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年度年末结转和结余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与2023年度相比，无增减</w:t>
      </w:r>
      <w:r>
        <w:rPr>
          <w:rFonts w:ascii="方正仿宋_GBK" w:hAnsi="方正仿宋_GBK" w:eastAsia="方正仿宋_GBK" w:cs="方正仿宋_GBK"/>
          <w:sz w:val="32"/>
          <w:szCs w:val="32"/>
          <w:highlight w:val="none"/>
          <w:shd w:val="clear" w:color="auto" w:fill="FFFFFF"/>
        </w:rPr>
        <w:t>，主要原因是无结转结余。</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年度财政拨款收、支总计均为</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万元。与</w:t>
      </w:r>
      <w:r>
        <w:rPr>
          <w:rFonts w:hint="default" w:ascii="Times New Roman" w:hAnsi="Times New Roman" w:eastAsia="方正仿宋_GBK"/>
          <w:sz w:val="32"/>
          <w:szCs w:val="32"/>
          <w:highlight w:val="none"/>
          <w:shd w:val="clear" w:color="auto" w:fill="FFFFFF"/>
        </w:rPr>
        <w:t>2023</w:t>
      </w:r>
      <w:r>
        <w:rPr>
          <w:rFonts w:ascii="方正仿宋_GBK" w:hAnsi="方正仿宋_GBK" w:eastAsia="方正仿宋_GBK" w:cs="方正仿宋_GBK"/>
          <w:sz w:val="32"/>
          <w:szCs w:val="32"/>
          <w:highlight w:val="none"/>
          <w:shd w:val="clear" w:color="auto" w:fill="FFFFFF"/>
        </w:rPr>
        <w:t>年度相比，</w:t>
      </w:r>
      <w:r>
        <w:rPr>
          <w:rFonts w:hint="default" w:ascii="Times New Roman" w:hAnsi="Times New Roman" w:eastAsia="方正仿宋_GBK"/>
          <w:sz w:val="32"/>
          <w:szCs w:val="32"/>
          <w:highlight w:val="none"/>
          <w:shd w:val="clear" w:color="auto" w:fill="FFFFFF"/>
        </w:rPr>
        <w:t>财政拨款收、支总计各增加56.48万元，增长22.4%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（三）一般公共预算财政拨款收入支出决算情况说明</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rPr>
      </w:pPr>
      <w:r>
        <w:rPr>
          <w:rStyle w:val="13"/>
          <w:rFonts w:hint="default" w:ascii="Times New Roman" w:hAnsi="Times New Roman" w:eastAsia="方正仿宋_GBK"/>
          <w:sz w:val="32"/>
          <w:szCs w:val="32"/>
          <w:highlight w:val="none"/>
          <w:shd w:val="clear" w:color="auto" w:fill="FFFFFF"/>
        </w:rPr>
        <w:t>1</w:t>
      </w:r>
      <w:r>
        <w:rPr>
          <w:rStyle w:val="13"/>
          <w:rFonts w:ascii="方正仿宋_GBK" w:hAnsi="方正仿宋_GBK" w:eastAsia="方正仿宋_GBK" w:cs="方正仿宋_GBK"/>
          <w:sz w:val="32"/>
          <w:szCs w:val="32"/>
          <w:highlight w:val="none"/>
          <w:shd w:val="clear" w:color="auto" w:fill="FFFFFF"/>
        </w:rPr>
        <w:t>.收入情况。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年度一般公共预算财政拨款收入</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与2023年度相比，增加57.80万元，增长23.0%</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r>
        <w:rPr>
          <w:rFonts w:hint="default" w:ascii="Times New Roman" w:hAnsi="Times New Roman" w:eastAsia="方正仿宋_GBK"/>
          <w:sz w:val="32"/>
          <w:szCs w:val="32"/>
          <w:highlight w:val="none"/>
          <w:shd w:val="clear" w:color="auto" w:fill="FFFFFF"/>
        </w:rPr>
        <w:t>较年初预算数增加11.66万元，增长3.9%</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r>
        <w:rPr>
          <w:rFonts w:ascii="方正仿宋_GBK" w:hAnsi="方正仿宋_GBK" w:eastAsia="方正仿宋_GBK" w:cs="方正仿宋_GBK"/>
          <w:sz w:val="32"/>
          <w:szCs w:val="32"/>
          <w:highlight w:val="none"/>
          <w:shd w:val="clear" w:color="auto" w:fill="FFFFFF"/>
        </w:rPr>
        <w:t>此外，年初财政拨款结转和结余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rPr>
      </w:pPr>
      <w:r>
        <w:rPr>
          <w:rStyle w:val="13"/>
          <w:rFonts w:hint="default" w:ascii="Times New Roman" w:hAnsi="Times New Roman" w:eastAsia="方正仿宋_GBK"/>
          <w:sz w:val="32"/>
          <w:szCs w:val="32"/>
          <w:highlight w:val="none"/>
          <w:shd w:val="clear" w:color="auto" w:fill="FFFFFF"/>
        </w:rPr>
        <w:t>2</w:t>
      </w:r>
      <w:r>
        <w:rPr>
          <w:rStyle w:val="13"/>
          <w:rFonts w:ascii="方正仿宋_GBK" w:hAnsi="方正仿宋_GBK" w:eastAsia="方正仿宋_GBK" w:cs="方正仿宋_GBK"/>
          <w:sz w:val="32"/>
          <w:szCs w:val="32"/>
          <w:highlight w:val="none"/>
          <w:shd w:val="clear" w:color="auto" w:fill="FFFFFF"/>
        </w:rPr>
        <w:t>.支出情况。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年度一般公共预算财政拨款支出</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与2023年度相比，增加56.48万元，增长22.4%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r>
        <w:rPr>
          <w:rFonts w:hint="default" w:ascii="Times New Roman" w:hAnsi="Times New Roman" w:eastAsia="方正仿宋_GBK"/>
          <w:sz w:val="32"/>
          <w:szCs w:val="32"/>
          <w:highlight w:val="none"/>
          <w:shd w:val="clear" w:color="auto" w:fill="FFFFFF"/>
        </w:rPr>
        <w:t>较年初预算数增加11.66万元，增长3.9%</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1</w:t>
      </w:r>
      <w:r>
        <w:rPr>
          <w:rFonts w:ascii="方正仿宋_GBK" w:hAnsi="方正仿宋_GBK" w:eastAsia="方正仿宋_GBK" w:cs="方正仿宋_GBK"/>
          <w:sz w:val="32"/>
          <w:szCs w:val="32"/>
          <w:highlight w:val="none"/>
          <w:shd w:val="clear" w:color="auto" w:fill="FFFFFF"/>
        </w:rPr>
        <w:t>）社会保障和就业支出</w:t>
      </w:r>
      <w:r>
        <w:rPr>
          <w:rFonts w:hint="default" w:ascii="Times New Roman" w:hAnsi="Times New Roman" w:eastAsia="方正仿宋_GBK"/>
          <w:sz w:val="32"/>
          <w:szCs w:val="32"/>
          <w:highlight w:val="none"/>
          <w:shd w:val="clear" w:color="auto" w:fill="FFFFFF"/>
        </w:rPr>
        <w:t>44.88</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14.5%</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较年初预算数增加15.63万元，增长53.4%</w:t>
      </w:r>
      <w:r>
        <w:rPr>
          <w:rFonts w:ascii="方正仿宋_GBK" w:hAnsi="方正仿宋_GBK" w:eastAsia="方正仿宋_GBK" w:cs="方正仿宋_GBK"/>
          <w:sz w:val="32"/>
          <w:szCs w:val="32"/>
          <w:highlight w:val="none"/>
          <w:shd w:val="clear" w:color="auto" w:fill="FFFFFF"/>
        </w:rPr>
        <w:t>，主要原因是人员增加，人员调资，重新核定养老保险、职业年金缴费基数，社会保障和就业支出增加。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2</w:t>
      </w:r>
      <w:r>
        <w:rPr>
          <w:rFonts w:ascii="方正仿宋_GBK" w:hAnsi="方正仿宋_GBK" w:eastAsia="方正仿宋_GBK" w:cs="方正仿宋_GBK"/>
          <w:sz w:val="32"/>
          <w:szCs w:val="32"/>
          <w:highlight w:val="none"/>
          <w:shd w:val="clear" w:color="auto" w:fill="FFFFFF"/>
        </w:rPr>
        <w:t>）卫生健康支出</w:t>
      </w:r>
      <w:r>
        <w:rPr>
          <w:rFonts w:hint="default" w:ascii="Times New Roman" w:hAnsi="Times New Roman" w:eastAsia="方正仿宋_GBK"/>
          <w:sz w:val="32"/>
          <w:szCs w:val="32"/>
          <w:highlight w:val="none"/>
          <w:shd w:val="clear" w:color="auto" w:fill="FFFFFF"/>
        </w:rPr>
        <w:t>14.01</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4.5%</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较年初预算数减少0.78万元，下降5.3%</w:t>
      </w:r>
      <w:r>
        <w:rPr>
          <w:rFonts w:ascii="方正仿宋_GBK" w:hAnsi="方正仿宋_GBK" w:eastAsia="方正仿宋_GBK" w:cs="方正仿宋_GBK"/>
          <w:sz w:val="32"/>
          <w:szCs w:val="32"/>
          <w:highlight w:val="none"/>
          <w:shd w:val="clear" w:color="auto" w:fill="FFFFFF"/>
        </w:rPr>
        <w:t>，主要原因是人员社保、职业年金等调整基数产生。</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3</w:t>
      </w:r>
      <w:r>
        <w:rPr>
          <w:rFonts w:ascii="方正仿宋_GBK" w:hAnsi="方正仿宋_GBK" w:eastAsia="方正仿宋_GBK" w:cs="方正仿宋_GBK"/>
          <w:sz w:val="32"/>
          <w:szCs w:val="32"/>
          <w:highlight w:val="none"/>
          <w:shd w:val="clear" w:color="auto" w:fill="FFFFFF"/>
        </w:rPr>
        <w:t>）农林水支出</w:t>
      </w:r>
      <w:r>
        <w:rPr>
          <w:rFonts w:hint="default" w:ascii="Times New Roman" w:hAnsi="Times New Roman" w:eastAsia="方正仿宋_GBK"/>
          <w:sz w:val="32"/>
          <w:szCs w:val="32"/>
          <w:highlight w:val="none"/>
          <w:shd w:val="clear" w:color="auto" w:fill="FFFFFF"/>
        </w:rPr>
        <w:t>236.39</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76.5%</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较年初预算数减少2.27万元，下降1.0%</w:t>
      </w:r>
      <w:r>
        <w:rPr>
          <w:rFonts w:ascii="方正仿宋_GBK" w:hAnsi="方正仿宋_GBK" w:eastAsia="方正仿宋_GBK" w:cs="方正仿宋_GBK"/>
          <w:sz w:val="32"/>
          <w:szCs w:val="32"/>
          <w:highlight w:val="none"/>
          <w:shd w:val="clear" w:color="auto" w:fill="FFFFFF"/>
        </w:rPr>
        <w:t>，主要原因减少2人社保、职业年金等调整基数产生。</w:t>
      </w:r>
    </w:p>
    <w:p>
      <w:pPr>
        <w:spacing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w:t>
      </w:r>
      <w:r>
        <w:rPr>
          <w:rFonts w:ascii="Times New Roman" w:hAnsi="Times New Roman" w:eastAsia="方正仿宋_GBK"/>
          <w:sz w:val="32"/>
          <w:szCs w:val="32"/>
          <w:highlight w:val="none"/>
          <w:shd w:val="clear" w:color="auto" w:fill="FFFFFF"/>
        </w:rPr>
        <w:t>4</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rPr>
        <w:t>住房保障支出</w:t>
      </w:r>
      <w:r>
        <w:rPr>
          <w:rFonts w:hint="default" w:ascii="Times New Roman" w:hAnsi="Times New Roman" w:eastAsia="方正仿宋_GBK"/>
          <w:sz w:val="32"/>
          <w:szCs w:val="32"/>
          <w:highlight w:val="none"/>
          <w:shd w:val="clear" w:color="auto" w:fill="FFFFFF"/>
        </w:rPr>
        <w:t>13.71</w:t>
      </w:r>
      <w:r>
        <w:rPr>
          <w:rFonts w:ascii="方正仿宋_GBK" w:hAnsi="方正仿宋_GBK" w:eastAsia="方正仿宋_GBK" w:cs="方正仿宋_GBK"/>
          <w:sz w:val="32"/>
          <w:szCs w:val="32"/>
          <w:highlight w:val="none"/>
          <w:shd w:val="clear" w:color="auto" w:fill="FFFFFF"/>
        </w:rPr>
        <w:t>万元，占</w:t>
      </w:r>
      <w:r>
        <w:rPr>
          <w:rFonts w:hint="default" w:ascii="Times New Roman" w:hAnsi="Times New Roman" w:eastAsia="方正仿宋_GBK"/>
          <w:sz w:val="32"/>
          <w:szCs w:val="32"/>
          <w:highlight w:val="none"/>
          <w:shd w:val="clear" w:color="auto" w:fill="FFFFFF"/>
        </w:rPr>
        <w:t>4.4%</w:t>
      </w:r>
      <w:r>
        <w:rPr>
          <w:rFonts w:ascii="方正仿宋_GBK" w:hAnsi="方正仿宋_GBK" w:eastAsia="方正仿宋_GBK" w:cs="方正仿宋_GBK"/>
          <w:sz w:val="32"/>
          <w:szCs w:val="32"/>
          <w:highlight w:val="none"/>
          <w:shd w:val="clear" w:color="auto" w:fill="FFFFFF"/>
        </w:rPr>
        <w:t>，</w:t>
      </w:r>
      <w:r>
        <w:rPr>
          <w:rFonts w:hint="default" w:ascii="Times New Roman" w:hAnsi="Times New Roman" w:eastAsia="方正仿宋_GBK"/>
          <w:sz w:val="32"/>
          <w:szCs w:val="32"/>
          <w:highlight w:val="none"/>
          <w:shd w:val="clear" w:color="auto" w:fill="FFFFFF"/>
        </w:rPr>
        <w:t>较年初预算数减少0.91万元，下降6.2%</w:t>
      </w:r>
      <w:r>
        <w:rPr>
          <w:rFonts w:ascii="方正仿宋_GBK" w:hAnsi="方正仿宋_GBK" w:eastAsia="方正仿宋_GBK" w:cs="方正仿宋_GBK"/>
          <w:sz w:val="32"/>
          <w:szCs w:val="32"/>
          <w:highlight w:val="none"/>
          <w:shd w:val="clear" w:color="auto" w:fill="FFFFFF"/>
        </w:rPr>
        <w:t>，主要原因减少2人社保、职业年金等调整基数产生。</w:t>
      </w:r>
    </w:p>
    <w:p>
      <w:pPr>
        <w:pStyle w:val="9"/>
        <w:snapToGrid w:val="0"/>
        <w:spacing w:before="0" w:beforeAutospacing="0" w:after="0" w:afterAutospacing="0" w:line="596" w:lineRule="exact"/>
        <w:ind w:firstLine="641" w:firstLineChars="200"/>
        <w:jc w:val="both"/>
        <w:rPr>
          <w:rFonts w:hint="default" w:ascii="方正仿宋_GBK" w:hAnsi="方正仿宋_GBK" w:eastAsia="方正仿宋_GBK" w:cs="方正仿宋_GBK"/>
          <w:sz w:val="32"/>
          <w:szCs w:val="32"/>
          <w:highlight w:val="none"/>
          <w:shd w:val="clear" w:color="auto" w:fill="FFFFFF"/>
        </w:rPr>
      </w:pPr>
      <w:r>
        <w:rPr>
          <w:rStyle w:val="13"/>
          <w:rFonts w:hint="default" w:ascii="Times New Roman" w:hAnsi="Times New Roman" w:eastAsia="方正仿宋_GBK"/>
          <w:sz w:val="32"/>
          <w:szCs w:val="32"/>
          <w:highlight w:val="none"/>
          <w:shd w:val="clear" w:color="auto" w:fill="FFFFFF"/>
        </w:rPr>
        <w:t>3</w:t>
      </w:r>
      <w:r>
        <w:rPr>
          <w:rStyle w:val="13"/>
          <w:rFonts w:ascii="方正仿宋_GBK" w:hAnsi="方正仿宋_GBK" w:eastAsia="方正仿宋_GBK" w:cs="方正仿宋_GBK"/>
          <w:sz w:val="32"/>
          <w:szCs w:val="32"/>
          <w:highlight w:val="none"/>
          <w:shd w:val="clear" w:color="auto" w:fill="FFFFFF"/>
        </w:rPr>
        <w:t>.结转结余情况。</w:t>
      </w: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年度年末一般公共预算财政拨款结转和结余</w:t>
      </w:r>
      <w:r>
        <w:rPr>
          <w:rFonts w:hint="default" w:ascii="Times New Roman" w:hAnsi="Times New Roman" w:eastAsia="方正仿宋_GBK"/>
          <w:sz w:val="32"/>
          <w:szCs w:val="32"/>
          <w:highlight w:val="none"/>
          <w:shd w:val="clear" w:color="auto" w:fill="FFFFFF"/>
        </w:rPr>
        <w:t>0.00</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与2023年度相比，无增减</w:t>
      </w:r>
      <w:r>
        <w:rPr>
          <w:rFonts w:ascii="方正仿宋_GBK" w:hAnsi="方正仿宋_GBK" w:eastAsia="方正仿宋_GBK" w:cs="方正仿宋_GBK"/>
          <w:sz w:val="32"/>
          <w:szCs w:val="32"/>
          <w:highlight w:val="none"/>
          <w:shd w:val="clear" w:color="auto" w:fill="FFFFFF"/>
        </w:rPr>
        <w:t>，主要原因是无结转结余。</w:t>
      </w:r>
    </w:p>
    <w:p>
      <w:pPr>
        <w:pStyle w:val="14"/>
        <w:autoSpaceDE w:val="0"/>
        <w:spacing w:line="596" w:lineRule="exact"/>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highlight w:val="none"/>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hint="default" w:ascii="Times New Roman" w:hAnsi="Times New Roman" w:eastAsia="方正仿宋_GBK"/>
          <w:sz w:val="32"/>
          <w:szCs w:val="32"/>
          <w:highlight w:val="none"/>
          <w:shd w:val="clear" w:color="auto" w:fill="FFFFFF"/>
        </w:rPr>
        <w:t>2024</w:t>
      </w:r>
      <w:r>
        <w:rPr>
          <w:rFonts w:ascii="方正仿宋_GBK" w:hAnsi="方正仿宋_GBK" w:eastAsia="方正仿宋_GBK" w:cs="方正仿宋_GBK"/>
          <w:sz w:val="32"/>
          <w:szCs w:val="32"/>
          <w:highlight w:val="none"/>
          <w:shd w:val="clear" w:color="auto" w:fill="FFFFFF"/>
        </w:rPr>
        <w:t>年度一般公共财政拨款基本支出</w:t>
      </w:r>
      <w:r>
        <w:rPr>
          <w:rFonts w:hint="default" w:ascii="Times New Roman" w:hAnsi="Times New Roman" w:eastAsia="方正仿宋_GBK"/>
          <w:sz w:val="32"/>
          <w:szCs w:val="32"/>
          <w:highlight w:val="none"/>
          <w:shd w:val="clear" w:color="auto" w:fill="FFFFFF"/>
        </w:rPr>
        <w:t>308.99</w:t>
      </w:r>
      <w:r>
        <w:rPr>
          <w:rFonts w:ascii="方正仿宋_GBK" w:hAnsi="方正仿宋_GBK" w:eastAsia="方正仿宋_GBK" w:cs="方正仿宋_GBK"/>
          <w:sz w:val="32"/>
          <w:szCs w:val="32"/>
          <w:highlight w:val="none"/>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人员经费</w:t>
      </w:r>
      <w:r>
        <w:rPr>
          <w:rFonts w:hint="default" w:ascii="Times New Roman" w:hAnsi="Times New Roman" w:eastAsia="方正仿宋_GBK"/>
          <w:sz w:val="32"/>
          <w:szCs w:val="32"/>
          <w:highlight w:val="none"/>
          <w:shd w:val="clear" w:color="auto" w:fill="FFFFFF"/>
        </w:rPr>
        <w:t>287.92</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与2023年度相比，增加70.61万元，增长32.5%</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woUserID w:val="2"/>
        </w:rPr>
        <w:t>主要原因是我单位人员增加、晋级调资等，社保、职业年金等经费增加，因此增加相关开支。</w:t>
      </w:r>
      <w:r>
        <w:rPr>
          <w:rFonts w:ascii="方正仿宋_GBK" w:hAnsi="方正仿宋_GBK" w:eastAsia="方正仿宋_GBK" w:cs="方正仿宋_GBK"/>
          <w:sz w:val="32"/>
          <w:szCs w:val="32"/>
          <w:highlight w:val="none"/>
          <w:shd w:val="clear" w:color="auto" w:fill="FFFFFF"/>
        </w:rPr>
        <w:t>人员经费用途主要包括五险两金、工资绩效等。</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公用经费</w:t>
      </w:r>
      <w:r>
        <w:rPr>
          <w:rFonts w:hint="default" w:ascii="Times New Roman" w:hAnsi="Times New Roman" w:eastAsia="方正仿宋_GBK"/>
          <w:sz w:val="32"/>
          <w:szCs w:val="32"/>
          <w:highlight w:val="none"/>
          <w:shd w:val="clear" w:color="auto" w:fill="FFFFFF"/>
        </w:rPr>
        <w:t>21.08</w:t>
      </w:r>
      <w:r>
        <w:rPr>
          <w:rFonts w:ascii="方正仿宋_GBK" w:hAnsi="方正仿宋_GBK" w:eastAsia="方正仿宋_GBK" w:cs="方正仿宋_GBK"/>
          <w:sz w:val="32"/>
          <w:szCs w:val="32"/>
          <w:highlight w:val="none"/>
          <w:shd w:val="clear" w:color="auto" w:fill="FFFFFF"/>
        </w:rPr>
        <w:t>万元，</w:t>
      </w:r>
      <w:r>
        <w:rPr>
          <w:rFonts w:hint="default" w:ascii="Times New Roman" w:hAnsi="Times New Roman" w:eastAsia="方正仿宋_GBK"/>
          <w:sz w:val="32"/>
          <w:szCs w:val="32"/>
          <w:highlight w:val="none"/>
          <w:shd w:val="clear" w:color="auto" w:fill="FFFFFF"/>
        </w:rPr>
        <w:t>与2023年度相比，减少14.12万元，下降40.1%</w:t>
      </w:r>
      <w:r>
        <w:rPr>
          <w:rFonts w:ascii="方正仿宋_GBK" w:hAnsi="方正仿宋_GBK" w:eastAsia="方正仿宋_GBK" w:cs="方正仿宋_GBK"/>
          <w:sz w:val="32"/>
          <w:szCs w:val="32"/>
          <w:highlight w:val="none"/>
          <w:shd w:val="clear" w:color="auto" w:fill="FFFFFF"/>
        </w:rPr>
        <w:t>，主要原因是公务接待费和公车运行维护费未单独预算。公用经费用途主要包括公务接待</w:t>
      </w:r>
      <w:r>
        <w:rPr>
          <w:rFonts w:ascii="方正仿宋_GBK" w:hAnsi="方正仿宋_GBK" w:eastAsia="方正仿宋_GBK" w:cs="方正仿宋_GBK"/>
          <w:sz w:val="32"/>
          <w:szCs w:val="32"/>
          <w:shd w:val="clear" w:color="auto" w:fill="FFFFFF"/>
        </w:rPr>
        <w:t>、公车运行、办公开支等。</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1" w:firstLineChars="200"/>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三、财政拨款“三公”经费情况说明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，主要原因是严格按照预算执行。</w:t>
      </w:r>
      <w:r>
        <w:rPr>
          <w:rFonts w:hint="default" w:ascii="Times New Roman" w:hAnsi="Times New Roman" w:eastAsia="方正仿宋_GBK"/>
          <w:sz w:val="32"/>
          <w:szCs w:val="32"/>
          <w:shd w:val="clear" w:color="auto" w:fill="FFFFFF"/>
        </w:rPr>
        <w:t>较上年支出数减少1.00万元，下降100.0%</w:t>
      </w:r>
      <w:r>
        <w:rPr>
          <w:rFonts w:ascii="方正仿宋_GBK" w:hAnsi="方正仿宋_GBK" w:eastAsia="方正仿宋_GBK" w:cs="方正仿宋_GBK"/>
          <w:sz w:val="32"/>
          <w:szCs w:val="32"/>
          <w:shd w:val="clear" w:color="auto" w:fill="FFFFFF"/>
        </w:rPr>
        <w:t>，主要原因是未单独预算。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，主要原因是无相关支出。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，主要原因是无相关支出。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，主要原因是未购置公车。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，主要原因是未购置公车。</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，主要原因是未购置公车。</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，主要原因是未购置公车。</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，主要原因是严格按照预算执行。</w:t>
      </w:r>
      <w:r>
        <w:rPr>
          <w:rFonts w:hint="default" w:ascii="Times New Roman" w:hAnsi="Times New Roman" w:eastAsia="方正仿宋_GBK"/>
          <w:sz w:val="32"/>
          <w:szCs w:val="32"/>
          <w:shd w:val="clear" w:color="auto" w:fill="FFFFFF"/>
        </w:rPr>
        <w:t>较上年支出数减少1.00万元，下降100.0%</w:t>
      </w:r>
      <w:r>
        <w:rPr>
          <w:rFonts w:ascii="方正仿宋_GBK" w:hAnsi="方正仿宋_GBK" w:eastAsia="方正仿宋_GBK" w:cs="方正仿宋_GBK"/>
          <w:sz w:val="32"/>
          <w:szCs w:val="32"/>
          <w:shd w:val="clear" w:color="auto" w:fill="FFFFFF"/>
        </w:rPr>
        <w:t>，主要原因是未单独预算。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1"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与2023年度相比，增加0.34万元，增长141.7%</w:t>
      </w:r>
      <w:r>
        <w:rPr>
          <w:rFonts w:ascii="方正仿宋_GBK" w:hAnsi="方正仿宋_GBK" w:eastAsia="方正仿宋_GBK" w:cs="方正仿宋_GBK"/>
          <w:sz w:val="32"/>
          <w:szCs w:val="32"/>
          <w:shd w:val="clear" w:color="auto" w:fill="FFFFFF"/>
        </w:rPr>
        <w:t>，主要原因是开展业务培训会议等，增加了相关支出。本年度培训费支出</w:t>
      </w:r>
      <w:r>
        <w:rPr>
          <w:rFonts w:hint="default" w:ascii="Times New Roman" w:hAnsi="Times New Roman" w:eastAsia="方正仿宋_GBK"/>
          <w:sz w:val="32"/>
          <w:szCs w:val="32"/>
          <w:shd w:val="clear" w:color="auto" w:fill="FFFFFF"/>
        </w:rPr>
        <w:t>0.86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与2023年度相比，增加0.74万元，增长616.7%</w:t>
      </w:r>
      <w:r>
        <w:rPr>
          <w:rFonts w:ascii="方正仿宋_GBK" w:hAnsi="方正仿宋_GBK" w:eastAsia="方正仿宋_GBK" w:cs="方正仿宋_GBK"/>
          <w:sz w:val="32"/>
          <w:szCs w:val="32"/>
          <w:shd w:val="clear" w:color="auto" w:fill="FFFFFF"/>
        </w:rPr>
        <w:t>，主要原因是新进专技人员继续教育培训费支出。本年度差旅费支出</w:t>
      </w:r>
      <w:r>
        <w:rPr>
          <w:rFonts w:hint="default" w:ascii="Times New Roman" w:hAnsi="Times New Roman" w:eastAsia="方正仿宋_GBK"/>
          <w:sz w:val="32"/>
          <w:szCs w:val="32"/>
          <w:shd w:val="clear" w:color="auto" w:fill="FFFFFF"/>
        </w:rPr>
        <w:t>3.87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与2023年度相比，减少13.25万元，下降77.4%</w:t>
      </w:r>
      <w:r>
        <w:rPr>
          <w:rFonts w:ascii="方正仿宋_GBK" w:hAnsi="方正仿宋_GBK" w:eastAsia="方正仿宋_GBK" w:cs="方正仿宋_GBK"/>
          <w:sz w:val="32"/>
          <w:szCs w:val="32"/>
          <w:shd w:val="clear" w:color="auto" w:fill="FFFFFF"/>
        </w:rPr>
        <w:t>，主要原因是减少相关出差事项。</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按照</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决算列报口径，我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不在机关运行经费统计范围之内。</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未发生政府采购事项，无相关经费支出</w:t>
      </w:r>
      <w:r>
        <w:rPr>
          <w:rFonts w:ascii="Times New Roman" w:hAnsi="Times New Roman" w:eastAsia="方正仿宋_GBK"/>
          <w:sz w:val="32"/>
          <w:szCs w:val="32"/>
          <w:shd w:val="clear" w:color="auto" w:fill="FFFFFF"/>
        </w:rPr>
        <w:t>。</w:t>
      </w:r>
    </w:p>
    <w:p>
      <w:pPr>
        <w:pStyle w:val="15"/>
        <w:spacing w:before="0" w:beforeAutospacing="0" w:after="0" w:afterAutospacing="0" w:line="596" w:lineRule="exact"/>
        <w:ind w:firstLine="641"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我单位无项目支出，未开展绩效评价。</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bookmarkStart w:id="2" w:name="_GoBack"/>
      <w:bookmarkEnd w:id="2"/>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我单位无项目支出，未开展绩效评价。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丰都县水资源综合事务中心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308.99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丰都县水资源综合事务中心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308.99</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308.99</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丰都县水资源综合事务中心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308.99</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308.99</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丰都县水资源综合事务中心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236.39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丰都县水资源综合事务中心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308.99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236.39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236.39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丰都县水资源综合事务中心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287.92</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丰都县水资源综合事务中心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丰都县水资源综合事务中心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丰都县水资源综合事务中心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B0409"/>
    <w:rsid w:val="00770383"/>
    <w:rsid w:val="007819D4"/>
    <w:rsid w:val="007B419D"/>
    <w:rsid w:val="007B7C4B"/>
    <w:rsid w:val="007D3D39"/>
    <w:rsid w:val="00984C6A"/>
    <w:rsid w:val="00994AF7"/>
    <w:rsid w:val="009B67B8"/>
    <w:rsid w:val="009C14C9"/>
    <w:rsid w:val="009D2B67"/>
    <w:rsid w:val="009E1452"/>
    <w:rsid w:val="00A566F9"/>
    <w:rsid w:val="00AB5878"/>
    <w:rsid w:val="00AF2751"/>
    <w:rsid w:val="00B03CCD"/>
    <w:rsid w:val="00BE2B89"/>
    <w:rsid w:val="00BF0D89"/>
    <w:rsid w:val="00C10E9E"/>
    <w:rsid w:val="00C20C3E"/>
    <w:rsid w:val="00C5163E"/>
    <w:rsid w:val="00CF2ACF"/>
    <w:rsid w:val="00D03AAF"/>
    <w:rsid w:val="00DD0539"/>
    <w:rsid w:val="00E07662"/>
    <w:rsid w:val="00E368E9"/>
    <w:rsid w:val="00EC00B8"/>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316492"/>
    <w:rsid w:val="4CAE794B"/>
    <w:rsid w:val="4D1F53CA"/>
    <w:rsid w:val="4DAC4ACA"/>
    <w:rsid w:val="4DBE01D2"/>
    <w:rsid w:val="4EFD467F"/>
    <w:rsid w:val="4F0C6BA3"/>
    <w:rsid w:val="4F186D58"/>
    <w:rsid w:val="4FFE7F08"/>
    <w:rsid w:val="504B6EAA"/>
    <w:rsid w:val="50F06B6E"/>
    <w:rsid w:val="51064DCD"/>
    <w:rsid w:val="51B33F1F"/>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233738"/>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2001</Words>
  <Characters>11407</Characters>
  <Lines>95</Lines>
  <Paragraphs>26</Paragraphs>
  <TotalTime>0</TotalTime>
  <ScaleCrop>false</ScaleCrop>
  <LinksUpToDate>false</LinksUpToDate>
  <CharactersWithSpaces>13382</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2025-09-16T09:36:54Z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